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30" w:type="pct"/>
        <w:tblLayout w:type="fixed"/>
        <w:tblCellMar>
          <w:left w:w="0" w:type="dxa"/>
          <w:right w:w="0" w:type="dxa"/>
        </w:tblCellMar>
        <w:tblLook w:val="01E0"/>
      </w:tblPr>
      <w:tblGrid>
        <w:gridCol w:w="9923"/>
      </w:tblGrid>
      <w:tr w:rsidR="00624791" w:rsidRPr="00BB55B9" w:rsidTr="00D027CC">
        <w:trPr>
          <w:trHeight w:hRule="exact" w:val="9346"/>
        </w:trPr>
        <w:tc>
          <w:tcPr>
            <w:tcW w:w="5000" w:type="pct"/>
            <w:tcMar>
              <w:left w:w="0" w:type="dxa"/>
              <w:right w:w="0" w:type="dxa"/>
            </w:tcMar>
          </w:tcPr>
          <w:p w:rsidR="005C0E84" w:rsidRPr="00126E00" w:rsidRDefault="00030A7C" w:rsidP="00030A7C">
            <w:pPr>
              <w:spacing w:after="240"/>
              <w:ind w:left="0"/>
              <w:jc w:val="center"/>
              <w:rPr>
                <w:rFonts w:cs="Arial"/>
                <w:b/>
                <w:color w:val="FFFFFF"/>
                <w:sz w:val="44"/>
                <w:szCs w:val="44"/>
              </w:rPr>
            </w:pPr>
            <w:bookmarkStart w:id="0" w:name="OLE_LINK1"/>
            <w:bookmarkStart w:id="1" w:name="OLE_LINK2"/>
            <w:bookmarkStart w:id="2" w:name="OLE_LINK11"/>
            <w:bookmarkStart w:id="3" w:name="OLE_LINK14"/>
            <w:r w:rsidRPr="00126E00">
              <w:rPr>
                <w:rFonts w:cs="Arial"/>
                <w:b/>
                <w:color w:val="FFFFFF"/>
                <w:sz w:val="44"/>
                <w:szCs w:val="44"/>
              </w:rPr>
              <w:t xml:space="preserve">Feed-in Tariffs </w:t>
            </w:r>
            <w:r w:rsidR="005C0E84" w:rsidRPr="00126E00">
              <w:rPr>
                <w:rFonts w:cs="Arial"/>
                <w:b/>
                <w:color w:val="FFFFFF"/>
                <w:sz w:val="44"/>
                <w:szCs w:val="44"/>
              </w:rPr>
              <w:t>Scheme</w:t>
            </w:r>
          </w:p>
          <w:p w:rsidR="00624791" w:rsidRPr="00BB55B9" w:rsidRDefault="005C0E84" w:rsidP="00130CEB">
            <w:pPr>
              <w:spacing w:after="240"/>
              <w:ind w:left="0"/>
              <w:jc w:val="center"/>
              <w:rPr>
                <w:rFonts w:cs="Arial"/>
                <w:b/>
                <w:color w:val="FFFFFF"/>
                <w:sz w:val="52"/>
                <w:szCs w:val="52"/>
              </w:rPr>
            </w:pPr>
            <w:r w:rsidRPr="00126E00">
              <w:rPr>
                <w:rFonts w:cs="Arial"/>
                <w:b/>
                <w:color w:val="FFFFFF"/>
                <w:sz w:val="44"/>
                <w:szCs w:val="44"/>
              </w:rPr>
              <w:t xml:space="preserve">Consultation on </w:t>
            </w:r>
            <w:r w:rsidR="00E2278F" w:rsidRPr="00126E00">
              <w:rPr>
                <w:rFonts w:cs="Arial"/>
                <w:b/>
                <w:color w:val="FFFFFF"/>
                <w:sz w:val="44"/>
                <w:szCs w:val="44"/>
              </w:rPr>
              <w:t xml:space="preserve">Comprehensive Review Phase </w:t>
            </w:r>
            <w:r w:rsidR="00242C47" w:rsidRPr="00126E00">
              <w:rPr>
                <w:rFonts w:cs="Arial"/>
                <w:b/>
                <w:color w:val="FFFFFF"/>
                <w:sz w:val="44"/>
                <w:szCs w:val="44"/>
              </w:rPr>
              <w:t>2</w:t>
            </w:r>
            <w:r w:rsidR="00660A2E" w:rsidRPr="00126E00">
              <w:rPr>
                <w:rFonts w:cs="Arial"/>
                <w:b/>
                <w:color w:val="FFFFFF"/>
                <w:sz w:val="44"/>
                <w:szCs w:val="44"/>
              </w:rPr>
              <w:t>B</w:t>
            </w:r>
            <w:r w:rsidR="00E2278F" w:rsidRPr="00126E00">
              <w:rPr>
                <w:rFonts w:cs="Arial"/>
                <w:b/>
                <w:color w:val="FFFFFF"/>
                <w:sz w:val="44"/>
                <w:szCs w:val="44"/>
              </w:rPr>
              <w:t xml:space="preserve">: </w:t>
            </w:r>
            <w:bookmarkEnd w:id="0"/>
            <w:bookmarkEnd w:id="1"/>
            <w:r w:rsidR="00130CEB" w:rsidRPr="00126E00">
              <w:rPr>
                <w:rFonts w:cs="Arial"/>
                <w:b/>
                <w:color w:val="FFFFFF"/>
                <w:sz w:val="44"/>
                <w:szCs w:val="44"/>
              </w:rPr>
              <w:t xml:space="preserve">Tariffs for non-PV technologies and </w:t>
            </w:r>
            <w:r w:rsidR="006D1415" w:rsidRPr="00126E00">
              <w:rPr>
                <w:rFonts w:cs="Arial"/>
                <w:b/>
                <w:color w:val="FFFFFF"/>
                <w:sz w:val="44"/>
                <w:szCs w:val="44"/>
              </w:rPr>
              <w:t xml:space="preserve">scheme administration </w:t>
            </w:r>
            <w:r w:rsidR="00697D76" w:rsidRPr="00126E00">
              <w:rPr>
                <w:rFonts w:cs="Arial"/>
                <w:b/>
                <w:color w:val="FFFFFF"/>
                <w:sz w:val="44"/>
                <w:szCs w:val="44"/>
              </w:rPr>
              <w:t>issues</w:t>
            </w:r>
            <w:bookmarkEnd w:id="2"/>
            <w:bookmarkEnd w:id="3"/>
          </w:p>
        </w:tc>
      </w:tr>
    </w:tbl>
    <w:p w:rsidR="00873216" w:rsidRPr="00126E00" w:rsidRDefault="00D3373E" w:rsidP="00D3373E">
      <w:pPr>
        <w:pStyle w:val="Heading4"/>
        <w:jc w:val="right"/>
        <w:rPr>
          <w:color w:val="FFFFFF"/>
        </w:rPr>
      </w:pPr>
      <w:r w:rsidRPr="00126E00">
        <w:rPr>
          <w:color w:val="FFFFFF"/>
        </w:rPr>
        <w:t xml:space="preserve">Date: </w:t>
      </w:r>
      <w:r w:rsidR="003B0A0F" w:rsidRPr="00126E00">
        <w:rPr>
          <w:color w:val="FFFFFF"/>
        </w:rPr>
        <w:t xml:space="preserve">9 </w:t>
      </w:r>
      <w:r w:rsidR="00660A2E" w:rsidRPr="00126E00">
        <w:rPr>
          <w:color w:val="FFFFFF"/>
        </w:rPr>
        <w:t>February 2012</w:t>
      </w:r>
    </w:p>
    <w:p w:rsidR="00624791" w:rsidRPr="00D90412" w:rsidRDefault="00624791" w:rsidP="00553F55">
      <w:pPr>
        <w:pStyle w:val="ZeroLead"/>
        <w:spacing w:line="240" w:lineRule="auto"/>
        <w:jc w:val="both"/>
      </w:pPr>
    </w:p>
    <w:p w:rsidR="004F5C6B" w:rsidRDefault="004F5C6B" w:rsidP="00553F55">
      <w:pPr>
        <w:pStyle w:val="DECCCovertext"/>
        <w:jc w:val="both"/>
        <w:sectPr w:rsidR="004F5C6B" w:rsidSect="009E5FC6">
          <w:headerReference w:type="default" r:id="rId8"/>
          <w:footerReference w:type="even" r:id="rId9"/>
          <w:footerReference w:type="default" r:id="rId10"/>
          <w:headerReference w:type="first" r:id="rId11"/>
          <w:pgSz w:w="11906" w:h="16838" w:code="9"/>
          <w:pgMar w:top="5409" w:right="566" w:bottom="567" w:left="851" w:header="720" w:footer="0" w:gutter="0"/>
          <w:cols w:space="720"/>
          <w:titlePg/>
        </w:sectPr>
      </w:pPr>
    </w:p>
    <w:p w:rsidR="00873216" w:rsidRPr="00126E00" w:rsidRDefault="00873216" w:rsidP="00553F55">
      <w:pPr>
        <w:pStyle w:val="TOCHeading"/>
        <w:spacing w:line="240" w:lineRule="auto"/>
        <w:jc w:val="both"/>
        <w:rPr>
          <w:rFonts w:ascii="Arial" w:hAnsi="Arial" w:cs="Arial"/>
        </w:rPr>
      </w:pPr>
      <w:r w:rsidRPr="00126E00">
        <w:rPr>
          <w:rFonts w:ascii="Arial" w:hAnsi="Arial" w:cs="Arial"/>
        </w:rPr>
        <w:lastRenderedPageBreak/>
        <w:t>Contents</w:t>
      </w:r>
    </w:p>
    <w:p w:rsidR="00632D7C" w:rsidRDefault="0058440C">
      <w:pPr>
        <w:pStyle w:val="TOC1"/>
        <w:tabs>
          <w:tab w:val="right" w:leader="dot" w:pos="9180"/>
        </w:tabs>
        <w:rPr>
          <w:rFonts w:asciiTheme="minorHAnsi" w:eastAsiaTheme="minorEastAsia" w:hAnsiTheme="minorHAnsi" w:cstheme="minorBidi"/>
          <w:b w:val="0"/>
          <w:bCs w:val="0"/>
          <w:caps w:val="0"/>
          <w:noProof/>
          <w:sz w:val="22"/>
          <w:szCs w:val="22"/>
          <w:lang w:eastAsia="en-GB"/>
        </w:rPr>
      </w:pPr>
      <w:r w:rsidRPr="0058440C">
        <w:rPr>
          <w:rFonts w:ascii="Arial" w:hAnsi="Arial" w:cs="Arial"/>
        </w:rPr>
        <w:fldChar w:fldCharType="begin"/>
      </w:r>
      <w:r w:rsidR="00207C5E" w:rsidRPr="00126E00">
        <w:rPr>
          <w:rFonts w:ascii="Arial" w:hAnsi="Arial" w:cs="Arial"/>
        </w:rPr>
        <w:instrText xml:space="preserve"> TOC \o "1-3" \h \z \u </w:instrText>
      </w:r>
      <w:r w:rsidRPr="0058440C">
        <w:rPr>
          <w:rFonts w:ascii="Arial" w:hAnsi="Arial" w:cs="Arial"/>
        </w:rPr>
        <w:fldChar w:fldCharType="separate"/>
      </w:r>
      <w:hyperlink w:anchor="_Toc316544897" w:history="1">
        <w:r w:rsidR="00632D7C" w:rsidRPr="00FE26B2">
          <w:rPr>
            <w:rStyle w:val="Hyperlink"/>
            <w:noProof/>
          </w:rPr>
          <w:t>Executive summary</w:t>
        </w:r>
        <w:r w:rsidR="00632D7C">
          <w:rPr>
            <w:noProof/>
            <w:webHidden/>
          </w:rPr>
          <w:tab/>
        </w:r>
        <w:r w:rsidR="00632D7C">
          <w:rPr>
            <w:noProof/>
            <w:webHidden/>
          </w:rPr>
          <w:fldChar w:fldCharType="begin"/>
        </w:r>
        <w:r w:rsidR="00632D7C">
          <w:rPr>
            <w:noProof/>
            <w:webHidden/>
          </w:rPr>
          <w:instrText xml:space="preserve"> PAGEREF _Toc316544897 \h </w:instrText>
        </w:r>
        <w:r w:rsidR="00632D7C">
          <w:rPr>
            <w:noProof/>
            <w:webHidden/>
          </w:rPr>
        </w:r>
        <w:r w:rsidR="00632D7C">
          <w:rPr>
            <w:noProof/>
            <w:webHidden/>
          </w:rPr>
          <w:fldChar w:fldCharType="separate"/>
        </w:r>
        <w:r w:rsidR="00632D7C">
          <w:rPr>
            <w:noProof/>
            <w:webHidden/>
          </w:rPr>
          <w:t>3</w:t>
        </w:r>
        <w:r w:rsidR="00632D7C">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898" w:history="1">
        <w:r w:rsidRPr="00FE26B2">
          <w:rPr>
            <w:rStyle w:val="Hyperlink"/>
            <w:noProof/>
          </w:rPr>
          <w:t>How to respond</w:t>
        </w:r>
        <w:r>
          <w:rPr>
            <w:noProof/>
            <w:webHidden/>
          </w:rPr>
          <w:tab/>
        </w:r>
        <w:r>
          <w:rPr>
            <w:noProof/>
            <w:webHidden/>
          </w:rPr>
          <w:fldChar w:fldCharType="begin"/>
        </w:r>
        <w:r>
          <w:rPr>
            <w:noProof/>
            <w:webHidden/>
          </w:rPr>
          <w:instrText xml:space="preserve"> PAGEREF _Toc316544898 \h </w:instrText>
        </w:r>
        <w:r>
          <w:rPr>
            <w:noProof/>
            <w:webHidden/>
          </w:rPr>
        </w:r>
        <w:r>
          <w:rPr>
            <w:noProof/>
            <w:webHidden/>
          </w:rPr>
          <w:fldChar w:fldCharType="separate"/>
        </w:r>
        <w:r>
          <w:rPr>
            <w:noProof/>
            <w:webHidden/>
          </w:rPr>
          <w:t>6</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899" w:history="1">
        <w:r w:rsidRPr="00FE26B2">
          <w:rPr>
            <w:rStyle w:val="Hyperlink"/>
            <w:noProof/>
          </w:rPr>
          <w:t>Introduction</w:t>
        </w:r>
        <w:r>
          <w:rPr>
            <w:noProof/>
            <w:webHidden/>
          </w:rPr>
          <w:tab/>
        </w:r>
        <w:r>
          <w:rPr>
            <w:noProof/>
            <w:webHidden/>
          </w:rPr>
          <w:fldChar w:fldCharType="begin"/>
        </w:r>
        <w:r>
          <w:rPr>
            <w:noProof/>
            <w:webHidden/>
          </w:rPr>
          <w:instrText xml:space="preserve"> PAGEREF _Toc316544899 \h </w:instrText>
        </w:r>
        <w:r>
          <w:rPr>
            <w:noProof/>
            <w:webHidden/>
          </w:rPr>
        </w:r>
        <w:r>
          <w:rPr>
            <w:noProof/>
            <w:webHidden/>
          </w:rPr>
          <w:fldChar w:fldCharType="separate"/>
        </w:r>
        <w:r>
          <w:rPr>
            <w:noProof/>
            <w:webHidden/>
          </w:rPr>
          <w:t>8</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00" w:history="1">
        <w:r w:rsidRPr="00FE26B2">
          <w:rPr>
            <w:rStyle w:val="Hyperlink"/>
            <w:noProof/>
          </w:rPr>
          <w:t>Overview of Performance to Date</w:t>
        </w:r>
        <w:r>
          <w:rPr>
            <w:noProof/>
            <w:webHidden/>
          </w:rPr>
          <w:tab/>
        </w:r>
        <w:r>
          <w:rPr>
            <w:noProof/>
            <w:webHidden/>
          </w:rPr>
          <w:fldChar w:fldCharType="begin"/>
        </w:r>
        <w:r>
          <w:rPr>
            <w:noProof/>
            <w:webHidden/>
          </w:rPr>
          <w:instrText xml:space="preserve"> PAGEREF _Toc316544900 \h </w:instrText>
        </w:r>
        <w:r>
          <w:rPr>
            <w:noProof/>
            <w:webHidden/>
          </w:rPr>
        </w:r>
        <w:r>
          <w:rPr>
            <w:noProof/>
            <w:webHidden/>
          </w:rPr>
          <w:fldChar w:fldCharType="separate"/>
        </w:r>
        <w:r>
          <w:rPr>
            <w:noProof/>
            <w:webHidden/>
          </w:rPr>
          <w:t>9</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01" w:history="1">
        <w:r w:rsidRPr="00FE26B2">
          <w:rPr>
            <w:rStyle w:val="Hyperlink"/>
            <w:noProof/>
          </w:rPr>
          <w:t>Overview of the Scheme Performance to 31 December 2011</w:t>
        </w:r>
        <w:r>
          <w:rPr>
            <w:noProof/>
            <w:webHidden/>
          </w:rPr>
          <w:tab/>
        </w:r>
        <w:r>
          <w:rPr>
            <w:noProof/>
            <w:webHidden/>
          </w:rPr>
          <w:fldChar w:fldCharType="begin"/>
        </w:r>
        <w:r>
          <w:rPr>
            <w:noProof/>
            <w:webHidden/>
          </w:rPr>
          <w:instrText xml:space="preserve"> PAGEREF _Toc316544901 \h </w:instrText>
        </w:r>
        <w:r>
          <w:rPr>
            <w:noProof/>
            <w:webHidden/>
          </w:rPr>
        </w:r>
        <w:r>
          <w:rPr>
            <w:noProof/>
            <w:webHidden/>
          </w:rPr>
          <w:fldChar w:fldCharType="separate"/>
        </w:r>
        <w:r>
          <w:rPr>
            <w:noProof/>
            <w:webHidden/>
          </w:rPr>
          <w:t>9</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02" w:history="1">
        <w:r w:rsidRPr="00FE26B2">
          <w:rPr>
            <w:rStyle w:val="Hyperlink"/>
            <w:noProof/>
          </w:rPr>
          <w:t>The Financial Aspects of the Scheme</w:t>
        </w:r>
        <w:r>
          <w:rPr>
            <w:noProof/>
            <w:webHidden/>
          </w:rPr>
          <w:tab/>
        </w:r>
        <w:r>
          <w:rPr>
            <w:noProof/>
            <w:webHidden/>
          </w:rPr>
          <w:fldChar w:fldCharType="begin"/>
        </w:r>
        <w:r>
          <w:rPr>
            <w:noProof/>
            <w:webHidden/>
          </w:rPr>
          <w:instrText xml:space="preserve"> PAGEREF _Toc316544902 \h </w:instrText>
        </w:r>
        <w:r>
          <w:rPr>
            <w:noProof/>
            <w:webHidden/>
          </w:rPr>
        </w:r>
        <w:r>
          <w:rPr>
            <w:noProof/>
            <w:webHidden/>
          </w:rPr>
          <w:fldChar w:fldCharType="separate"/>
        </w:r>
        <w:r>
          <w:rPr>
            <w:noProof/>
            <w:webHidden/>
          </w:rPr>
          <w:t>15</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03" w:history="1">
        <w:r w:rsidRPr="00FE26B2">
          <w:rPr>
            <w:rStyle w:val="Hyperlink"/>
            <w:noProof/>
          </w:rPr>
          <w:t>Tariff Proposals for AD, hydro, wind and microCHP</w:t>
        </w:r>
        <w:r>
          <w:rPr>
            <w:noProof/>
            <w:webHidden/>
          </w:rPr>
          <w:tab/>
        </w:r>
        <w:r>
          <w:rPr>
            <w:noProof/>
            <w:webHidden/>
          </w:rPr>
          <w:fldChar w:fldCharType="begin"/>
        </w:r>
        <w:r>
          <w:rPr>
            <w:noProof/>
            <w:webHidden/>
          </w:rPr>
          <w:instrText xml:space="preserve"> PAGEREF _Toc316544903 \h </w:instrText>
        </w:r>
        <w:r>
          <w:rPr>
            <w:noProof/>
            <w:webHidden/>
          </w:rPr>
        </w:r>
        <w:r>
          <w:rPr>
            <w:noProof/>
            <w:webHidden/>
          </w:rPr>
          <w:fldChar w:fldCharType="separate"/>
        </w:r>
        <w:r>
          <w:rPr>
            <w:noProof/>
            <w:webHidden/>
          </w:rPr>
          <w:t>15</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04" w:history="1">
        <w:r w:rsidRPr="00FE26B2">
          <w:rPr>
            <w:rStyle w:val="Hyperlink"/>
            <w:noProof/>
          </w:rPr>
          <w:t>Value for money</w:t>
        </w:r>
        <w:r>
          <w:rPr>
            <w:noProof/>
            <w:webHidden/>
          </w:rPr>
          <w:tab/>
        </w:r>
        <w:r>
          <w:rPr>
            <w:noProof/>
            <w:webHidden/>
          </w:rPr>
          <w:fldChar w:fldCharType="begin"/>
        </w:r>
        <w:r>
          <w:rPr>
            <w:noProof/>
            <w:webHidden/>
          </w:rPr>
          <w:instrText xml:space="preserve"> PAGEREF _Toc316544904 \h </w:instrText>
        </w:r>
        <w:r>
          <w:rPr>
            <w:noProof/>
            <w:webHidden/>
          </w:rPr>
        </w:r>
        <w:r>
          <w:rPr>
            <w:noProof/>
            <w:webHidden/>
          </w:rPr>
          <w:fldChar w:fldCharType="separate"/>
        </w:r>
        <w:r>
          <w:rPr>
            <w:noProof/>
            <w:webHidden/>
          </w:rPr>
          <w:t>15</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05" w:history="1">
        <w:r w:rsidRPr="00FE26B2">
          <w:rPr>
            <w:rStyle w:val="Hyperlink"/>
            <w:noProof/>
          </w:rPr>
          <w:t>Anaerobic Digestion</w:t>
        </w:r>
        <w:r>
          <w:rPr>
            <w:noProof/>
            <w:webHidden/>
          </w:rPr>
          <w:tab/>
        </w:r>
        <w:r>
          <w:rPr>
            <w:noProof/>
            <w:webHidden/>
          </w:rPr>
          <w:fldChar w:fldCharType="begin"/>
        </w:r>
        <w:r>
          <w:rPr>
            <w:noProof/>
            <w:webHidden/>
          </w:rPr>
          <w:instrText xml:space="preserve"> PAGEREF _Toc316544905 \h </w:instrText>
        </w:r>
        <w:r>
          <w:rPr>
            <w:noProof/>
            <w:webHidden/>
          </w:rPr>
        </w:r>
        <w:r>
          <w:rPr>
            <w:noProof/>
            <w:webHidden/>
          </w:rPr>
          <w:fldChar w:fldCharType="separate"/>
        </w:r>
        <w:r>
          <w:rPr>
            <w:noProof/>
            <w:webHidden/>
          </w:rPr>
          <w:t>16</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06" w:history="1">
        <w:r w:rsidRPr="00FE26B2">
          <w:rPr>
            <w:rStyle w:val="Hyperlink"/>
            <w:noProof/>
          </w:rPr>
          <w:t>Wind</w:t>
        </w:r>
        <w:r>
          <w:rPr>
            <w:noProof/>
            <w:webHidden/>
          </w:rPr>
          <w:tab/>
        </w:r>
        <w:r>
          <w:rPr>
            <w:noProof/>
            <w:webHidden/>
          </w:rPr>
          <w:fldChar w:fldCharType="begin"/>
        </w:r>
        <w:r>
          <w:rPr>
            <w:noProof/>
            <w:webHidden/>
          </w:rPr>
          <w:instrText xml:space="preserve"> PAGEREF _Toc316544906 \h </w:instrText>
        </w:r>
        <w:r>
          <w:rPr>
            <w:noProof/>
            <w:webHidden/>
          </w:rPr>
        </w:r>
        <w:r>
          <w:rPr>
            <w:noProof/>
            <w:webHidden/>
          </w:rPr>
          <w:fldChar w:fldCharType="separate"/>
        </w:r>
        <w:r>
          <w:rPr>
            <w:noProof/>
            <w:webHidden/>
          </w:rPr>
          <w:t>16</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07" w:history="1">
        <w:r w:rsidRPr="00FE26B2">
          <w:rPr>
            <w:rStyle w:val="Hyperlink"/>
            <w:noProof/>
          </w:rPr>
          <w:t>Hydro</w:t>
        </w:r>
        <w:r>
          <w:rPr>
            <w:noProof/>
            <w:webHidden/>
          </w:rPr>
          <w:tab/>
        </w:r>
        <w:r>
          <w:rPr>
            <w:noProof/>
            <w:webHidden/>
          </w:rPr>
          <w:fldChar w:fldCharType="begin"/>
        </w:r>
        <w:r>
          <w:rPr>
            <w:noProof/>
            <w:webHidden/>
          </w:rPr>
          <w:instrText xml:space="preserve"> PAGEREF _Toc316544907 \h </w:instrText>
        </w:r>
        <w:r>
          <w:rPr>
            <w:noProof/>
            <w:webHidden/>
          </w:rPr>
        </w:r>
        <w:r>
          <w:rPr>
            <w:noProof/>
            <w:webHidden/>
          </w:rPr>
          <w:fldChar w:fldCharType="separate"/>
        </w:r>
        <w:r>
          <w:rPr>
            <w:noProof/>
            <w:webHidden/>
          </w:rPr>
          <w:t>17</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08" w:history="1">
        <w:r w:rsidRPr="00FE26B2">
          <w:rPr>
            <w:rStyle w:val="Hyperlink"/>
            <w:noProof/>
          </w:rPr>
          <w:t>MicroCHP</w:t>
        </w:r>
        <w:r>
          <w:rPr>
            <w:noProof/>
            <w:webHidden/>
          </w:rPr>
          <w:tab/>
        </w:r>
        <w:r>
          <w:rPr>
            <w:noProof/>
            <w:webHidden/>
          </w:rPr>
          <w:fldChar w:fldCharType="begin"/>
        </w:r>
        <w:r>
          <w:rPr>
            <w:noProof/>
            <w:webHidden/>
          </w:rPr>
          <w:instrText xml:space="preserve"> PAGEREF _Toc316544908 \h </w:instrText>
        </w:r>
        <w:r>
          <w:rPr>
            <w:noProof/>
            <w:webHidden/>
          </w:rPr>
        </w:r>
        <w:r>
          <w:rPr>
            <w:noProof/>
            <w:webHidden/>
          </w:rPr>
          <w:fldChar w:fldCharType="separate"/>
        </w:r>
        <w:r>
          <w:rPr>
            <w:noProof/>
            <w:webHidden/>
          </w:rPr>
          <w:t>18</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09" w:history="1">
        <w:r w:rsidRPr="00FE26B2">
          <w:rPr>
            <w:rStyle w:val="Hyperlink"/>
            <w:noProof/>
          </w:rPr>
          <w:t>Summary of 2012 tariff proposals</w:t>
        </w:r>
        <w:r>
          <w:rPr>
            <w:noProof/>
            <w:webHidden/>
          </w:rPr>
          <w:tab/>
        </w:r>
        <w:r>
          <w:rPr>
            <w:noProof/>
            <w:webHidden/>
          </w:rPr>
          <w:fldChar w:fldCharType="begin"/>
        </w:r>
        <w:r>
          <w:rPr>
            <w:noProof/>
            <w:webHidden/>
          </w:rPr>
          <w:instrText xml:space="preserve"> PAGEREF _Toc316544909 \h </w:instrText>
        </w:r>
        <w:r>
          <w:rPr>
            <w:noProof/>
            <w:webHidden/>
          </w:rPr>
        </w:r>
        <w:r>
          <w:rPr>
            <w:noProof/>
            <w:webHidden/>
          </w:rPr>
          <w:fldChar w:fldCharType="separate"/>
        </w:r>
        <w:r>
          <w:rPr>
            <w:noProof/>
            <w:webHidden/>
          </w:rPr>
          <w:t>19</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10" w:history="1">
        <w:r w:rsidRPr="00FE26B2">
          <w:rPr>
            <w:rStyle w:val="Hyperlink"/>
            <w:noProof/>
          </w:rPr>
          <w:t>Future Tariff-setting and cost control</w:t>
        </w:r>
        <w:r>
          <w:rPr>
            <w:noProof/>
            <w:webHidden/>
          </w:rPr>
          <w:tab/>
        </w:r>
        <w:r>
          <w:rPr>
            <w:noProof/>
            <w:webHidden/>
          </w:rPr>
          <w:fldChar w:fldCharType="begin"/>
        </w:r>
        <w:r>
          <w:rPr>
            <w:noProof/>
            <w:webHidden/>
          </w:rPr>
          <w:instrText xml:space="preserve"> PAGEREF _Toc316544910 \h </w:instrText>
        </w:r>
        <w:r>
          <w:rPr>
            <w:noProof/>
            <w:webHidden/>
          </w:rPr>
        </w:r>
        <w:r>
          <w:rPr>
            <w:noProof/>
            <w:webHidden/>
          </w:rPr>
          <w:fldChar w:fldCharType="separate"/>
        </w:r>
        <w:r>
          <w:rPr>
            <w:noProof/>
            <w:webHidden/>
          </w:rPr>
          <w:t>19</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11" w:history="1">
        <w:r w:rsidRPr="00FE26B2">
          <w:rPr>
            <w:rStyle w:val="Hyperlink"/>
            <w:noProof/>
          </w:rPr>
          <w:t>Energy Efficiency</w:t>
        </w:r>
        <w:r>
          <w:rPr>
            <w:noProof/>
            <w:webHidden/>
          </w:rPr>
          <w:tab/>
        </w:r>
        <w:r>
          <w:rPr>
            <w:noProof/>
            <w:webHidden/>
          </w:rPr>
          <w:fldChar w:fldCharType="begin"/>
        </w:r>
        <w:r>
          <w:rPr>
            <w:noProof/>
            <w:webHidden/>
          </w:rPr>
          <w:instrText xml:space="preserve"> PAGEREF _Toc316544911 \h </w:instrText>
        </w:r>
        <w:r>
          <w:rPr>
            <w:noProof/>
            <w:webHidden/>
          </w:rPr>
        </w:r>
        <w:r>
          <w:rPr>
            <w:noProof/>
            <w:webHidden/>
          </w:rPr>
          <w:fldChar w:fldCharType="separate"/>
        </w:r>
        <w:r>
          <w:rPr>
            <w:noProof/>
            <w:webHidden/>
          </w:rPr>
          <w:t>22</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12" w:history="1">
        <w:r w:rsidRPr="00FE26B2">
          <w:rPr>
            <w:rStyle w:val="Hyperlink"/>
            <w:noProof/>
          </w:rPr>
          <w:t>Eligibility and Accreditation</w:t>
        </w:r>
        <w:r>
          <w:rPr>
            <w:noProof/>
            <w:webHidden/>
          </w:rPr>
          <w:tab/>
        </w:r>
        <w:r>
          <w:rPr>
            <w:noProof/>
            <w:webHidden/>
          </w:rPr>
          <w:fldChar w:fldCharType="begin"/>
        </w:r>
        <w:r>
          <w:rPr>
            <w:noProof/>
            <w:webHidden/>
          </w:rPr>
          <w:instrText xml:space="preserve"> PAGEREF _Toc316544912 \h </w:instrText>
        </w:r>
        <w:r>
          <w:rPr>
            <w:noProof/>
            <w:webHidden/>
          </w:rPr>
        </w:r>
        <w:r>
          <w:rPr>
            <w:noProof/>
            <w:webHidden/>
          </w:rPr>
          <w:fldChar w:fldCharType="separate"/>
        </w:r>
        <w:r>
          <w:rPr>
            <w:noProof/>
            <w:webHidden/>
          </w:rPr>
          <w:t>24</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3" w:history="1">
        <w:r w:rsidRPr="00FE26B2">
          <w:rPr>
            <w:rStyle w:val="Hyperlink"/>
            <w:noProof/>
          </w:rPr>
          <w:t>Eligibility</w:t>
        </w:r>
        <w:r>
          <w:rPr>
            <w:noProof/>
            <w:webHidden/>
          </w:rPr>
          <w:tab/>
        </w:r>
        <w:r>
          <w:rPr>
            <w:noProof/>
            <w:webHidden/>
          </w:rPr>
          <w:fldChar w:fldCharType="begin"/>
        </w:r>
        <w:r>
          <w:rPr>
            <w:noProof/>
            <w:webHidden/>
          </w:rPr>
          <w:instrText xml:space="preserve"> PAGEREF _Toc316544913 \h </w:instrText>
        </w:r>
        <w:r>
          <w:rPr>
            <w:noProof/>
            <w:webHidden/>
          </w:rPr>
        </w:r>
        <w:r>
          <w:rPr>
            <w:noProof/>
            <w:webHidden/>
          </w:rPr>
          <w:fldChar w:fldCharType="separate"/>
        </w:r>
        <w:r>
          <w:rPr>
            <w:noProof/>
            <w:webHidden/>
          </w:rPr>
          <w:t>24</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4" w:history="1">
        <w:r w:rsidRPr="00FE26B2">
          <w:rPr>
            <w:rStyle w:val="Hyperlink"/>
            <w:noProof/>
          </w:rPr>
          <w:t>New equipment versus second hand</w:t>
        </w:r>
        <w:r>
          <w:rPr>
            <w:noProof/>
            <w:webHidden/>
          </w:rPr>
          <w:tab/>
        </w:r>
        <w:r>
          <w:rPr>
            <w:noProof/>
            <w:webHidden/>
          </w:rPr>
          <w:fldChar w:fldCharType="begin"/>
        </w:r>
        <w:r>
          <w:rPr>
            <w:noProof/>
            <w:webHidden/>
          </w:rPr>
          <w:instrText xml:space="preserve"> PAGEREF _Toc316544914 \h </w:instrText>
        </w:r>
        <w:r>
          <w:rPr>
            <w:noProof/>
            <w:webHidden/>
          </w:rPr>
        </w:r>
        <w:r>
          <w:rPr>
            <w:noProof/>
            <w:webHidden/>
          </w:rPr>
          <w:fldChar w:fldCharType="separate"/>
        </w:r>
        <w:r>
          <w:rPr>
            <w:noProof/>
            <w:webHidden/>
          </w:rPr>
          <w:t>25</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5" w:history="1">
        <w:r w:rsidRPr="00FE26B2">
          <w:rPr>
            <w:rStyle w:val="Hyperlink"/>
            <w:noProof/>
          </w:rPr>
          <w:t>Metering issues</w:t>
        </w:r>
        <w:r>
          <w:rPr>
            <w:noProof/>
            <w:webHidden/>
          </w:rPr>
          <w:tab/>
        </w:r>
        <w:r>
          <w:rPr>
            <w:noProof/>
            <w:webHidden/>
          </w:rPr>
          <w:fldChar w:fldCharType="begin"/>
        </w:r>
        <w:r>
          <w:rPr>
            <w:noProof/>
            <w:webHidden/>
          </w:rPr>
          <w:instrText xml:space="preserve"> PAGEREF _Toc316544915 \h </w:instrText>
        </w:r>
        <w:r>
          <w:rPr>
            <w:noProof/>
            <w:webHidden/>
          </w:rPr>
        </w:r>
        <w:r>
          <w:rPr>
            <w:noProof/>
            <w:webHidden/>
          </w:rPr>
          <w:fldChar w:fldCharType="separate"/>
        </w:r>
        <w:r>
          <w:rPr>
            <w:noProof/>
            <w:webHidden/>
          </w:rPr>
          <w:t>26</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6" w:history="1">
        <w:r w:rsidRPr="00FE26B2">
          <w:rPr>
            <w:rStyle w:val="Hyperlink"/>
            <w:noProof/>
          </w:rPr>
          <w:t>Site</w:t>
        </w:r>
        <w:r>
          <w:rPr>
            <w:noProof/>
            <w:webHidden/>
          </w:rPr>
          <w:tab/>
        </w:r>
        <w:r>
          <w:rPr>
            <w:noProof/>
            <w:webHidden/>
          </w:rPr>
          <w:fldChar w:fldCharType="begin"/>
        </w:r>
        <w:r>
          <w:rPr>
            <w:noProof/>
            <w:webHidden/>
          </w:rPr>
          <w:instrText xml:space="preserve"> PAGEREF _Toc316544916 \h </w:instrText>
        </w:r>
        <w:r>
          <w:rPr>
            <w:noProof/>
            <w:webHidden/>
          </w:rPr>
        </w:r>
        <w:r>
          <w:rPr>
            <w:noProof/>
            <w:webHidden/>
          </w:rPr>
          <w:fldChar w:fldCharType="separate"/>
        </w:r>
        <w:r>
          <w:rPr>
            <w:noProof/>
            <w:webHidden/>
          </w:rPr>
          <w:t>26</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7" w:history="1">
        <w:r w:rsidRPr="00FE26B2">
          <w:rPr>
            <w:rStyle w:val="Hyperlink"/>
            <w:noProof/>
          </w:rPr>
          <w:t>Stand-alone</w:t>
        </w:r>
        <w:r>
          <w:rPr>
            <w:noProof/>
            <w:webHidden/>
          </w:rPr>
          <w:tab/>
        </w:r>
        <w:r>
          <w:rPr>
            <w:noProof/>
            <w:webHidden/>
          </w:rPr>
          <w:fldChar w:fldCharType="begin"/>
        </w:r>
        <w:r>
          <w:rPr>
            <w:noProof/>
            <w:webHidden/>
          </w:rPr>
          <w:instrText xml:space="preserve"> PAGEREF _Toc316544917 \h </w:instrText>
        </w:r>
        <w:r>
          <w:rPr>
            <w:noProof/>
            <w:webHidden/>
          </w:rPr>
        </w:r>
        <w:r>
          <w:rPr>
            <w:noProof/>
            <w:webHidden/>
          </w:rPr>
          <w:fldChar w:fldCharType="separate"/>
        </w:r>
        <w:r>
          <w:rPr>
            <w:noProof/>
            <w:webHidden/>
          </w:rPr>
          <w:t>27</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8" w:history="1">
        <w:r w:rsidRPr="00FE26B2">
          <w:rPr>
            <w:rStyle w:val="Hyperlink"/>
            <w:noProof/>
          </w:rPr>
          <w:t>Mobile/Moving installations</w:t>
        </w:r>
        <w:r>
          <w:rPr>
            <w:noProof/>
            <w:webHidden/>
          </w:rPr>
          <w:tab/>
        </w:r>
        <w:r>
          <w:rPr>
            <w:noProof/>
            <w:webHidden/>
          </w:rPr>
          <w:fldChar w:fldCharType="begin"/>
        </w:r>
        <w:r>
          <w:rPr>
            <w:noProof/>
            <w:webHidden/>
          </w:rPr>
          <w:instrText xml:space="preserve"> PAGEREF _Toc316544918 \h </w:instrText>
        </w:r>
        <w:r>
          <w:rPr>
            <w:noProof/>
            <w:webHidden/>
          </w:rPr>
        </w:r>
        <w:r>
          <w:rPr>
            <w:noProof/>
            <w:webHidden/>
          </w:rPr>
          <w:fldChar w:fldCharType="separate"/>
        </w:r>
        <w:r>
          <w:rPr>
            <w:noProof/>
            <w:webHidden/>
          </w:rPr>
          <w:t>28</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19" w:history="1">
        <w:r w:rsidRPr="00FE26B2">
          <w:rPr>
            <w:rStyle w:val="Hyperlink"/>
            <w:noProof/>
          </w:rPr>
          <w:t>Commissioned</w:t>
        </w:r>
        <w:r>
          <w:rPr>
            <w:noProof/>
            <w:webHidden/>
          </w:rPr>
          <w:tab/>
        </w:r>
        <w:r>
          <w:rPr>
            <w:noProof/>
            <w:webHidden/>
          </w:rPr>
          <w:fldChar w:fldCharType="begin"/>
        </w:r>
        <w:r>
          <w:rPr>
            <w:noProof/>
            <w:webHidden/>
          </w:rPr>
          <w:instrText xml:space="preserve"> PAGEREF _Toc316544919 \h </w:instrText>
        </w:r>
        <w:r>
          <w:rPr>
            <w:noProof/>
            <w:webHidden/>
          </w:rPr>
        </w:r>
        <w:r>
          <w:rPr>
            <w:noProof/>
            <w:webHidden/>
          </w:rPr>
          <w:fldChar w:fldCharType="separate"/>
        </w:r>
        <w:r>
          <w:rPr>
            <w:noProof/>
            <w:webHidden/>
          </w:rPr>
          <w:t>28</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20" w:history="1">
        <w:r w:rsidRPr="00FE26B2">
          <w:rPr>
            <w:rStyle w:val="Hyperlink"/>
            <w:noProof/>
          </w:rPr>
          <w:t>Sustainability issues</w:t>
        </w:r>
        <w:r>
          <w:rPr>
            <w:noProof/>
            <w:webHidden/>
          </w:rPr>
          <w:tab/>
        </w:r>
        <w:r>
          <w:rPr>
            <w:noProof/>
            <w:webHidden/>
          </w:rPr>
          <w:fldChar w:fldCharType="begin"/>
        </w:r>
        <w:r>
          <w:rPr>
            <w:noProof/>
            <w:webHidden/>
          </w:rPr>
          <w:instrText xml:space="preserve"> PAGEREF _Toc316544920 \h </w:instrText>
        </w:r>
        <w:r>
          <w:rPr>
            <w:noProof/>
            <w:webHidden/>
          </w:rPr>
        </w:r>
        <w:r>
          <w:rPr>
            <w:noProof/>
            <w:webHidden/>
          </w:rPr>
          <w:fldChar w:fldCharType="separate"/>
        </w:r>
        <w:r>
          <w:rPr>
            <w:noProof/>
            <w:webHidden/>
          </w:rPr>
          <w:t>33</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21" w:history="1">
        <w:r w:rsidRPr="00FE26B2">
          <w:rPr>
            <w:rStyle w:val="Hyperlink"/>
            <w:noProof/>
          </w:rPr>
          <w:t>Hydro</w:t>
        </w:r>
        <w:r>
          <w:rPr>
            <w:noProof/>
            <w:webHidden/>
          </w:rPr>
          <w:tab/>
        </w:r>
        <w:r>
          <w:rPr>
            <w:noProof/>
            <w:webHidden/>
          </w:rPr>
          <w:fldChar w:fldCharType="begin"/>
        </w:r>
        <w:r>
          <w:rPr>
            <w:noProof/>
            <w:webHidden/>
          </w:rPr>
          <w:instrText xml:space="preserve"> PAGEREF _Toc316544921 \h </w:instrText>
        </w:r>
        <w:r>
          <w:rPr>
            <w:noProof/>
            <w:webHidden/>
          </w:rPr>
        </w:r>
        <w:r>
          <w:rPr>
            <w:noProof/>
            <w:webHidden/>
          </w:rPr>
          <w:fldChar w:fldCharType="separate"/>
        </w:r>
        <w:r>
          <w:rPr>
            <w:noProof/>
            <w:webHidden/>
          </w:rPr>
          <w:t>33</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22" w:history="1">
        <w:r w:rsidRPr="00FE26B2">
          <w:rPr>
            <w:rStyle w:val="Hyperlink"/>
            <w:noProof/>
          </w:rPr>
          <w:t>Anaerobic Digestion</w:t>
        </w:r>
        <w:r>
          <w:rPr>
            <w:noProof/>
            <w:webHidden/>
          </w:rPr>
          <w:tab/>
        </w:r>
        <w:r>
          <w:rPr>
            <w:noProof/>
            <w:webHidden/>
          </w:rPr>
          <w:fldChar w:fldCharType="begin"/>
        </w:r>
        <w:r>
          <w:rPr>
            <w:noProof/>
            <w:webHidden/>
          </w:rPr>
          <w:instrText xml:space="preserve"> PAGEREF _Toc316544922 \h </w:instrText>
        </w:r>
        <w:r>
          <w:rPr>
            <w:noProof/>
            <w:webHidden/>
          </w:rPr>
        </w:r>
        <w:r>
          <w:rPr>
            <w:noProof/>
            <w:webHidden/>
          </w:rPr>
          <w:fldChar w:fldCharType="separate"/>
        </w:r>
        <w:r>
          <w:rPr>
            <w:noProof/>
            <w:webHidden/>
          </w:rPr>
          <w:t>34</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23" w:history="1">
        <w:r w:rsidRPr="00FE26B2">
          <w:rPr>
            <w:rStyle w:val="Hyperlink"/>
            <w:noProof/>
          </w:rPr>
          <w:t>Community and multi-installation projects</w:t>
        </w:r>
        <w:r>
          <w:rPr>
            <w:noProof/>
            <w:webHidden/>
          </w:rPr>
          <w:tab/>
        </w:r>
        <w:r>
          <w:rPr>
            <w:noProof/>
            <w:webHidden/>
          </w:rPr>
          <w:fldChar w:fldCharType="begin"/>
        </w:r>
        <w:r>
          <w:rPr>
            <w:noProof/>
            <w:webHidden/>
          </w:rPr>
          <w:instrText xml:space="preserve"> PAGEREF _Toc316544923 \h </w:instrText>
        </w:r>
        <w:r>
          <w:rPr>
            <w:noProof/>
            <w:webHidden/>
          </w:rPr>
        </w:r>
        <w:r>
          <w:rPr>
            <w:noProof/>
            <w:webHidden/>
          </w:rPr>
          <w:fldChar w:fldCharType="separate"/>
        </w:r>
        <w:r>
          <w:rPr>
            <w:noProof/>
            <w:webHidden/>
          </w:rPr>
          <w:t>36</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24" w:history="1">
        <w:r w:rsidRPr="00FE26B2">
          <w:rPr>
            <w:rStyle w:val="Hyperlink"/>
            <w:noProof/>
          </w:rPr>
          <w:t>Multi-installations for commercial and community schemes</w:t>
        </w:r>
        <w:r>
          <w:rPr>
            <w:noProof/>
            <w:webHidden/>
          </w:rPr>
          <w:tab/>
        </w:r>
        <w:r>
          <w:rPr>
            <w:noProof/>
            <w:webHidden/>
          </w:rPr>
          <w:fldChar w:fldCharType="begin"/>
        </w:r>
        <w:r>
          <w:rPr>
            <w:noProof/>
            <w:webHidden/>
          </w:rPr>
          <w:instrText xml:space="preserve"> PAGEREF _Toc316544924 \h </w:instrText>
        </w:r>
        <w:r>
          <w:rPr>
            <w:noProof/>
            <w:webHidden/>
          </w:rPr>
        </w:r>
        <w:r>
          <w:rPr>
            <w:noProof/>
            <w:webHidden/>
          </w:rPr>
          <w:fldChar w:fldCharType="separate"/>
        </w:r>
        <w:r>
          <w:rPr>
            <w:noProof/>
            <w:webHidden/>
          </w:rPr>
          <w:t>38</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25" w:history="1">
        <w:r w:rsidRPr="00FE26B2">
          <w:rPr>
            <w:rStyle w:val="Hyperlink"/>
            <w:noProof/>
          </w:rPr>
          <w:t>More certainty for Community Projects</w:t>
        </w:r>
        <w:r>
          <w:rPr>
            <w:noProof/>
            <w:webHidden/>
          </w:rPr>
          <w:tab/>
        </w:r>
        <w:r>
          <w:rPr>
            <w:noProof/>
            <w:webHidden/>
          </w:rPr>
          <w:fldChar w:fldCharType="begin"/>
        </w:r>
        <w:r>
          <w:rPr>
            <w:noProof/>
            <w:webHidden/>
          </w:rPr>
          <w:instrText xml:space="preserve"> PAGEREF _Toc316544925 \h </w:instrText>
        </w:r>
        <w:r>
          <w:rPr>
            <w:noProof/>
            <w:webHidden/>
          </w:rPr>
        </w:r>
        <w:r>
          <w:rPr>
            <w:noProof/>
            <w:webHidden/>
          </w:rPr>
          <w:fldChar w:fldCharType="separate"/>
        </w:r>
        <w:r>
          <w:rPr>
            <w:noProof/>
            <w:webHidden/>
          </w:rPr>
          <w:t>39</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26" w:history="1">
        <w:r w:rsidRPr="00FE26B2">
          <w:rPr>
            <w:rStyle w:val="Hyperlink"/>
            <w:noProof/>
          </w:rPr>
          <w:t>Consumer Issues</w:t>
        </w:r>
        <w:r>
          <w:rPr>
            <w:noProof/>
            <w:webHidden/>
          </w:rPr>
          <w:tab/>
        </w:r>
        <w:r>
          <w:rPr>
            <w:noProof/>
            <w:webHidden/>
          </w:rPr>
          <w:fldChar w:fldCharType="begin"/>
        </w:r>
        <w:r>
          <w:rPr>
            <w:noProof/>
            <w:webHidden/>
          </w:rPr>
          <w:instrText xml:space="preserve"> PAGEREF _Toc316544926 \h </w:instrText>
        </w:r>
        <w:r>
          <w:rPr>
            <w:noProof/>
            <w:webHidden/>
          </w:rPr>
        </w:r>
        <w:r>
          <w:rPr>
            <w:noProof/>
            <w:webHidden/>
          </w:rPr>
          <w:fldChar w:fldCharType="separate"/>
        </w:r>
        <w:r>
          <w:rPr>
            <w:noProof/>
            <w:webHidden/>
          </w:rPr>
          <w:t>41</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27" w:history="1">
        <w:r w:rsidRPr="00FE26B2">
          <w:rPr>
            <w:rStyle w:val="Hyperlink"/>
            <w:noProof/>
          </w:rPr>
          <w:t>Compliance and Enforcement</w:t>
        </w:r>
        <w:r>
          <w:rPr>
            <w:noProof/>
            <w:webHidden/>
          </w:rPr>
          <w:tab/>
        </w:r>
        <w:r>
          <w:rPr>
            <w:noProof/>
            <w:webHidden/>
          </w:rPr>
          <w:fldChar w:fldCharType="begin"/>
        </w:r>
        <w:r>
          <w:rPr>
            <w:noProof/>
            <w:webHidden/>
          </w:rPr>
          <w:instrText xml:space="preserve"> PAGEREF _Toc316544927 \h </w:instrText>
        </w:r>
        <w:r>
          <w:rPr>
            <w:noProof/>
            <w:webHidden/>
          </w:rPr>
        </w:r>
        <w:r>
          <w:rPr>
            <w:noProof/>
            <w:webHidden/>
          </w:rPr>
          <w:fldChar w:fldCharType="separate"/>
        </w:r>
        <w:r>
          <w:rPr>
            <w:noProof/>
            <w:webHidden/>
          </w:rPr>
          <w:t>41</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28" w:history="1">
        <w:r w:rsidRPr="00FE26B2">
          <w:rPr>
            <w:rStyle w:val="Hyperlink"/>
            <w:noProof/>
          </w:rPr>
          <w:t>Advice and Support for Generators</w:t>
        </w:r>
        <w:r>
          <w:rPr>
            <w:noProof/>
            <w:webHidden/>
          </w:rPr>
          <w:tab/>
        </w:r>
        <w:r>
          <w:rPr>
            <w:noProof/>
            <w:webHidden/>
          </w:rPr>
          <w:fldChar w:fldCharType="begin"/>
        </w:r>
        <w:r>
          <w:rPr>
            <w:noProof/>
            <w:webHidden/>
          </w:rPr>
          <w:instrText xml:space="preserve"> PAGEREF _Toc316544928 \h </w:instrText>
        </w:r>
        <w:r>
          <w:rPr>
            <w:noProof/>
            <w:webHidden/>
          </w:rPr>
        </w:r>
        <w:r>
          <w:rPr>
            <w:noProof/>
            <w:webHidden/>
          </w:rPr>
          <w:fldChar w:fldCharType="separate"/>
        </w:r>
        <w:r>
          <w:rPr>
            <w:noProof/>
            <w:webHidden/>
          </w:rPr>
          <w:t>42</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29" w:history="1">
        <w:r w:rsidRPr="00FE26B2">
          <w:rPr>
            <w:rStyle w:val="Hyperlink"/>
            <w:noProof/>
          </w:rPr>
          <w:t>FITs summary of terms</w:t>
        </w:r>
        <w:r>
          <w:rPr>
            <w:noProof/>
            <w:webHidden/>
          </w:rPr>
          <w:tab/>
        </w:r>
        <w:r>
          <w:rPr>
            <w:noProof/>
            <w:webHidden/>
          </w:rPr>
          <w:fldChar w:fldCharType="begin"/>
        </w:r>
        <w:r>
          <w:rPr>
            <w:noProof/>
            <w:webHidden/>
          </w:rPr>
          <w:instrText xml:space="preserve"> PAGEREF _Toc316544929 \h </w:instrText>
        </w:r>
        <w:r>
          <w:rPr>
            <w:noProof/>
            <w:webHidden/>
          </w:rPr>
        </w:r>
        <w:r>
          <w:rPr>
            <w:noProof/>
            <w:webHidden/>
          </w:rPr>
          <w:fldChar w:fldCharType="separate"/>
        </w:r>
        <w:r>
          <w:rPr>
            <w:noProof/>
            <w:webHidden/>
          </w:rPr>
          <w:t>43</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30" w:history="1">
        <w:r w:rsidRPr="00FE26B2">
          <w:rPr>
            <w:rStyle w:val="Hyperlink"/>
            <w:noProof/>
          </w:rPr>
          <w:t>Complaints</w:t>
        </w:r>
        <w:r>
          <w:rPr>
            <w:noProof/>
            <w:webHidden/>
          </w:rPr>
          <w:tab/>
        </w:r>
        <w:r>
          <w:rPr>
            <w:noProof/>
            <w:webHidden/>
          </w:rPr>
          <w:fldChar w:fldCharType="begin"/>
        </w:r>
        <w:r>
          <w:rPr>
            <w:noProof/>
            <w:webHidden/>
          </w:rPr>
          <w:instrText xml:space="preserve"> PAGEREF _Toc316544930 \h </w:instrText>
        </w:r>
        <w:r>
          <w:rPr>
            <w:noProof/>
            <w:webHidden/>
          </w:rPr>
        </w:r>
        <w:r>
          <w:rPr>
            <w:noProof/>
            <w:webHidden/>
          </w:rPr>
          <w:fldChar w:fldCharType="separate"/>
        </w:r>
        <w:r>
          <w:rPr>
            <w:noProof/>
            <w:webHidden/>
          </w:rPr>
          <w:t>43</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31" w:history="1">
        <w:r w:rsidRPr="00FE26B2">
          <w:rPr>
            <w:rStyle w:val="Hyperlink"/>
            <w:noProof/>
          </w:rPr>
          <w:t>Licensee Issues</w:t>
        </w:r>
        <w:r>
          <w:rPr>
            <w:noProof/>
            <w:webHidden/>
          </w:rPr>
          <w:tab/>
        </w:r>
        <w:r>
          <w:rPr>
            <w:noProof/>
            <w:webHidden/>
          </w:rPr>
          <w:fldChar w:fldCharType="begin"/>
        </w:r>
        <w:r>
          <w:rPr>
            <w:noProof/>
            <w:webHidden/>
          </w:rPr>
          <w:instrText xml:space="preserve"> PAGEREF _Toc316544931 \h </w:instrText>
        </w:r>
        <w:r>
          <w:rPr>
            <w:noProof/>
            <w:webHidden/>
          </w:rPr>
        </w:r>
        <w:r>
          <w:rPr>
            <w:noProof/>
            <w:webHidden/>
          </w:rPr>
          <w:fldChar w:fldCharType="separate"/>
        </w:r>
        <w:r>
          <w:rPr>
            <w:noProof/>
            <w:webHidden/>
          </w:rPr>
          <w:t>45</w:t>
        </w:r>
        <w:r>
          <w:rPr>
            <w:noProof/>
            <w:webHidden/>
          </w:rPr>
          <w:fldChar w:fldCharType="end"/>
        </w:r>
      </w:hyperlink>
    </w:p>
    <w:p w:rsidR="00632D7C" w:rsidRDefault="00632D7C">
      <w:pPr>
        <w:pStyle w:val="TOC2"/>
        <w:tabs>
          <w:tab w:val="right" w:leader="dot" w:pos="9180"/>
        </w:tabs>
        <w:rPr>
          <w:rFonts w:asciiTheme="minorHAnsi" w:eastAsiaTheme="minorEastAsia" w:hAnsiTheme="minorHAnsi" w:cstheme="minorBidi"/>
          <w:smallCaps w:val="0"/>
          <w:noProof/>
          <w:sz w:val="22"/>
          <w:szCs w:val="22"/>
          <w:lang w:eastAsia="en-GB"/>
        </w:rPr>
      </w:pPr>
      <w:hyperlink w:anchor="_Toc316544932" w:history="1">
        <w:r w:rsidRPr="00FE26B2">
          <w:rPr>
            <w:rStyle w:val="Hyperlink"/>
            <w:noProof/>
          </w:rPr>
          <w:t>Thresholds for licensees</w:t>
        </w:r>
        <w:r>
          <w:rPr>
            <w:noProof/>
            <w:webHidden/>
          </w:rPr>
          <w:tab/>
        </w:r>
        <w:r>
          <w:rPr>
            <w:noProof/>
            <w:webHidden/>
          </w:rPr>
          <w:fldChar w:fldCharType="begin"/>
        </w:r>
        <w:r>
          <w:rPr>
            <w:noProof/>
            <w:webHidden/>
          </w:rPr>
          <w:instrText xml:space="preserve"> PAGEREF _Toc316544932 \h </w:instrText>
        </w:r>
        <w:r>
          <w:rPr>
            <w:noProof/>
            <w:webHidden/>
          </w:rPr>
        </w:r>
        <w:r>
          <w:rPr>
            <w:noProof/>
            <w:webHidden/>
          </w:rPr>
          <w:fldChar w:fldCharType="separate"/>
        </w:r>
        <w:r>
          <w:rPr>
            <w:noProof/>
            <w:webHidden/>
          </w:rPr>
          <w:t>45</w:t>
        </w:r>
        <w:r>
          <w:rPr>
            <w:noProof/>
            <w:webHidden/>
          </w:rPr>
          <w:fldChar w:fldCharType="end"/>
        </w:r>
      </w:hyperlink>
    </w:p>
    <w:p w:rsidR="00632D7C" w:rsidRDefault="00632D7C">
      <w:pPr>
        <w:pStyle w:val="TOC3"/>
        <w:tabs>
          <w:tab w:val="right" w:leader="dot" w:pos="9180"/>
        </w:tabs>
        <w:rPr>
          <w:rFonts w:asciiTheme="minorHAnsi" w:eastAsiaTheme="minorEastAsia" w:hAnsiTheme="minorHAnsi" w:cstheme="minorBidi"/>
          <w:i w:val="0"/>
          <w:iCs w:val="0"/>
          <w:noProof/>
          <w:sz w:val="22"/>
          <w:szCs w:val="22"/>
          <w:lang w:eastAsia="en-GB"/>
        </w:rPr>
      </w:pPr>
      <w:hyperlink w:anchor="_Toc316544933" w:history="1">
        <w:r w:rsidRPr="00FE26B2">
          <w:rPr>
            <w:rStyle w:val="Hyperlink"/>
            <w:noProof/>
          </w:rPr>
          <w:t>Data Collection</w:t>
        </w:r>
        <w:r>
          <w:rPr>
            <w:noProof/>
            <w:webHidden/>
          </w:rPr>
          <w:tab/>
        </w:r>
        <w:r>
          <w:rPr>
            <w:noProof/>
            <w:webHidden/>
          </w:rPr>
          <w:fldChar w:fldCharType="begin"/>
        </w:r>
        <w:r>
          <w:rPr>
            <w:noProof/>
            <w:webHidden/>
          </w:rPr>
          <w:instrText xml:space="preserve"> PAGEREF _Toc316544933 \h </w:instrText>
        </w:r>
        <w:r>
          <w:rPr>
            <w:noProof/>
            <w:webHidden/>
          </w:rPr>
        </w:r>
        <w:r>
          <w:rPr>
            <w:noProof/>
            <w:webHidden/>
          </w:rPr>
          <w:fldChar w:fldCharType="separate"/>
        </w:r>
        <w:r>
          <w:rPr>
            <w:noProof/>
            <w:webHidden/>
          </w:rPr>
          <w:t>46</w:t>
        </w:r>
        <w:r>
          <w:rPr>
            <w:noProof/>
            <w:webHidden/>
          </w:rPr>
          <w:fldChar w:fldCharType="end"/>
        </w:r>
      </w:hyperlink>
    </w:p>
    <w:p w:rsidR="00632D7C" w:rsidRDefault="00632D7C">
      <w:pPr>
        <w:pStyle w:val="TOC1"/>
        <w:tabs>
          <w:tab w:val="right" w:leader="dot" w:pos="9180"/>
        </w:tabs>
        <w:rPr>
          <w:rFonts w:asciiTheme="minorHAnsi" w:eastAsiaTheme="minorEastAsia" w:hAnsiTheme="minorHAnsi" w:cstheme="minorBidi"/>
          <w:b w:val="0"/>
          <w:bCs w:val="0"/>
          <w:caps w:val="0"/>
          <w:noProof/>
          <w:sz w:val="22"/>
          <w:szCs w:val="22"/>
          <w:lang w:eastAsia="en-GB"/>
        </w:rPr>
      </w:pPr>
      <w:hyperlink w:anchor="_Toc316544934" w:history="1">
        <w:r w:rsidRPr="00FE26B2">
          <w:rPr>
            <w:rStyle w:val="Hyperlink"/>
            <w:noProof/>
          </w:rPr>
          <w:t>Annex A – List of Questions</w:t>
        </w:r>
        <w:r>
          <w:rPr>
            <w:noProof/>
            <w:webHidden/>
          </w:rPr>
          <w:tab/>
        </w:r>
        <w:r>
          <w:rPr>
            <w:noProof/>
            <w:webHidden/>
          </w:rPr>
          <w:fldChar w:fldCharType="begin"/>
        </w:r>
        <w:r>
          <w:rPr>
            <w:noProof/>
            <w:webHidden/>
          </w:rPr>
          <w:instrText xml:space="preserve"> PAGEREF _Toc316544934 \h </w:instrText>
        </w:r>
        <w:r>
          <w:rPr>
            <w:noProof/>
            <w:webHidden/>
          </w:rPr>
        </w:r>
        <w:r>
          <w:rPr>
            <w:noProof/>
            <w:webHidden/>
          </w:rPr>
          <w:fldChar w:fldCharType="separate"/>
        </w:r>
        <w:r>
          <w:rPr>
            <w:noProof/>
            <w:webHidden/>
          </w:rPr>
          <w:t>49</w:t>
        </w:r>
        <w:r>
          <w:rPr>
            <w:noProof/>
            <w:webHidden/>
          </w:rPr>
          <w:fldChar w:fldCharType="end"/>
        </w:r>
      </w:hyperlink>
    </w:p>
    <w:p w:rsidR="001A075C" w:rsidRPr="001A075C" w:rsidRDefault="0058440C" w:rsidP="00C10817">
      <w:pPr>
        <w:pStyle w:val="Heading1"/>
      </w:pPr>
      <w:r w:rsidRPr="00126E00">
        <w:rPr>
          <w:rFonts w:cs="Arial"/>
        </w:rPr>
        <w:fldChar w:fldCharType="end"/>
      </w:r>
      <w:bookmarkStart w:id="4" w:name="_Toc264294126"/>
      <w:r w:rsidR="008D7092">
        <w:br w:type="page"/>
      </w:r>
      <w:bookmarkStart w:id="5" w:name="_Toc267987516"/>
      <w:bookmarkStart w:id="6" w:name="_Toc314568809"/>
      <w:bookmarkStart w:id="7" w:name="_Toc314573185"/>
      <w:bookmarkStart w:id="8" w:name="OLE_LINK26"/>
      <w:bookmarkStart w:id="9" w:name="OLE_LINK27"/>
      <w:bookmarkStart w:id="10" w:name="_Toc316544897"/>
      <w:bookmarkEnd w:id="4"/>
      <w:r w:rsidR="001A075C" w:rsidRPr="001A075C">
        <w:lastRenderedPageBreak/>
        <w:t>Executive summary</w:t>
      </w:r>
      <w:bookmarkEnd w:id="5"/>
      <w:bookmarkEnd w:id="6"/>
      <w:bookmarkEnd w:id="7"/>
      <w:bookmarkEnd w:id="10"/>
    </w:p>
    <w:p w:rsidR="003F5575" w:rsidRPr="003F5575" w:rsidRDefault="003F5575" w:rsidP="001A075C">
      <w:pPr>
        <w:pStyle w:val="NoSpacing"/>
      </w:pPr>
    </w:p>
    <w:p w:rsidR="002B30B6" w:rsidRDefault="002B30B6" w:rsidP="00342430">
      <w:pPr>
        <w:numPr>
          <w:ilvl w:val="0"/>
          <w:numId w:val="44"/>
        </w:numPr>
        <w:ind w:left="284" w:right="113" w:hanging="142"/>
      </w:pPr>
      <w:bookmarkStart w:id="11" w:name="_Toc264294127"/>
      <w:bookmarkStart w:id="12" w:name="_Toc267987517"/>
      <w:bookmarkEnd w:id="8"/>
      <w:bookmarkEnd w:id="9"/>
      <w:r>
        <w:t>T</w:t>
      </w:r>
      <w:r w:rsidRPr="005733AC">
        <w:t xml:space="preserve">he FITs scheme was introduced in April 2010, </w:t>
      </w:r>
      <w:r>
        <w:t>to work alongside the Renewables Obligation (RO) and the Renewable Heat Incentive</w:t>
      </w:r>
      <w:r w:rsidR="00413A9C">
        <w:t xml:space="preserve"> (RHI)</w:t>
      </w:r>
      <w:r>
        <w:t>. It</w:t>
      </w:r>
      <w:r w:rsidRPr="005733AC">
        <w:t xml:space="preserve"> provid</w:t>
      </w:r>
      <w:r>
        <w:t>es</w:t>
      </w:r>
      <w:r w:rsidRPr="005733AC">
        <w:t xml:space="preserve"> financial support for generation of electricity from anaerobic digestion (AD), hydro, solar photovoltaic (PV) and wind generation up to 5 megawatts capacity, </w:t>
      </w:r>
      <w:r w:rsidR="00413A9C">
        <w:t>as well as</w:t>
      </w:r>
      <w:r w:rsidRPr="005733AC">
        <w:t xml:space="preserve"> domestic-scale (up to 2 kilowatts electrical capacity) non-renewable micro combined heat and power (</w:t>
      </w:r>
      <w:proofErr w:type="spellStart"/>
      <w:r w:rsidRPr="005733AC">
        <w:t>microCHP</w:t>
      </w:r>
      <w:proofErr w:type="spellEnd"/>
      <w:r w:rsidRPr="005733AC">
        <w:t xml:space="preserve">). Details of deployment under the scheme so far are summarised in Chapter </w:t>
      </w:r>
      <w:r>
        <w:t>1.</w:t>
      </w:r>
      <w:r w:rsidRPr="005733AC">
        <w:t xml:space="preserve"> </w:t>
      </w:r>
    </w:p>
    <w:p w:rsidR="002B30B6" w:rsidRDefault="002B30B6" w:rsidP="00342430">
      <w:pPr>
        <w:numPr>
          <w:ilvl w:val="0"/>
          <w:numId w:val="44"/>
        </w:numPr>
        <w:ind w:left="284" w:right="113" w:hanging="142"/>
        <w:rPr>
          <w:rFonts w:ascii="Verdana" w:hAnsi="Verdana"/>
          <w:color w:val="111111"/>
          <w:sz w:val="21"/>
          <w:szCs w:val="21"/>
        </w:rPr>
      </w:pPr>
      <w:r w:rsidRPr="00C20CCA">
        <w:rPr>
          <w:rFonts w:cs="Arial"/>
          <w:color w:val="111111"/>
        </w:rPr>
        <w:t>The Renewable Energy Roadmap</w:t>
      </w:r>
      <w:r>
        <w:rPr>
          <w:rFonts w:cs="Arial"/>
          <w:color w:val="111111"/>
        </w:rPr>
        <w:t>,</w:t>
      </w:r>
      <w:r w:rsidRPr="00C20CCA">
        <w:rPr>
          <w:rFonts w:cs="Arial"/>
          <w:color w:val="111111"/>
        </w:rPr>
        <w:t xml:space="preserve"> published in July 2011</w:t>
      </w:r>
      <w:r>
        <w:rPr>
          <w:rFonts w:cs="Arial"/>
          <w:color w:val="111111"/>
        </w:rPr>
        <w:t>,</w:t>
      </w:r>
      <w:r w:rsidRPr="00C20CCA">
        <w:rPr>
          <w:rFonts w:cs="Arial"/>
          <w:color w:val="111111"/>
        </w:rPr>
        <w:t xml:space="preserve"> sets out a targeted plan of actions for delivery of </w:t>
      </w:r>
      <w:r>
        <w:rPr>
          <w:rFonts w:cs="Arial"/>
          <w:color w:val="111111"/>
        </w:rPr>
        <w:t>the UK’s</w:t>
      </w:r>
      <w:r w:rsidRPr="00C20CCA">
        <w:rPr>
          <w:rFonts w:cs="Arial"/>
          <w:color w:val="111111"/>
        </w:rPr>
        <w:t xml:space="preserve"> 2020  renewable energy target</w:t>
      </w:r>
      <w:r>
        <w:rPr>
          <w:rFonts w:cs="Arial"/>
          <w:color w:val="111111"/>
        </w:rPr>
        <w:t>. It</w:t>
      </w:r>
      <w:r w:rsidRPr="00C20CCA">
        <w:rPr>
          <w:rFonts w:cs="Arial"/>
          <w:color w:val="111111"/>
        </w:rPr>
        <w:t xml:space="preserve"> focus</w:t>
      </w:r>
      <w:r>
        <w:rPr>
          <w:rFonts w:cs="Arial"/>
          <w:color w:val="111111"/>
        </w:rPr>
        <w:t>es</w:t>
      </w:r>
      <w:r w:rsidR="00413A9C">
        <w:rPr>
          <w:rFonts w:cs="Arial"/>
          <w:color w:val="111111"/>
        </w:rPr>
        <w:t xml:space="preserve"> on eight key technologies</w:t>
      </w:r>
      <w:r w:rsidRPr="00C20CCA">
        <w:rPr>
          <w:rFonts w:cs="Arial"/>
          <w:color w:val="111111"/>
        </w:rPr>
        <w:t xml:space="preserve"> </w:t>
      </w:r>
      <w:r w:rsidRPr="00342430">
        <w:t>which</w:t>
      </w:r>
      <w:r w:rsidR="00413A9C">
        <w:rPr>
          <w:rFonts w:cs="Arial"/>
          <w:color w:val="111111"/>
        </w:rPr>
        <w:t>,</w:t>
      </w:r>
      <w:r w:rsidRPr="00C20CCA">
        <w:rPr>
          <w:rFonts w:cs="Arial"/>
          <w:color w:val="111111"/>
        </w:rPr>
        <w:t xml:space="preserve"> </w:t>
      </w:r>
      <w:r>
        <w:rPr>
          <w:rFonts w:cs="Arial"/>
          <w:color w:val="111111"/>
        </w:rPr>
        <w:t>at the time of drafting</w:t>
      </w:r>
      <w:r w:rsidR="00413A9C">
        <w:rPr>
          <w:rFonts w:cs="Arial"/>
          <w:color w:val="111111"/>
        </w:rPr>
        <w:t>,</w:t>
      </w:r>
      <w:r>
        <w:rPr>
          <w:rFonts w:cs="Arial"/>
          <w:color w:val="111111"/>
        </w:rPr>
        <w:t xml:space="preserve"> were </w:t>
      </w:r>
      <w:r w:rsidRPr="00C20CCA">
        <w:rPr>
          <w:rFonts w:cs="Arial"/>
          <w:color w:val="111111"/>
        </w:rPr>
        <w:t>estimated to provide most cost-effectively around  90% of the energy necessary to meet our 2020 commitment under the Renewable Energy Directive.</w:t>
      </w:r>
      <w:r w:rsidRPr="00C20CCA">
        <w:rPr>
          <w:rFonts w:ascii="Verdana" w:hAnsi="Verdana"/>
          <w:color w:val="111111"/>
          <w:sz w:val="21"/>
          <w:szCs w:val="21"/>
        </w:rPr>
        <w:t xml:space="preserve"> </w:t>
      </w:r>
    </w:p>
    <w:p w:rsidR="00DA0198" w:rsidRDefault="002B30B6" w:rsidP="00342430">
      <w:pPr>
        <w:numPr>
          <w:ilvl w:val="0"/>
          <w:numId w:val="44"/>
        </w:numPr>
        <w:ind w:left="284" w:right="113" w:hanging="142"/>
      </w:pPr>
      <w:r w:rsidRPr="00C20CCA">
        <w:t xml:space="preserve">The FITs scheme </w:t>
      </w:r>
      <w:r>
        <w:t xml:space="preserve">complements the aims of the Roadmap by </w:t>
      </w:r>
      <w:r w:rsidRPr="00C20CCA">
        <w:t>promot</w:t>
      </w:r>
      <w:r>
        <w:t>ing</w:t>
      </w:r>
      <w:r w:rsidRPr="00C20CCA">
        <w:t xml:space="preserve"> take up of small-scale low-carbon electricity technologies by the public and communities</w:t>
      </w:r>
      <w:r>
        <w:t>.</w:t>
      </w:r>
      <w:r w:rsidRPr="00C20CCA">
        <w:t xml:space="preserve"> Aimed at individuals and relatively small installations, this </w:t>
      </w:r>
      <w:r>
        <w:t xml:space="preserve">generation capacity </w:t>
      </w:r>
      <w:r w:rsidRPr="00C20CCA">
        <w:t>will play a role</w:t>
      </w:r>
      <w:r>
        <w:t>, albeit more limited than for larger technologies,</w:t>
      </w:r>
      <w:r w:rsidRPr="00C20CCA">
        <w:t xml:space="preserve"> in meeting the UK’s 2020 renewable energy target. </w:t>
      </w:r>
      <w:r>
        <w:t>In considering the overall renewable energy mix, it is crucial to be mindful of the need to meet targets cost-effectively, as well as the different benefits that each technology can bring</w:t>
      </w:r>
    </w:p>
    <w:p w:rsidR="002B30B6" w:rsidRDefault="002B30B6" w:rsidP="00342430">
      <w:pPr>
        <w:numPr>
          <w:ilvl w:val="0"/>
          <w:numId w:val="44"/>
        </w:numPr>
        <w:ind w:left="284" w:right="113" w:hanging="142"/>
      </w:pPr>
      <w:r w:rsidRPr="005733AC">
        <w:t>Regular reviews are a key part of the scheme</w:t>
      </w:r>
      <w:r>
        <w:t xml:space="preserve">; this is particularly important </w:t>
      </w:r>
      <w:r w:rsidRPr="005733AC">
        <w:t xml:space="preserve">if circumstances change. In February 2011, the Secretary of State announced the start of the first comprehensive review of FITs in response to expectations that uptake of PV would be faster than predicted and the </w:t>
      </w:r>
      <w:r>
        <w:t xml:space="preserve">general </w:t>
      </w:r>
      <w:r w:rsidRPr="005733AC">
        <w:t xml:space="preserve">need to work within a framework of strict fiscal discipline. He also announced that the review would include fast-track consideration of FITs for solar PV above the </w:t>
      </w:r>
      <w:proofErr w:type="spellStart"/>
      <w:r w:rsidRPr="005733AC">
        <w:t>microgeneration</w:t>
      </w:r>
      <w:proofErr w:type="spellEnd"/>
      <w:r w:rsidRPr="005733AC">
        <w:t xml:space="preserve"> threshold of 50kW and tariffs for farm-scale AD. This fast-track review </w:t>
      </w:r>
      <w:r>
        <w:t>ha</w:t>
      </w:r>
      <w:r w:rsidRPr="005733AC">
        <w:t xml:space="preserve">s now concluded </w:t>
      </w:r>
      <w:r>
        <w:t xml:space="preserve">and </w:t>
      </w:r>
      <w:r w:rsidR="00E50DEA">
        <w:t xml:space="preserve">the </w:t>
      </w:r>
      <w:r>
        <w:t>resulting changes have been implemented.</w:t>
      </w:r>
    </w:p>
    <w:p w:rsidR="002B30B6" w:rsidRPr="005733AC" w:rsidRDefault="002B30B6" w:rsidP="00342430">
      <w:pPr>
        <w:numPr>
          <w:ilvl w:val="0"/>
          <w:numId w:val="44"/>
        </w:numPr>
        <w:spacing w:after="120"/>
        <w:ind w:left="284" w:right="113" w:hanging="142"/>
      </w:pPr>
      <w:r w:rsidRPr="005733AC">
        <w:t xml:space="preserve">The </w:t>
      </w:r>
      <w:r>
        <w:t xml:space="preserve">comprehensive </w:t>
      </w:r>
      <w:r w:rsidRPr="005733AC">
        <w:t xml:space="preserve">review </w:t>
      </w:r>
      <w:r>
        <w:t>has</w:t>
      </w:r>
      <w:r w:rsidRPr="005733AC">
        <w:t xml:space="preserve"> consider</w:t>
      </w:r>
      <w:r>
        <w:t>ed</w:t>
      </w:r>
      <w:r w:rsidRPr="005733AC">
        <w:t xml:space="preserve"> all aspects of the scheme</w:t>
      </w:r>
      <w:r>
        <w:t>, to ensure that:</w:t>
      </w:r>
    </w:p>
    <w:p w:rsidR="002B30B6" w:rsidRPr="00697D76" w:rsidRDefault="002B30B6" w:rsidP="00342430">
      <w:pPr>
        <w:numPr>
          <w:ilvl w:val="0"/>
          <w:numId w:val="8"/>
        </w:numPr>
        <w:spacing w:after="60"/>
        <w:ind w:left="1434" w:right="113" w:hanging="357"/>
      </w:pPr>
      <w:r>
        <w:rPr>
          <w:iCs/>
        </w:rPr>
        <w:t xml:space="preserve">the </w:t>
      </w:r>
      <w:r w:rsidRPr="00697D76">
        <w:rPr>
          <w:iCs/>
        </w:rPr>
        <w:t xml:space="preserve">FITs </w:t>
      </w:r>
      <w:r>
        <w:rPr>
          <w:iCs/>
        </w:rPr>
        <w:t xml:space="preserve">scheme </w:t>
      </w:r>
      <w:r w:rsidRPr="00697D76">
        <w:rPr>
          <w:iCs/>
        </w:rPr>
        <w:t>continue</w:t>
      </w:r>
      <w:r>
        <w:rPr>
          <w:iCs/>
        </w:rPr>
        <w:t>s</w:t>
      </w:r>
      <w:r w:rsidRPr="00697D76">
        <w:rPr>
          <w:iCs/>
        </w:rPr>
        <w:t xml:space="preserve"> to deliver a contribution to DECC goals;</w:t>
      </w:r>
    </w:p>
    <w:p w:rsidR="002B30B6" w:rsidRPr="005733AC" w:rsidRDefault="002B30B6" w:rsidP="00342430">
      <w:pPr>
        <w:numPr>
          <w:ilvl w:val="0"/>
          <w:numId w:val="8"/>
        </w:numPr>
        <w:spacing w:after="60"/>
        <w:ind w:left="1434" w:right="113" w:hanging="357"/>
      </w:pPr>
      <w:r w:rsidRPr="005733AC">
        <w:t xml:space="preserve">the scheme complies with the </w:t>
      </w:r>
      <w:r>
        <w:t>L</w:t>
      </w:r>
      <w:r w:rsidRPr="005733AC">
        <w:t>ev</w:t>
      </w:r>
      <w:r>
        <w:t>ies</w:t>
      </w:r>
      <w:r w:rsidRPr="005733AC">
        <w:t xml:space="preserve"> </w:t>
      </w:r>
      <w:r>
        <w:t>C</w:t>
      </w:r>
      <w:r w:rsidRPr="005733AC">
        <w:t xml:space="preserve">ontrol </w:t>
      </w:r>
      <w:r>
        <w:t>F</w:t>
      </w:r>
      <w:r w:rsidRPr="005733AC">
        <w:t>ramework</w:t>
      </w:r>
      <w:r w:rsidR="002B7190">
        <w:t xml:space="preserve"> </w:t>
      </w:r>
      <w:r w:rsidR="00E4537A">
        <w:t>(LCF)</w:t>
      </w:r>
      <w:r w:rsidRPr="005733AC">
        <w:t xml:space="preserve"> and delivers value for money for electricity consumers, who pay for it;</w:t>
      </w:r>
    </w:p>
    <w:p w:rsidR="002B30B6" w:rsidRDefault="002B30B6" w:rsidP="00342430">
      <w:pPr>
        <w:numPr>
          <w:ilvl w:val="0"/>
          <w:numId w:val="8"/>
        </w:numPr>
        <w:spacing w:after="60"/>
        <w:ind w:left="1434" w:right="113" w:hanging="357"/>
      </w:pPr>
      <w:r w:rsidRPr="005733AC">
        <w:t xml:space="preserve">data on which tariffs are based </w:t>
      </w:r>
      <w:r>
        <w:t>is</w:t>
      </w:r>
      <w:r w:rsidRPr="005733AC">
        <w:t xml:space="preserve"> up</w:t>
      </w:r>
      <w:r w:rsidR="0036589C">
        <w:t>-</w:t>
      </w:r>
      <w:r w:rsidRPr="005733AC">
        <w:t>to</w:t>
      </w:r>
      <w:r w:rsidR="0036589C">
        <w:t>-</w:t>
      </w:r>
      <w:r w:rsidRPr="005733AC">
        <w:t>date and form</w:t>
      </w:r>
      <w:r>
        <w:t>s</w:t>
      </w:r>
      <w:r w:rsidRPr="005733AC">
        <w:t xml:space="preserve"> a sound basis for tariffs; </w:t>
      </w:r>
    </w:p>
    <w:p w:rsidR="002B30B6" w:rsidRPr="005733AC" w:rsidRDefault="002B30B6" w:rsidP="00342430">
      <w:pPr>
        <w:numPr>
          <w:ilvl w:val="0"/>
          <w:numId w:val="8"/>
        </w:numPr>
        <w:spacing w:after="60"/>
        <w:ind w:left="1434" w:right="113" w:hanging="357"/>
      </w:pPr>
      <w:r>
        <w:t xml:space="preserve">a cost control mechanism is put in place to regulate future tariffs and review periods; </w:t>
      </w:r>
      <w:r w:rsidRPr="005733AC">
        <w:t>and</w:t>
      </w:r>
    </w:p>
    <w:p w:rsidR="002B30B6" w:rsidRDefault="002B30B6" w:rsidP="00342430">
      <w:pPr>
        <w:pStyle w:val="ListParagraph"/>
        <w:numPr>
          <w:ilvl w:val="0"/>
          <w:numId w:val="8"/>
        </w:numPr>
        <w:spacing w:after="60"/>
        <w:ind w:right="113"/>
        <w:rPr>
          <w:b/>
        </w:rPr>
      </w:pPr>
      <w:r w:rsidRPr="005733AC">
        <w:t>the scheme continues to work smoothly and fairly for all participants</w:t>
      </w:r>
      <w:r w:rsidRPr="00932A8F">
        <w:t>.</w:t>
      </w:r>
      <w:r w:rsidRPr="001969FA">
        <w:rPr>
          <w:b/>
        </w:rPr>
        <w:t xml:space="preserve"> </w:t>
      </w:r>
    </w:p>
    <w:p w:rsidR="00342430" w:rsidRPr="001969FA" w:rsidRDefault="00342430" w:rsidP="00342430">
      <w:pPr>
        <w:pStyle w:val="ListParagraph"/>
        <w:spacing w:after="0"/>
        <w:ind w:left="1440" w:right="113"/>
        <w:rPr>
          <w:b/>
        </w:rPr>
      </w:pPr>
    </w:p>
    <w:p w:rsidR="002B30B6" w:rsidRDefault="002B30B6" w:rsidP="00342430">
      <w:pPr>
        <w:numPr>
          <w:ilvl w:val="0"/>
          <w:numId w:val="44"/>
        </w:numPr>
        <w:ind w:left="284" w:right="113" w:hanging="142"/>
      </w:pPr>
      <w:r>
        <w:lastRenderedPageBreak/>
        <w:t>Phase 1 of the Comprehensive Review was launched on 31 October 2011, covering the tariffs for solar PV, respond</w:t>
      </w:r>
      <w:r w:rsidR="00671516">
        <w:t>ing</w:t>
      </w:r>
      <w:r>
        <w:t xml:space="preserve"> to continued reductions in solar PV costs and increases in uptake. Changes </w:t>
      </w:r>
      <w:r w:rsidR="00A4776C">
        <w:t xml:space="preserve">resulting </w:t>
      </w:r>
      <w:r>
        <w:t xml:space="preserve">from Phase 1 of the review will be implemented on 3 March (for PV tariffs) and </w:t>
      </w:r>
      <w:r w:rsidR="00A4776C">
        <w:t>1</w:t>
      </w:r>
      <w:r>
        <w:t xml:space="preserve"> April </w:t>
      </w:r>
      <w:r w:rsidR="0036589C">
        <w:t xml:space="preserve">2012 </w:t>
      </w:r>
      <w:r>
        <w:t xml:space="preserve">(for other energy efficiency and multi-installation projects). </w:t>
      </w:r>
    </w:p>
    <w:p w:rsidR="002B30B6" w:rsidRDefault="002B30B6" w:rsidP="00342430">
      <w:pPr>
        <w:numPr>
          <w:ilvl w:val="0"/>
          <w:numId w:val="44"/>
        </w:numPr>
        <w:ind w:left="284" w:right="113" w:hanging="142"/>
      </w:pPr>
      <w:r>
        <w:t xml:space="preserve">The Phase 2 consultations cover all other aspects of the scheme. </w:t>
      </w:r>
      <w:r w:rsidR="00754408">
        <w:t xml:space="preserve">They are separated into two parts because the consultations have different response deadlines.  The first Phase 2 consultation (2A) proposes a cost control mechanism for solar PV that will provide more certainty, predictability and transparency to the market. </w:t>
      </w:r>
      <w:r>
        <w:t>Subject to consultation and parliamentary consideration, this will be implemented in July 2012.</w:t>
      </w:r>
    </w:p>
    <w:p w:rsidR="002B30B6" w:rsidRDefault="002B30B6" w:rsidP="00342430">
      <w:pPr>
        <w:numPr>
          <w:ilvl w:val="0"/>
          <w:numId w:val="44"/>
        </w:numPr>
        <w:ind w:left="284" w:right="113" w:hanging="142"/>
      </w:pPr>
      <w:r>
        <w:t>The present consultation</w:t>
      </w:r>
      <w:r w:rsidR="00671516">
        <w:t xml:space="preserve"> </w:t>
      </w:r>
      <w:r w:rsidR="00A4776C">
        <w:t>(2B)</w:t>
      </w:r>
      <w:r w:rsidR="00671516">
        <w:t>, published alongside the S</w:t>
      </w:r>
      <w:r>
        <w:t xml:space="preserve">olar PV Cost Control consultation, but with a later closing date, proposes tariffs for anaerobic digestion, hydro, wind and </w:t>
      </w:r>
      <w:proofErr w:type="spellStart"/>
      <w:r>
        <w:t>microCHP</w:t>
      </w:r>
      <w:proofErr w:type="spellEnd"/>
      <w:r>
        <w:t>, and looks at various scheme administration issues.</w:t>
      </w:r>
    </w:p>
    <w:p w:rsidR="002B30B6" w:rsidRDefault="002B30B6" w:rsidP="00342430">
      <w:pPr>
        <w:numPr>
          <w:ilvl w:val="0"/>
          <w:numId w:val="44"/>
        </w:numPr>
        <w:ind w:left="284" w:right="113" w:hanging="142"/>
      </w:pPr>
      <w:r>
        <w:t xml:space="preserve">The proposed tariffs reflect our conclusions on the costs and characteristics of each technology, taking into account the need for fiscal restraint and cost-effectiveness. The cost control mechanism proposed </w:t>
      </w:r>
      <w:r w:rsidR="00A4776C">
        <w:t xml:space="preserve">for non-PV technologies </w:t>
      </w:r>
      <w:r>
        <w:t xml:space="preserve">is consistent with that proposed for solar PV in the parallel consultation, but </w:t>
      </w:r>
      <w:r w:rsidR="00A4776C">
        <w:t xml:space="preserve">is </w:t>
      </w:r>
      <w:r>
        <w:t>designed to take into account the differences between technologies in terms of take-up and timescales.</w:t>
      </w:r>
    </w:p>
    <w:p w:rsidR="002B30B6" w:rsidRDefault="002B30B6" w:rsidP="00342430">
      <w:pPr>
        <w:numPr>
          <w:ilvl w:val="0"/>
          <w:numId w:val="44"/>
        </w:numPr>
        <w:ind w:left="284" w:right="113" w:hanging="142"/>
        <w:rPr>
          <w:rFonts w:cs="Arial"/>
        </w:rPr>
      </w:pPr>
      <w:r w:rsidRPr="001C43F7">
        <w:rPr>
          <w:rFonts w:cs="Arial"/>
        </w:rPr>
        <w:t xml:space="preserve">We </w:t>
      </w:r>
      <w:r>
        <w:rPr>
          <w:rFonts w:cs="Arial"/>
        </w:rPr>
        <w:t>are</w:t>
      </w:r>
      <w:r w:rsidRPr="001C43F7">
        <w:rPr>
          <w:rFonts w:cs="Arial"/>
        </w:rPr>
        <w:t xml:space="preserve"> </w:t>
      </w:r>
      <w:r>
        <w:rPr>
          <w:rFonts w:cs="Arial"/>
        </w:rPr>
        <w:t xml:space="preserve">in part </w:t>
      </w:r>
      <w:r w:rsidRPr="001C43F7">
        <w:rPr>
          <w:rFonts w:cs="Arial"/>
        </w:rPr>
        <w:t>seek</w:t>
      </w:r>
      <w:r>
        <w:rPr>
          <w:rFonts w:cs="Arial"/>
        </w:rPr>
        <w:t>ing</w:t>
      </w:r>
      <w:r w:rsidRPr="001C43F7">
        <w:rPr>
          <w:rFonts w:cs="Arial"/>
        </w:rPr>
        <w:t xml:space="preserve"> general confirmation of the features of the FITs scheme as it </w:t>
      </w:r>
      <w:r w:rsidRPr="00342430">
        <w:t>currently</w:t>
      </w:r>
      <w:r w:rsidRPr="001C43F7">
        <w:rPr>
          <w:rFonts w:cs="Arial"/>
        </w:rPr>
        <w:t xml:space="preserve"> </w:t>
      </w:r>
      <w:r w:rsidRPr="00342430">
        <w:t>operates</w:t>
      </w:r>
      <w:r w:rsidRPr="001C43F7">
        <w:rPr>
          <w:rFonts w:cs="Arial"/>
        </w:rPr>
        <w:t>. However</w:t>
      </w:r>
      <w:r>
        <w:rPr>
          <w:rFonts w:cs="Arial"/>
        </w:rPr>
        <w:t>,</w:t>
      </w:r>
      <w:r w:rsidRPr="001C43F7">
        <w:rPr>
          <w:rFonts w:cs="Arial"/>
        </w:rPr>
        <w:t xml:space="preserve"> a number of issues have arisen in the administration of the scheme </w:t>
      </w:r>
      <w:r>
        <w:rPr>
          <w:rFonts w:cs="Arial"/>
        </w:rPr>
        <w:t xml:space="preserve">for which </w:t>
      </w:r>
      <w:r w:rsidRPr="001C43F7">
        <w:rPr>
          <w:rFonts w:cs="Arial"/>
        </w:rPr>
        <w:t>we propose to consult on changes. These are:</w:t>
      </w:r>
    </w:p>
    <w:p w:rsidR="002B30B6" w:rsidRDefault="002B30B6" w:rsidP="002B30B6">
      <w:pPr>
        <w:pStyle w:val="ListParagraph"/>
        <w:numPr>
          <w:ilvl w:val="0"/>
          <w:numId w:val="14"/>
        </w:numPr>
        <w:spacing w:after="0"/>
        <w:rPr>
          <w:rFonts w:cs="Arial"/>
        </w:rPr>
      </w:pPr>
      <w:r w:rsidRPr="001C43F7">
        <w:rPr>
          <w:rFonts w:cs="Arial"/>
        </w:rPr>
        <w:t xml:space="preserve">to allow for preliminary accreditation of installations so that investors can be sure of how they will be treated in terms of factors that potentially affect which tariff band they are allocated to e.g. definition of site, </w:t>
      </w:r>
      <w:r>
        <w:rPr>
          <w:rFonts w:cs="Arial"/>
        </w:rPr>
        <w:t>multi-installations</w:t>
      </w:r>
      <w:r w:rsidRPr="001C43F7">
        <w:rPr>
          <w:rFonts w:cs="Arial"/>
        </w:rPr>
        <w:t>, “community-owned” status etc in advance of the commitment of major funds</w:t>
      </w:r>
      <w:r>
        <w:rPr>
          <w:rFonts w:cs="Arial"/>
        </w:rPr>
        <w:t>;</w:t>
      </w:r>
    </w:p>
    <w:p w:rsidR="002B30B6" w:rsidRDefault="002B30B6" w:rsidP="002B30B6">
      <w:pPr>
        <w:pStyle w:val="ListParagraph"/>
        <w:numPr>
          <w:ilvl w:val="0"/>
          <w:numId w:val="14"/>
        </w:numPr>
        <w:spacing w:after="0"/>
        <w:rPr>
          <w:rFonts w:cs="Arial"/>
        </w:rPr>
      </w:pPr>
      <w:r w:rsidRPr="001C43F7">
        <w:rPr>
          <w:rFonts w:cs="Arial"/>
        </w:rPr>
        <w:t xml:space="preserve">whether preliminary accreditation should also </w:t>
      </w:r>
      <w:r>
        <w:rPr>
          <w:rFonts w:cs="Arial"/>
        </w:rPr>
        <w:t>fix the level of tariff at the point of accreditation;</w:t>
      </w:r>
    </w:p>
    <w:p w:rsidR="002B30B6" w:rsidRPr="00E80ADD" w:rsidRDefault="002B30B6" w:rsidP="002B30B6">
      <w:pPr>
        <w:pStyle w:val="ListParagraph"/>
        <w:numPr>
          <w:ilvl w:val="0"/>
          <w:numId w:val="14"/>
        </w:numPr>
        <w:spacing w:after="0"/>
        <w:rPr>
          <w:rFonts w:cs="Arial"/>
        </w:rPr>
      </w:pPr>
      <w:r>
        <w:rPr>
          <w:rFonts w:cs="Arial"/>
        </w:rPr>
        <w:t>h</w:t>
      </w:r>
      <w:r w:rsidRPr="00E80ADD">
        <w:rPr>
          <w:rFonts w:cs="Arial"/>
        </w:rPr>
        <w:t>ow to define “community” and how this definition will be used</w:t>
      </w:r>
      <w:r>
        <w:rPr>
          <w:rFonts w:cs="Arial"/>
        </w:rPr>
        <w:t xml:space="preserve"> to help community projects;</w:t>
      </w:r>
    </w:p>
    <w:p w:rsidR="002B30B6" w:rsidRPr="001C43F7" w:rsidRDefault="002B30B6" w:rsidP="002B30B6">
      <w:pPr>
        <w:pStyle w:val="ListParagraph"/>
        <w:numPr>
          <w:ilvl w:val="0"/>
          <w:numId w:val="14"/>
        </w:numPr>
        <w:spacing w:after="0"/>
        <w:rPr>
          <w:rFonts w:cs="Arial"/>
        </w:rPr>
      </w:pPr>
      <w:r w:rsidRPr="001C43F7">
        <w:rPr>
          <w:rFonts w:cs="Arial"/>
        </w:rPr>
        <w:t>clarification  of the definition of “site” to address issues raised by hydro installations, and installations on private wires networks such as mobile home parks</w:t>
      </w:r>
      <w:r>
        <w:rPr>
          <w:rFonts w:cs="Arial"/>
        </w:rPr>
        <w:t>;</w:t>
      </w:r>
    </w:p>
    <w:p w:rsidR="002B30B6" w:rsidRPr="001C43F7" w:rsidRDefault="002B30B6" w:rsidP="002B30B6">
      <w:pPr>
        <w:pStyle w:val="ListParagraph"/>
        <w:numPr>
          <w:ilvl w:val="0"/>
          <w:numId w:val="14"/>
        </w:numPr>
        <w:spacing w:after="0"/>
        <w:rPr>
          <w:rFonts w:cs="Arial"/>
        </w:rPr>
      </w:pPr>
      <w:r w:rsidRPr="001C43F7">
        <w:rPr>
          <w:rFonts w:cs="Arial"/>
        </w:rPr>
        <w:t xml:space="preserve">clarification of the criteria to be used to determine </w:t>
      </w:r>
      <w:r>
        <w:rPr>
          <w:rFonts w:cs="Arial"/>
        </w:rPr>
        <w:t xml:space="preserve">the </w:t>
      </w:r>
      <w:r w:rsidRPr="001C43F7">
        <w:rPr>
          <w:rFonts w:cs="Arial"/>
        </w:rPr>
        <w:t xml:space="preserve">accreditation process as “equivalent to </w:t>
      </w:r>
      <w:r w:rsidR="00047477">
        <w:rPr>
          <w:rFonts w:cs="Arial"/>
        </w:rPr>
        <w:t>the Microgeneration Certification Scheme (</w:t>
      </w:r>
      <w:r w:rsidRPr="001C43F7">
        <w:rPr>
          <w:rFonts w:cs="Arial"/>
        </w:rPr>
        <w:t>MCS</w:t>
      </w:r>
      <w:r w:rsidR="00047477">
        <w:rPr>
          <w:rFonts w:cs="Arial"/>
        </w:rPr>
        <w:t>)</w:t>
      </w:r>
      <w:r w:rsidRPr="001C43F7">
        <w:rPr>
          <w:rFonts w:cs="Arial"/>
        </w:rPr>
        <w:t>” to ensure that new entrants to the market are not disadvantaged</w:t>
      </w:r>
      <w:r>
        <w:rPr>
          <w:rFonts w:cs="Arial"/>
        </w:rPr>
        <w:t>;</w:t>
      </w:r>
    </w:p>
    <w:p w:rsidR="002B30B6" w:rsidRPr="001C43F7" w:rsidRDefault="002B30B6" w:rsidP="002B30B6">
      <w:pPr>
        <w:pStyle w:val="ListParagraph"/>
        <w:numPr>
          <w:ilvl w:val="0"/>
          <w:numId w:val="14"/>
        </w:numPr>
        <w:spacing w:after="0"/>
        <w:rPr>
          <w:rFonts w:cs="Arial"/>
        </w:rPr>
      </w:pPr>
      <w:r w:rsidRPr="001C43F7">
        <w:rPr>
          <w:rFonts w:cs="Arial"/>
        </w:rPr>
        <w:t>resolution of the issues around a replacement for MCS accreditation for micro-hydro installations.</w:t>
      </w:r>
    </w:p>
    <w:p w:rsidR="002B30B6" w:rsidRPr="001C43F7" w:rsidRDefault="002B30B6" w:rsidP="002B30B6">
      <w:pPr>
        <w:pStyle w:val="ListParagraph"/>
        <w:spacing w:after="0"/>
        <w:ind w:left="0"/>
        <w:rPr>
          <w:rFonts w:cs="Arial"/>
        </w:rPr>
      </w:pPr>
    </w:p>
    <w:p w:rsidR="00671516" w:rsidRPr="00342430" w:rsidRDefault="002B30B6" w:rsidP="002B30B6">
      <w:pPr>
        <w:numPr>
          <w:ilvl w:val="0"/>
          <w:numId w:val="44"/>
        </w:numPr>
        <w:spacing w:after="0"/>
        <w:ind w:left="0" w:right="113" w:hanging="142"/>
        <w:rPr>
          <w:rFonts w:cs="Arial"/>
        </w:rPr>
      </w:pPr>
      <w:r w:rsidRPr="00342430">
        <w:rPr>
          <w:rFonts w:cs="Arial"/>
        </w:rPr>
        <w:t xml:space="preserve">We are also looking at </w:t>
      </w:r>
      <w:r w:rsidRPr="00342430">
        <w:t>the</w:t>
      </w:r>
      <w:r w:rsidRPr="00342430">
        <w:rPr>
          <w:rFonts w:cs="Arial"/>
        </w:rPr>
        <w:t xml:space="preserve"> oversight and accountability elements of the FITs scheme as it currently operates, involving the role of DECC, Ofgem, MCS, electricity companies, generators and installers. This framework has been subject to internal scrutiny and review over the operation of the scheme and no serious fraud risks have been identified. </w:t>
      </w:r>
    </w:p>
    <w:p w:rsidR="002B30B6" w:rsidRDefault="00671516" w:rsidP="00342430">
      <w:pPr>
        <w:numPr>
          <w:ilvl w:val="0"/>
          <w:numId w:val="44"/>
        </w:numPr>
        <w:spacing w:after="0"/>
        <w:ind w:left="0" w:right="113" w:hanging="142"/>
        <w:rPr>
          <w:rFonts w:cs="Arial"/>
        </w:rPr>
      </w:pPr>
      <w:r>
        <w:rPr>
          <w:rFonts w:cs="Arial"/>
        </w:rPr>
        <w:br w:type="page"/>
      </w:r>
      <w:r w:rsidR="002B30B6" w:rsidRPr="001C43F7">
        <w:rPr>
          <w:rFonts w:cs="Arial"/>
        </w:rPr>
        <w:lastRenderedPageBreak/>
        <w:t>However</w:t>
      </w:r>
      <w:r w:rsidR="002B30B6">
        <w:rPr>
          <w:rFonts w:cs="Arial"/>
        </w:rPr>
        <w:t>,</w:t>
      </w:r>
      <w:r w:rsidR="002B30B6" w:rsidRPr="001C43F7">
        <w:rPr>
          <w:rFonts w:cs="Arial"/>
        </w:rPr>
        <w:t xml:space="preserve"> a number of specific proposals have been made by </w:t>
      </w:r>
      <w:r w:rsidR="002B30B6">
        <w:rPr>
          <w:rFonts w:cs="Arial"/>
        </w:rPr>
        <w:t>those with a role within the operation of the FITs scheme</w:t>
      </w:r>
      <w:r w:rsidR="002B30B6" w:rsidRPr="001C43F7">
        <w:rPr>
          <w:rFonts w:cs="Arial"/>
        </w:rPr>
        <w:t xml:space="preserve"> and we propose to consult on these in addition to the general features. These are:</w:t>
      </w:r>
    </w:p>
    <w:p w:rsidR="002B30B6" w:rsidRPr="001C43F7" w:rsidRDefault="002B30B6" w:rsidP="002B30B6">
      <w:pPr>
        <w:pStyle w:val="ListParagraph"/>
        <w:spacing w:after="0"/>
        <w:ind w:left="0"/>
        <w:rPr>
          <w:rFonts w:cs="Arial"/>
        </w:rPr>
      </w:pPr>
    </w:p>
    <w:p w:rsidR="002B30B6" w:rsidRPr="001C43F7" w:rsidRDefault="002B30B6" w:rsidP="002B30B6">
      <w:pPr>
        <w:pStyle w:val="ListParagraph"/>
        <w:numPr>
          <w:ilvl w:val="0"/>
          <w:numId w:val="15"/>
        </w:numPr>
        <w:spacing w:after="0"/>
        <w:rPr>
          <w:rFonts w:cs="Arial"/>
        </w:rPr>
      </w:pPr>
      <w:r w:rsidRPr="001C43F7">
        <w:rPr>
          <w:rFonts w:cs="Arial"/>
        </w:rPr>
        <w:t>ability to set conditions o</w:t>
      </w:r>
      <w:r>
        <w:rPr>
          <w:rFonts w:cs="Arial"/>
        </w:rPr>
        <w:t>f</w:t>
      </w:r>
      <w:r w:rsidRPr="001C43F7">
        <w:rPr>
          <w:rFonts w:cs="Arial"/>
        </w:rPr>
        <w:t xml:space="preserve"> accreditation</w:t>
      </w:r>
      <w:r w:rsidRPr="005B1C6B">
        <w:rPr>
          <w:rFonts w:cs="Arial"/>
        </w:rPr>
        <w:t xml:space="preserve"> </w:t>
      </w:r>
      <w:r w:rsidRPr="001C43F7">
        <w:rPr>
          <w:rFonts w:cs="Arial"/>
        </w:rPr>
        <w:t>on installations;</w:t>
      </w:r>
    </w:p>
    <w:p w:rsidR="002B30B6" w:rsidRPr="001C43F7" w:rsidRDefault="002B30B6" w:rsidP="002B30B6">
      <w:pPr>
        <w:pStyle w:val="ListParagraph"/>
        <w:numPr>
          <w:ilvl w:val="0"/>
          <w:numId w:val="15"/>
        </w:numPr>
        <w:spacing w:after="0"/>
        <w:rPr>
          <w:rFonts w:cs="Arial"/>
        </w:rPr>
      </w:pPr>
      <w:r w:rsidRPr="001C43F7">
        <w:rPr>
          <w:rFonts w:cs="Arial"/>
        </w:rPr>
        <w:t>clarification of the statements of FITs terms</w:t>
      </w:r>
      <w:r>
        <w:rPr>
          <w:rFonts w:cs="Arial"/>
        </w:rPr>
        <w:t>;</w:t>
      </w:r>
    </w:p>
    <w:p w:rsidR="002B30B6" w:rsidRPr="008D0D49" w:rsidRDefault="002B30B6" w:rsidP="002B30B6">
      <w:pPr>
        <w:pStyle w:val="ListParagraph"/>
        <w:numPr>
          <w:ilvl w:val="0"/>
          <w:numId w:val="15"/>
        </w:numPr>
        <w:spacing w:after="0"/>
        <w:rPr>
          <w:rFonts w:cs="Arial"/>
        </w:rPr>
      </w:pPr>
      <w:r w:rsidRPr="008D0D49">
        <w:rPr>
          <w:rFonts w:cs="Arial"/>
        </w:rPr>
        <w:t>strengthening the powers and potential sanctions available to Ofgem, including ensuring that installations operating without proper authorisation can have FITs withdrawn</w:t>
      </w:r>
      <w:r>
        <w:rPr>
          <w:rFonts w:cs="Arial"/>
        </w:rPr>
        <w:t>; and</w:t>
      </w:r>
    </w:p>
    <w:p w:rsidR="002B30B6" w:rsidRPr="001C43F7" w:rsidRDefault="002B30B6" w:rsidP="002B30B6">
      <w:pPr>
        <w:pStyle w:val="ListParagraph"/>
        <w:numPr>
          <w:ilvl w:val="0"/>
          <w:numId w:val="15"/>
        </w:numPr>
        <w:spacing w:after="0"/>
        <w:rPr>
          <w:rFonts w:cs="Arial"/>
        </w:rPr>
      </w:pPr>
      <w:r w:rsidRPr="001C43F7">
        <w:rPr>
          <w:rFonts w:cs="Arial"/>
        </w:rPr>
        <w:t>the provision of information on cost and generation output in order to assist the management and monitoring of the scheme</w:t>
      </w:r>
      <w:r>
        <w:rPr>
          <w:rFonts w:cs="Arial"/>
        </w:rPr>
        <w:t>.</w:t>
      </w:r>
    </w:p>
    <w:p w:rsidR="002B30B6" w:rsidRPr="001C43F7" w:rsidRDefault="002B30B6" w:rsidP="002B30B6">
      <w:pPr>
        <w:pStyle w:val="ListParagraph"/>
        <w:spacing w:after="0"/>
        <w:ind w:left="0"/>
        <w:rPr>
          <w:rFonts w:cs="Arial"/>
        </w:rPr>
      </w:pPr>
    </w:p>
    <w:p w:rsidR="002B30B6" w:rsidRDefault="002B30B6" w:rsidP="00342430">
      <w:pPr>
        <w:numPr>
          <w:ilvl w:val="0"/>
          <w:numId w:val="44"/>
        </w:numPr>
        <w:spacing w:after="0"/>
        <w:ind w:left="0" w:right="113" w:hanging="142"/>
        <w:rPr>
          <w:rFonts w:cs="Arial"/>
        </w:rPr>
      </w:pPr>
      <w:r>
        <w:rPr>
          <w:rFonts w:cs="Arial"/>
        </w:rPr>
        <w:t>Finally</w:t>
      </w:r>
      <w:r w:rsidRPr="00400F5B">
        <w:rPr>
          <w:rFonts w:cs="Arial"/>
        </w:rPr>
        <w:t>, we are consulting on minor amendments regarding relationships between the key organisations involved in admin</w:t>
      </w:r>
      <w:r>
        <w:rPr>
          <w:rFonts w:cs="Arial"/>
        </w:rPr>
        <w:t>i</w:t>
      </w:r>
      <w:r w:rsidRPr="00400F5B">
        <w:rPr>
          <w:rFonts w:cs="Arial"/>
        </w:rPr>
        <w:t>stration and enforcement of the scheme i.e. Ofgem, the MCS, and licensees</w:t>
      </w:r>
      <w:r w:rsidRPr="001C43F7">
        <w:rPr>
          <w:rFonts w:cs="Arial"/>
        </w:rPr>
        <w:t>, specifically:</w:t>
      </w:r>
    </w:p>
    <w:p w:rsidR="002B30B6" w:rsidRPr="001C43F7" w:rsidRDefault="002B30B6" w:rsidP="002B30B6">
      <w:pPr>
        <w:pStyle w:val="ListParagraph"/>
        <w:spacing w:after="0"/>
        <w:ind w:left="0"/>
        <w:rPr>
          <w:rFonts w:cs="Arial"/>
        </w:rPr>
      </w:pPr>
    </w:p>
    <w:p w:rsidR="002B30B6" w:rsidRPr="001C43F7" w:rsidRDefault="002B30B6" w:rsidP="002B30B6">
      <w:pPr>
        <w:pStyle w:val="ListParagraph"/>
        <w:numPr>
          <w:ilvl w:val="0"/>
          <w:numId w:val="16"/>
        </w:numPr>
        <w:spacing w:after="0"/>
        <w:rPr>
          <w:rFonts w:cs="Arial"/>
        </w:rPr>
      </w:pPr>
      <w:r w:rsidRPr="001C43F7">
        <w:rPr>
          <w:rFonts w:cs="Arial"/>
        </w:rPr>
        <w:t xml:space="preserve">thresholds for the split between mandatory and voluntary </w:t>
      </w:r>
      <w:r w:rsidR="007A32EC">
        <w:rPr>
          <w:rFonts w:cs="Arial"/>
        </w:rPr>
        <w:t>licensee</w:t>
      </w:r>
      <w:r w:rsidRPr="001C43F7">
        <w:rPr>
          <w:rFonts w:cs="Arial"/>
        </w:rPr>
        <w:t>s</w:t>
      </w:r>
      <w:r>
        <w:rPr>
          <w:rFonts w:cs="Arial"/>
        </w:rPr>
        <w:t>;</w:t>
      </w:r>
    </w:p>
    <w:p w:rsidR="002B30B6" w:rsidRPr="001C43F7" w:rsidRDefault="002B30B6" w:rsidP="002B30B6">
      <w:pPr>
        <w:pStyle w:val="ListParagraph"/>
        <w:numPr>
          <w:ilvl w:val="0"/>
          <w:numId w:val="16"/>
        </w:numPr>
        <w:spacing w:after="0"/>
        <w:rPr>
          <w:rFonts w:cs="Arial"/>
        </w:rPr>
      </w:pPr>
      <w:r w:rsidRPr="001C43F7">
        <w:rPr>
          <w:rFonts w:cs="Arial"/>
        </w:rPr>
        <w:t xml:space="preserve">need to protect </w:t>
      </w:r>
      <w:r>
        <w:rPr>
          <w:rFonts w:cs="Arial"/>
        </w:rPr>
        <w:t xml:space="preserve">the </w:t>
      </w:r>
      <w:proofErr w:type="spellStart"/>
      <w:r w:rsidRPr="001C43F7">
        <w:rPr>
          <w:rFonts w:cs="Arial"/>
        </w:rPr>
        <w:t>levelisation</w:t>
      </w:r>
      <w:proofErr w:type="spellEnd"/>
      <w:r w:rsidRPr="001C43F7">
        <w:rPr>
          <w:rFonts w:cs="Arial"/>
        </w:rPr>
        <w:t xml:space="preserve"> pot in the case of </w:t>
      </w:r>
      <w:r w:rsidR="007A32EC">
        <w:rPr>
          <w:rFonts w:cs="Arial"/>
        </w:rPr>
        <w:t>licensee</w:t>
      </w:r>
      <w:r w:rsidRPr="001C43F7">
        <w:rPr>
          <w:rFonts w:cs="Arial"/>
        </w:rPr>
        <w:t xml:space="preserve"> failure</w:t>
      </w:r>
      <w:r>
        <w:rPr>
          <w:rFonts w:cs="Arial"/>
        </w:rPr>
        <w:t>;</w:t>
      </w:r>
    </w:p>
    <w:p w:rsidR="002B30B6" w:rsidRDefault="002B30B6" w:rsidP="002B30B6">
      <w:pPr>
        <w:pStyle w:val="ListParagraph"/>
        <w:numPr>
          <w:ilvl w:val="0"/>
          <w:numId w:val="16"/>
        </w:numPr>
        <w:spacing w:after="0"/>
        <w:rPr>
          <w:rFonts w:cs="Arial"/>
        </w:rPr>
      </w:pPr>
      <w:r w:rsidRPr="001C43F7">
        <w:rPr>
          <w:rFonts w:cs="Arial"/>
        </w:rPr>
        <w:t xml:space="preserve">need for a </w:t>
      </w:r>
      <w:r w:rsidR="007A32EC">
        <w:rPr>
          <w:rFonts w:cs="Arial"/>
        </w:rPr>
        <w:t>licensee</w:t>
      </w:r>
      <w:r w:rsidRPr="001C43F7">
        <w:rPr>
          <w:rFonts w:cs="Arial"/>
        </w:rPr>
        <w:t xml:space="preserve"> of last resort provision</w:t>
      </w:r>
      <w:r>
        <w:rPr>
          <w:rFonts w:cs="Arial"/>
        </w:rPr>
        <w:t>;</w:t>
      </w:r>
    </w:p>
    <w:p w:rsidR="002B30B6" w:rsidRPr="001C43F7" w:rsidRDefault="002B30B6" w:rsidP="002B30B6">
      <w:pPr>
        <w:pStyle w:val="ListParagraph"/>
        <w:numPr>
          <w:ilvl w:val="0"/>
          <w:numId w:val="16"/>
        </w:numPr>
        <w:spacing w:after="0"/>
        <w:rPr>
          <w:rFonts w:cs="Arial"/>
        </w:rPr>
      </w:pPr>
      <w:r>
        <w:rPr>
          <w:rFonts w:cs="Arial"/>
        </w:rPr>
        <w:t xml:space="preserve">the frequency of </w:t>
      </w:r>
      <w:proofErr w:type="spellStart"/>
      <w:r>
        <w:rPr>
          <w:rFonts w:cs="Arial"/>
        </w:rPr>
        <w:t>levelisation</w:t>
      </w:r>
      <w:proofErr w:type="spellEnd"/>
      <w:r>
        <w:rPr>
          <w:rFonts w:cs="Arial"/>
        </w:rPr>
        <w:t xml:space="preserve"> of FITs costs among the licensees.</w:t>
      </w:r>
    </w:p>
    <w:p w:rsidR="00640A79" w:rsidRPr="00385494" w:rsidRDefault="00094F70" w:rsidP="00094F70">
      <w:pPr>
        <w:pStyle w:val="Heading2"/>
        <w:spacing w:after="240"/>
        <w:jc w:val="both"/>
      </w:pPr>
      <w:r>
        <w:rPr>
          <w:rFonts w:cs="Arial"/>
        </w:rPr>
        <w:br w:type="page"/>
      </w:r>
      <w:bookmarkStart w:id="13" w:name="_Toc316544898"/>
      <w:r w:rsidR="009E66C4" w:rsidRPr="00385494">
        <w:lastRenderedPageBreak/>
        <w:t>How to respond</w:t>
      </w:r>
      <w:bookmarkEnd w:id="11"/>
      <w:bookmarkEnd w:id="12"/>
      <w:bookmarkEnd w:id="13"/>
    </w:p>
    <w:p w:rsidR="009E66C4" w:rsidRPr="00622A34" w:rsidRDefault="009E66C4" w:rsidP="00553F55">
      <w:pPr>
        <w:autoSpaceDE w:val="0"/>
        <w:autoSpaceDN w:val="0"/>
        <w:adjustRightInd w:val="0"/>
        <w:spacing w:after="0"/>
        <w:jc w:val="both"/>
        <w:rPr>
          <w:rFonts w:cs="Arial"/>
          <w:b/>
          <w:color w:val="000000"/>
          <w:lang w:eastAsia="en-GB"/>
        </w:rPr>
      </w:pPr>
      <w:r w:rsidRPr="00622A34">
        <w:rPr>
          <w:rFonts w:cs="Arial"/>
          <w:b/>
          <w:color w:val="000000"/>
          <w:lang w:eastAsia="en-GB"/>
        </w:rPr>
        <w:t xml:space="preserve">The closing date for responses </w:t>
      </w:r>
      <w:r w:rsidR="007A5D42">
        <w:rPr>
          <w:rFonts w:cs="Arial"/>
          <w:b/>
          <w:color w:val="000000"/>
          <w:lang w:eastAsia="en-GB"/>
        </w:rPr>
        <w:t>is</w:t>
      </w:r>
      <w:r w:rsidRPr="00622A34">
        <w:rPr>
          <w:rFonts w:cs="Arial"/>
          <w:b/>
          <w:color w:val="000000"/>
          <w:lang w:eastAsia="en-GB"/>
        </w:rPr>
        <w:t xml:space="preserve">: </w:t>
      </w:r>
    </w:p>
    <w:p w:rsidR="009E66C4" w:rsidRPr="00622A34" w:rsidRDefault="005A0576" w:rsidP="00553F55">
      <w:pPr>
        <w:autoSpaceDE w:val="0"/>
        <w:autoSpaceDN w:val="0"/>
        <w:adjustRightInd w:val="0"/>
        <w:spacing w:after="0"/>
        <w:ind w:firstLine="720"/>
        <w:jc w:val="both"/>
        <w:rPr>
          <w:rFonts w:cs="Arial"/>
          <w:b/>
          <w:color w:val="000000"/>
          <w:lang w:eastAsia="en-GB"/>
        </w:rPr>
      </w:pPr>
      <w:r w:rsidRPr="00047477">
        <w:rPr>
          <w:rFonts w:cs="Arial"/>
          <w:b/>
          <w:color w:val="000000"/>
          <w:lang w:eastAsia="en-GB"/>
        </w:rPr>
        <w:t>2</w:t>
      </w:r>
      <w:r w:rsidR="005C0E84">
        <w:rPr>
          <w:rFonts w:cs="Arial"/>
          <w:b/>
          <w:color w:val="000000"/>
          <w:lang w:eastAsia="en-GB"/>
        </w:rPr>
        <w:t>6</w:t>
      </w:r>
      <w:r w:rsidR="001971A3" w:rsidRPr="00047477">
        <w:rPr>
          <w:rFonts w:cs="Arial"/>
          <w:b/>
          <w:color w:val="000000"/>
          <w:lang w:eastAsia="en-GB"/>
        </w:rPr>
        <w:t xml:space="preserve"> April 2012</w:t>
      </w:r>
    </w:p>
    <w:p w:rsidR="009E66C4" w:rsidRDefault="009E66C4" w:rsidP="00553F55">
      <w:pPr>
        <w:autoSpaceDE w:val="0"/>
        <w:autoSpaceDN w:val="0"/>
        <w:adjustRightInd w:val="0"/>
        <w:spacing w:after="0"/>
        <w:jc w:val="both"/>
        <w:rPr>
          <w:rFonts w:cs="Arial"/>
          <w:color w:val="000000"/>
          <w:lang w:eastAsia="en-GB"/>
        </w:rPr>
      </w:pPr>
    </w:p>
    <w:p w:rsidR="003D7954" w:rsidRPr="003D7954" w:rsidRDefault="003D7954" w:rsidP="003D7954">
      <w:pPr>
        <w:pStyle w:val="Default"/>
        <w:spacing w:before="40" w:after="40"/>
        <w:ind w:left="142"/>
      </w:pPr>
      <w:r w:rsidRPr="003D7954">
        <w:t xml:space="preserve">Online responses are preferred and can be submitted via DECC’s consultation hub: at the following link: </w:t>
      </w:r>
      <w:hyperlink r:id="rId12" w:history="1">
        <w:r w:rsidRPr="003D7954">
          <w:rPr>
            <w:rStyle w:val="Hyperlink"/>
          </w:rPr>
          <w:t>https://econsultation.decc.gov.uk/office-for-renewable-energy-deployment-ored/fits-review-phase2b</w:t>
        </w:r>
      </w:hyperlink>
      <w:r>
        <w:t>.</w:t>
      </w:r>
    </w:p>
    <w:p w:rsidR="003D7954" w:rsidRPr="003D7954" w:rsidRDefault="003D7954" w:rsidP="003D7954">
      <w:pPr>
        <w:pStyle w:val="Default"/>
        <w:spacing w:before="40" w:after="40"/>
      </w:pPr>
    </w:p>
    <w:p w:rsidR="003D7954" w:rsidRPr="003D7954" w:rsidRDefault="003D7954" w:rsidP="003D7954">
      <w:pPr>
        <w:rPr>
          <w:rFonts w:cs="Arial"/>
          <w:color w:val="1F497D"/>
        </w:rPr>
      </w:pPr>
      <w:r w:rsidRPr="003D7954">
        <w:rPr>
          <w:rFonts w:cs="Arial"/>
        </w:rPr>
        <w:t xml:space="preserve">If you are unable to submit your response online please send it in an email to: </w:t>
      </w:r>
      <w:hyperlink r:id="rId13" w:history="1">
        <w:r w:rsidRPr="003D7954">
          <w:rPr>
            <w:rStyle w:val="Hyperlink"/>
            <w:rFonts w:cs="Arial"/>
          </w:rPr>
          <w:t>fits@decc.gsi.gov.uk</w:t>
        </w:r>
      </w:hyperlink>
      <w:r w:rsidRPr="003D7954">
        <w:rPr>
          <w:rFonts w:cs="Arial"/>
        </w:rPr>
        <w:t>. Please use the template provided to record your response, which can be found at the consultation webpage alongside the other consultation documents:</w:t>
      </w:r>
      <w:r>
        <w:rPr>
          <w:rFonts w:cs="Arial"/>
        </w:rPr>
        <w:t xml:space="preserve"> </w:t>
      </w:r>
      <w:hyperlink r:id="rId14" w:history="1">
        <w:r w:rsidRPr="003D7954">
          <w:rPr>
            <w:rStyle w:val="Hyperlink"/>
            <w:rFonts w:cs="Arial"/>
          </w:rPr>
          <w:t>http://www.decc.gov.uk/en/content/cms/consultations/fits_rev_ph2b/fits_rev_ph2b.aspx</w:t>
        </w:r>
      </w:hyperlink>
      <w:r>
        <w:rPr>
          <w:rFonts w:cs="Arial"/>
          <w:color w:val="1F497D"/>
        </w:rPr>
        <w:t>.</w:t>
      </w:r>
    </w:p>
    <w:p w:rsidR="00FD07A0" w:rsidRDefault="00FD07A0"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Alternatively, hard copy replies should be sent to:</w:t>
      </w:r>
    </w:p>
    <w:p w:rsidR="00A91BED" w:rsidRDefault="00A91BED" w:rsidP="00553F55">
      <w:pPr>
        <w:autoSpaceDE w:val="0"/>
        <w:autoSpaceDN w:val="0"/>
        <w:adjustRightInd w:val="0"/>
        <w:spacing w:after="0"/>
        <w:jc w:val="both"/>
        <w:rPr>
          <w:rFonts w:cs="Arial"/>
          <w:color w:val="000000"/>
          <w:lang w:eastAsia="en-GB"/>
        </w:rPr>
      </w:pPr>
    </w:p>
    <w:p w:rsidR="0097482C" w:rsidRDefault="00812997" w:rsidP="0097482C">
      <w:pPr>
        <w:autoSpaceDE w:val="0"/>
        <w:autoSpaceDN w:val="0"/>
        <w:adjustRightInd w:val="0"/>
        <w:spacing w:after="0"/>
        <w:ind w:left="720"/>
        <w:jc w:val="both"/>
        <w:rPr>
          <w:rFonts w:cs="Arial"/>
          <w:color w:val="000000"/>
          <w:lang w:eastAsia="en-GB"/>
        </w:rPr>
      </w:pPr>
      <w:r>
        <w:rPr>
          <w:rFonts w:cs="Arial"/>
          <w:color w:val="000000"/>
          <w:lang w:eastAsia="en-GB"/>
        </w:rPr>
        <w:t>FIT</w:t>
      </w:r>
      <w:r w:rsidR="0097482C">
        <w:rPr>
          <w:rFonts w:cs="Arial"/>
          <w:color w:val="000000"/>
          <w:lang w:eastAsia="en-GB"/>
        </w:rPr>
        <w:t xml:space="preserve">s Team, Office of </w:t>
      </w:r>
      <w:r w:rsidR="00336CB3">
        <w:rPr>
          <w:rFonts w:cs="Arial"/>
          <w:color w:val="000000"/>
          <w:lang w:eastAsia="en-GB"/>
        </w:rPr>
        <w:t>Renewable Energy</w:t>
      </w:r>
      <w:r w:rsidR="0097482C">
        <w:rPr>
          <w:rFonts w:cs="Arial"/>
          <w:color w:val="000000"/>
          <w:lang w:eastAsia="en-GB"/>
        </w:rPr>
        <w:t xml:space="preserve"> Deployment, </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Department of Energy and Climate Change,</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 xml:space="preserve">4th Floor, Area A, </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 xml:space="preserve">3 – 8 Whitehall Place, </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London, SW1A 2AW.</w:t>
      </w:r>
    </w:p>
    <w:p w:rsidR="009E66C4" w:rsidRDefault="009E66C4" w:rsidP="00553F55">
      <w:pPr>
        <w:autoSpaceDE w:val="0"/>
        <w:autoSpaceDN w:val="0"/>
        <w:adjustRightInd w:val="0"/>
        <w:spacing w:after="0"/>
        <w:jc w:val="both"/>
        <w:rPr>
          <w:rFonts w:cs="Arial"/>
          <w:color w:val="006CA3"/>
          <w:lang w:eastAsia="en-GB"/>
        </w:rPr>
      </w:pPr>
    </w:p>
    <w:p w:rsidR="009E66C4" w:rsidRPr="001A075C" w:rsidRDefault="009E66C4" w:rsidP="00553F55">
      <w:pPr>
        <w:autoSpaceDE w:val="0"/>
        <w:autoSpaceDN w:val="0"/>
        <w:adjustRightInd w:val="0"/>
        <w:spacing w:after="0"/>
        <w:jc w:val="both"/>
        <w:rPr>
          <w:rFonts w:cs="Arial"/>
          <w:b/>
          <w:color w:val="00B0F0"/>
          <w:lang w:eastAsia="en-GB"/>
        </w:rPr>
      </w:pPr>
      <w:r w:rsidRPr="001A075C">
        <w:rPr>
          <w:rFonts w:cs="Arial"/>
          <w:b/>
          <w:color w:val="00B0F0"/>
          <w:lang w:eastAsia="en-GB"/>
        </w:rPr>
        <w:t>Additional copies</w:t>
      </w:r>
    </w:p>
    <w:p w:rsidR="00ED227F" w:rsidRDefault="00ED227F"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You may make copies of this document without seeking permission.</w:t>
      </w:r>
      <w:r w:rsidR="008A56AC">
        <w:rPr>
          <w:rFonts w:cs="Arial"/>
          <w:color w:val="000000"/>
          <w:lang w:eastAsia="en-GB"/>
        </w:rPr>
        <w:t xml:space="preserve"> </w:t>
      </w:r>
      <w:r>
        <w:rPr>
          <w:rFonts w:cs="Arial"/>
          <w:color w:val="000000"/>
          <w:lang w:eastAsia="en-GB"/>
        </w:rPr>
        <w:t>Further printed</w:t>
      </w:r>
      <w:r w:rsidR="000753E5">
        <w:rPr>
          <w:rFonts w:cs="Arial"/>
          <w:color w:val="000000"/>
          <w:lang w:eastAsia="en-GB"/>
        </w:rPr>
        <w:t xml:space="preserve"> </w:t>
      </w:r>
      <w:r>
        <w:rPr>
          <w:rFonts w:cs="Arial"/>
          <w:color w:val="000000"/>
          <w:lang w:eastAsia="en-GB"/>
        </w:rPr>
        <w:t>copies of the consultation document can be obtained from:</w:t>
      </w:r>
    </w:p>
    <w:p w:rsidR="00A91BED" w:rsidRDefault="00A91BED" w:rsidP="00553F55">
      <w:pPr>
        <w:autoSpaceDE w:val="0"/>
        <w:autoSpaceDN w:val="0"/>
        <w:adjustRightInd w:val="0"/>
        <w:spacing w:after="0"/>
        <w:jc w:val="both"/>
        <w:rPr>
          <w:rFonts w:cs="Arial"/>
          <w:color w:val="000000"/>
          <w:lang w:eastAsia="en-GB"/>
        </w:rPr>
      </w:pPr>
    </w:p>
    <w:p w:rsidR="0097482C" w:rsidRDefault="00812997" w:rsidP="0097482C">
      <w:pPr>
        <w:autoSpaceDE w:val="0"/>
        <w:autoSpaceDN w:val="0"/>
        <w:adjustRightInd w:val="0"/>
        <w:spacing w:after="0"/>
        <w:ind w:left="720"/>
        <w:jc w:val="both"/>
        <w:rPr>
          <w:rFonts w:cs="Arial"/>
          <w:color w:val="000000"/>
          <w:lang w:eastAsia="en-GB"/>
        </w:rPr>
      </w:pPr>
      <w:r>
        <w:rPr>
          <w:rFonts w:cs="Arial"/>
          <w:color w:val="000000"/>
          <w:lang w:eastAsia="en-GB"/>
        </w:rPr>
        <w:t>FIT</w:t>
      </w:r>
      <w:r w:rsidR="0097482C">
        <w:rPr>
          <w:rFonts w:cs="Arial"/>
          <w:color w:val="000000"/>
          <w:lang w:eastAsia="en-GB"/>
        </w:rPr>
        <w:t>s Team, Office of Renewable</w:t>
      </w:r>
      <w:r w:rsidR="00CF0843">
        <w:rPr>
          <w:rFonts w:cs="Arial"/>
          <w:color w:val="000000"/>
          <w:lang w:eastAsia="en-GB"/>
        </w:rPr>
        <w:t xml:space="preserve"> </w:t>
      </w:r>
      <w:r w:rsidR="0097482C">
        <w:rPr>
          <w:rFonts w:cs="Arial"/>
          <w:color w:val="000000"/>
          <w:lang w:eastAsia="en-GB"/>
        </w:rPr>
        <w:t xml:space="preserve">Energy Deployment, </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Department of Energy and Climate Change,</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 xml:space="preserve">4th Floor, Area A, </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 xml:space="preserve">3 – 8 Whitehall Place, </w:t>
      </w:r>
    </w:p>
    <w:p w:rsidR="0097482C" w:rsidRDefault="0097482C" w:rsidP="0097482C">
      <w:pPr>
        <w:autoSpaceDE w:val="0"/>
        <w:autoSpaceDN w:val="0"/>
        <w:adjustRightInd w:val="0"/>
        <w:spacing w:after="0"/>
        <w:ind w:left="720"/>
        <w:jc w:val="both"/>
        <w:rPr>
          <w:rFonts w:cs="Arial"/>
          <w:color w:val="000000"/>
          <w:lang w:eastAsia="en-GB"/>
        </w:rPr>
      </w:pPr>
      <w:r>
        <w:rPr>
          <w:rFonts w:cs="Arial"/>
          <w:color w:val="000000"/>
          <w:lang w:eastAsia="en-GB"/>
        </w:rPr>
        <w:t>London, SW1A 2AW.</w:t>
      </w:r>
    </w:p>
    <w:p w:rsidR="009E66C4" w:rsidRDefault="006B1A24" w:rsidP="00553F55">
      <w:pPr>
        <w:autoSpaceDE w:val="0"/>
        <w:autoSpaceDN w:val="0"/>
        <w:adjustRightInd w:val="0"/>
        <w:spacing w:after="0"/>
        <w:ind w:left="720"/>
        <w:jc w:val="both"/>
        <w:rPr>
          <w:rFonts w:cs="Arial"/>
          <w:color w:val="000000"/>
          <w:lang w:eastAsia="en-GB"/>
        </w:rPr>
      </w:pPr>
      <w:r>
        <w:rPr>
          <w:rFonts w:cs="Arial"/>
          <w:color w:val="000000"/>
          <w:lang w:eastAsia="en-GB"/>
        </w:rPr>
        <w:t xml:space="preserve">Telephone: 0300 068 </w:t>
      </w:r>
      <w:r w:rsidR="00B86F5C">
        <w:rPr>
          <w:rFonts w:cs="Arial"/>
          <w:color w:val="000000"/>
          <w:lang w:eastAsia="en-GB"/>
        </w:rPr>
        <w:t>5733</w:t>
      </w:r>
    </w:p>
    <w:p w:rsidR="00A91BED" w:rsidRDefault="00A91BED" w:rsidP="00553F55">
      <w:pPr>
        <w:autoSpaceDE w:val="0"/>
        <w:autoSpaceDN w:val="0"/>
        <w:adjustRightInd w:val="0"/>
        <w:spacing w:after="0"/>
        <w:jc w:val="both"/>
        <w:rPr>
          <w:rFonts w:cs="Arial"/>
          <w:color w:val="000000"/>
          <w:lang w:eastAsia="en-GB"/>
        </w:rPr>
      </w:pPr>
    </w:p>
    <w:p w:rsidR="00A138C6" w:rsidRDefault="009E66C4" w:rsidP="00553F55">
      <w:pPr>
        <w:autoSpaceDE w:val="0"/>
        <w:autoSpaceDN w:val="0"/>
        <w:adjustRightInd w:val="0"/>
        <w:spacing w:after="0"/>
        <w:jc w:val="both"/>
        <w:rPr>
          <w:rFonts w:cs="Arial"/>
          <w:color w:val="000000"/>
          <w:lang w:eastAsia="en-GB"/>
        </w:rPr>
      </w:pPr>
      <w:r>
        <w:rPr>
          <w:rFonts w:cs="Arial"/>
          <w:color w:val="000000"/>
          <w:lang w:eastAsia="en-GB"/>
        </w:rPr>
        <w:t>An electronic version can be found at:</w:t>
      </w:r>
      <w:r w:rsidR="00366FED">
        <w:rPr>
          <w:rFonts w:cs="Arial"/>
          <w:color w:val="000000"/>
          <w:lang w:eastAsia="en-GB"/>
        </w:rPr>
        <w:t xml:space="preserve"> </w:t>
      </w:r>
    </w:p>
    <w:p w:rsidR="001516A7" w:rsidRDefault="0058440C" w:rsidP="00553F55">
      <w:pPr>
        <w:autoSpaceDE w:val="0"/>
        <w:autoSpaceDN w:val="0"/>
        <w:adjustRightInd w:val="0"/>
        <w:spacing w:after="0"/>
        <w:jc w:val="both"/>
      </w:pPr>
      <w:hyperlink r:id="rId15" w:history="1">
        <w:r w:rsidR="007B1402" w:rsidRPr="001516A7">
          <w:rPr>
            <w:rStyle w:val="Hyperlink"/>
            <w:rFonts w:cs="Arial"/>
          </w:rPr>
          <w:t>http://www.decc.gov.uk/en/content/cms/consultations/fits_rev_ph2b/fits_rev_ph2b.aspx</w:t>
        </w:r>
      </w:hyperlink>
    </w:p>
    <w:p w:rsidR="0034094C" w:rsidRPr="001516A7" w:rsidRDefault="0034094C" w:rsidP="00553F55">
      <w:pPr>
        <w:autoSpaceDE w:val="0"/>
        <w:autoSpaceDN w:val="0"/>
        <w:adjustRightInd w:val="0"/>
        <w:spacing w:after="0"/>
        <w:jc w:val="both"/>
        <w:rPr>
          <w:rFonts w:cs="Arial"/>
          <w:color w:val="1F497D"/>
        </w:rPr>
      </w:pPr>
    </w:p>
    <w:p w:rsidR="009E66C4" w:rsidRDefault="009E66C4" w:rsidP="00553F55">
      <w:pPr>
        <w:autoSpaceDE w:val="0"/>
        <w:autoSpaceDN w:val="0"/>
        <w:adjustRightInd w:val="0"/>
        <w:spacing w:after="0"/>
        <w:jc w:val="both"/>
        <w:rPr>
          <w:rFonts w:cs="Arial"/>
          <w:color w:val="000000"/>
          <w:lang w:eastAsia="en-GB"/>
        </w:rPr>
      </w:pPr>
      <w:r w:rsidRPr="001516A7">
        <w:rPr>
          <w:rFonts w:cs="Arial"/>
          <w:color w:val="000000"/>
          <w:lang w:eastAsia="en-GB"/>
        </w:rPr>
        <w:t xml:space="preserve">Other </w:t>
      </w:r>
      <w:r>
        <w:rPr>
          <w:rFonts w:cs="Arial"/>
          <w:color w:val="000000"/>
          <w:lang w:eastAsia="en-GB"/>
        </w:rPr>
        <w:t>versions of the document are available on request.</w:t>
      </w:r>
    </w:p>
    <w:p w:rsidR="009E66C4" w:rsidRDefault="009E66C4" w:rsidP="00553F55">
      <w:pPr>
        <w:autoSpaceDE w:val="0"/>
        <w:autoSpaceDN w:val="0"/>
        <w:adjustRightInd w:val="0"/>
        <w:spacing w:after="0"/>
        <w:jc w:val="both"/>
        <w:rPr>
          <w:rFonts w:cs="Arial"/>
          <w:color w:val="006CA3"/>
          <w:lang w:eastAsia="en-GB"/>
        </w:rPr>
      </w:pPr>
    </w:p>
    <w:p w:rsidR="009E66C4" w:rsidRPr="001A075C" w:rsidRDefault="009E66C4" w:rsidP="00553F55">
      <w:pPr>
        <w:autoSpaceDE w:val="0"/>
        <w:autoSpaceDN w:val="0"/>
        <w:adjustRightInd w:val="0"/>
        <w:spacing w:after="0"/>
        <w:jc w:val="both"/>
        <w:rPr>
          <w:rFonts w:cs="Arial"/>
          <w:b/>
          <w:color w:val="00B0F0"/>
          <w:lang w:eastAsia="en-GB"/>
        </w:rPr>
      </w:pPr>
      <w:r w:rsidRPr="001A075C">
        <w:rPr>
          <w:rFonts w:cs="Arial"/>
          <w:b/>
          <w:color w:val="00B0F0"/>
          <w:lang w:eastAsia="en-GB"/>
        </w:rPr>
        <w:t>Confidentiality and Data Protection</w:t>
      </w:r>
    </w:p>
    <w:p w:rsidR="00ED227F" w:rsidRDefault="00ED227F"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When this consultation ends, members of the public may ask for a copy of responses</w:t>
      </w:r>
      <w:r w:rsidR="000753E5">
        <w:rPr>
          <w:rFonts w:cs="Arial"/>
          <w:color w:val="000000"/>
          <w:lang w:eastAsia="en-GB"/>
        </w:rPr>
        <w:t xml:space="preserve"> </w:t>
      </w:r>
      <w:r>
        <w:rPr>
          <w:rFonts w:cs="Arial"/>
          <w:color w:val="000000"/>
          <w:lang w:eastAsia="en-GB"/>
        </w:rPr>
        <w:t>under freedom of information legislation.</w:t>
      </w:r>
      <w:r w:rsidR="008A56AC">
        <w:rPr>
          <w:rFonts w:cs="Arial"/>
          <w:color w:val="000000"/>
          <w:lang w:eastAsia="en-GB"/>
        </w:rPr>
        <w:t xml:space="preserve"> </w:t>
      </w:r>
      <w:r>
        <w:rPr>
          <w:rFonts w:cs="Arial"/>
          <w:color w:val="000000"/>
          <w:lang w:eastAsia="en-GB"/>
        </w:rPr>
        <w:t xml:space="preserve">If you do not want your response – including your name, contact details and any other personal information – to be </w:t>
      </w:r>
      <w:r w:rsidR="00ED227F">
        <w:rPr>
          <w:rFonts w:cs="Arial"/>
          <w:color w:val="000000"/>
          <w:lang w:eastAsia="en-GB"/>
        </w:rPr>
        <w:t xml:space="preserve">made </w:t>
      </w:r>
      <w:r>
        <w:rPr>
          <w:rFonts w:cs="Arial"/>
          <w:color w:val="000000"/>
          <w:lang w:eastAsia="en-GB"/>
        </w:rPr>
        <w:t xml:space="preserve">publicly available, please say so clearly in writing when you send your response to the </w:t>
      </w:r>
      <w:r>
        <w:rPr>
          <w:rFonts w:cs="Arial"/>
          <w:color w:val="000000"/>
          <w:lang w:eastAsia="en-GB"/>
        </w:rPr>
        <w:lastRenderedPageBreak/>
        <w:t>consultation.</w:t>
      </w:r>
      <w:r w:rsidR="008A56AC">
        <w:rPr>
          <w:rFonts w:cs="Arial"/>
          <w:color w:val="000000"/>
          <w:lang w:eastAsia="en-GB"/>
        </w:rPr>
        <w:t xml:space="preserve"> </w:t>
      </w:r>
      <w:r>
        <w:rPr>
          <w:rFonts w:cs="Arial"/>
          <w:color w:val="000000"/>
          <w:lang w:eastAsia="en-GB"/>
        </w:rPr>
        <w:t>Please note, if your computer automatically includes a confidentiality disclaimer, that w</w:t>
      </w:r>
      <w:r w:rsidR="002973ED">
        <w:rPr>
          <w:rFonts w:cs="Arial"/>
          <w:color w:val="000000"/>
          <w:lang w:eastAsia="en-GB"/>
        </w:rPr>
        <w:t>ill not</w:t>
      </w:r>
      <w:r>
        <w:rPr>
          <w:rFonts w:cs="Arial"/>
          <w:color w:val="000000"/>
          <w:lang w:eastAsia="en-GB"/>
        </w:rPr>
        <w:t xml:space="preserve"> count as a confidentiality request.</w:t>
      </w:r>
    </w:p>
    <w:p w:rsidR="009E66C4" w:rsidRDefault="009E66C4"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Please explain why you need to keep details confidential.</w:t>
      </w:r>
      <w:r w:rsidR="008A56AC">
        <w:rPr>
          <w:rFonts w:cs="Arial"/>
          <w:color w:val="000000"/>
          <w:lang w:eastAsia="en-GB"/>
        </w:rPr>
        <w:t xml:space="preserve"> </w:t>
      </w:r>
      <w:r>
        <w:rPr>
          <w:rFonts w:cs="Arial"/>
          <w:color w:val="000000"/>
          <w:lang w:eastAsia="en-GB"/>
        </w:rPr>
        <w:t>We will take your reasons</w:t>
      </w:r>
      <w:r w:rsidR="000753E5">
        <w:rPr>
          <w:rFonts w:cs="Arial"/>
          <w:color w:val="000000"/>
          <w:lang w:eastAsia="en-GB"/>
        </w:rPr>
        <w:t xml:space="preserve"> </w:t>
      </w:r>
      <w:r>
        <w:rPr>
          <w:rFonts w:cs="Arial"/>
          <w:color w:val="000000"/>
          <w:lang w:eastAsia="en-GB"/>
        </w:rPr>
        <w:t>into account if someone asks for this information under freedom of information</w:t>
      </w:r>
      <w:r w:rsidR="000753E5">
        <w:rPr>
          <w:rFonts w:cs="Arial"/>
          <w:color w:val="000000"/>
          <w:lang w:eastAsia="en-GB"/>
        </w:rPr>
        <w:t xml:space="preserve"> </w:t>
      </w:r>
      <w:r>
        <w:rPr>
          <w:rFonts w:cs="Arial"/>
          <w:color w:val="000000"/>
          <w:lang w:eastAsia="en-GB"/>
        </w:rPr>
        <w:t>legislation.</w:t>
      </w:r>
      <w:r w:rsidR="008A56AC">
        <w:rPr>
          <w:rFonts w:cs="Arial"/>
          <w:color w:val="000000"/>
          <w:lang w:eastAsia="en-GB"/>
        </w:rPr>
        <w:t xml:space="preserve"> </w:t>
      </w:r>
      <w:r>
        <w:rPr>
          <w:rFonts w:cs="Arial"/>
          <w:color w:val="000000"/>
          <w:lang w:eastAsia="en-GB"/>
        </w:rPr>
        <w:t>But, because of the law, we cannot promise that we will always be able to</w:t>
      </w:r>
      <w:r w:rsidR="000753E5">
        <w:rPr>
          <w:rFonts w:cs="Arial"/>
          <w:color w:val="000000"/>
          <w:lang w:eastAsia="en-GB"/>
        </w:rPr>
        <w:t xml:space="preserve"> </w:t>
      </w:r>
      <w:r>
        <w:rPr>
          <w:rFonts w:cs="Arial"/>
          <w:color w:val="000000"/>
          <w:lang w:eastAsia="en-GB"/>
        </w:rPr>
        <w:t>keep those details confidential.</w:t>
      </w:r>
    </w:p>
    <w:p w:rsidR="009E66C4" w:rsidRDefault="009E66C4"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We will summarise all responses and place this summary on our website at</w:t>
      </w:r>
      <w:r w:rsidR="000753E5">
        <w:rPr>
          <w:rFonts w:cs="Arial"/>
          <w:color w:val="000000"/>
          <w:lang w:eastAsia="en-GB"/>
        </w:rPr>
        <w:t xml:space="preserve"> </w:t>
      </w:r>
      <w:hyperlink r:id="rId16" w:history="1">
        <w:r w:rsidRPr="00622A34">
          <w:rPr>
            <w:rStyle w:val="Hyperlink"/>
            <w:rFonts w:cs="Arial"/>
            <w:lang w:eastAsia="en-GB"/>
          </w:rPr>
          <w:t>www.decc.gsi.gov.uk</w:t>
        </w:r>
      </w:hyperlink>
      <w:r>
        <w:rPr>
          <w:rFonts w:cs="Arial"/>
          <w:color w:val="000000"/>
          <w:lang w:eastAsia="en-GB"/>
        </w:rPr>
        <w:t>.</w:t>
      </w:r>
      <w:r w:rsidR="008A56AC">
        <w:rPr>
          <w:rFonts w:cs="Arial"/>
          <w:color w:val="000000"/>
          <w:lang w:eastAsia="en-GB"/>
        </w:rPr>
        <w:t xml:space="preserve"> </w:t>
      </w:r>
      <w:r>
        <w:rPr>
          <w:rFonts w:cs="Arial"/>
          <w:color w:val="000000"/>
          <w:lang w:eastAsia="en-GB"/>
        </w:rPr>
        <w:t>This summary will include a list of names of organisations that</w:t>
      </w:r>
      <w:r w:rsidR="000753E5">
        <w:rPr>
          <w:rFonts w:cs="Arial"/>
          <w:color w:val="000000"/>
          <w:lang w:eastAsia="en-GB"/>
        </w:rPr>
        <w:t xml:space="preserve"> </w:t>
      </w:r>
      <w:r>
        <w:rPr>
          <w:rFonts w:cs="Arial"/>
          <w:color w:val="000000"/>
          <w:lang w:eastAsia="en-GB"/>
        </w:rPr>
        <w:t>responded but not people’s personal names, addresses or other contact details.</w:t>
      </w:r>
    </w:p>
    <w:p w:rsidR="009E66C4" w:rsidRDefault="009E66C4" w:rsidP="00553F55">
      <w:pPr>
        <w:autoSpaceDE w:val="0"/>
        <w:autoSpaceDN w:val="0"/>
        <w:adjustRightInd w:val="0"/>
        <w:spacing w:after="0"/>
        <w:jc w:val="both"/>
        <w:rPr>
          <w:rFonts w:cs="Arial"/>
          <w:color w:val="006CA3"/>
          <w:lang w:eastAsia="en-GB"/>
        </w:rPr>
      </w:pPr>
    </w:p>
    <w:p w:rsidR="009E66C4" w:rsidRPr="001A075C" w:rsidRDefault="009E66C4" w:rsidP="00553F55">
      <w:pPr>
        <w:autoSpaceDE w:val="0"/>
        <w:autoSpaceDN w:val="0"/>
        <w:adjustRightInd w:val="0"/>
        <w:spacing w:after="0"/>
        <w:jc w:val="both"/>
        <w:rPr>
          <w:rFonts w:cs="Arial"/>
          <w:b/>
          <w:color w:val="00B0F0"/>
          <w:lang w:eastAsia="en-GB"/>
        </w:rPr>
      </w:pPr>
      <w:r w:rsidRPr="001A075C">
        <w:rPr>
          <w:rFonts w:cs="Arial"/>
          <w:b/>
          <w:color w:val="00B0F0"/>
          <w:lang w:eastAsia="en-GB"/>
        </w:rPr>
        <w:t>Help with queries</w:t>
      </w:r>
    </w:p>
    <w:p w:rsidR="00ED227F" w:rsidRDefault="00ED227F"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Please direct any queries about this consultation to our dedicated e-mail address:</w:t>
      </w:r>
    </w:p>
    <w:p w:rsidR="00A138C6" w:rsidRDefault="00A138C6" w:rsidP="00553F55">
      <w:pPr>
        <w:autoSpaceDE w:val="0"/>
        <w:autoSpaceDN w:val="0"/>
        <w:adjustRightInd w:val="0"/>
        <w:spacing w:after="0"/>
        <w:jc w:val="both"/>
        <w:rPr>
          <w:rFonts w:cs="Arial"/>
          <w:color w:val="000000"/>
          <w:lang w:eastAsia="en-GB"/>
        </w:rPr>
      </w:pPr>
    </w:p>
    <w:p w:rsidR="00A138C6" w:rsidRDefault="0058440C" w:rsidP="00553F55">
      <w:pPr>
        <w:autoSpaceDE w:val="0"/>
        <w:autoSpaceDN w:val="0"/>
        <w:adjustRightInd w:val="0"/>
        <w:spacing w:after="0"/>
        <w:ind w:left="720"/>
        <w:jc w:val="both"/>
        <w:rPr>
          <w:rFonts w:cs="Arial"/>
          <w:color w:val="000000"/>
          <w:lang w:eastAsia="en-GB"/>
        </w:rPr>
      </w:pPr>
      <w:hyperlink r:id="rId17" w:history="1">
        <w:r w:rsidR="00F52A71" w:rsidRPr="00900291">
          <w:rPr>
            <w:rStyle w:val="Hyperlink"/>
            <w:rFonts w:cs="Arial"/>
            <w:lang w:eastAsia="en-GB"/>
          </w:rPr>
          <w:t>fits@decc.gsi.gov.uk</w:t>
        </w:r>
      </w:hyperlink>
      <w:r w:rsidR="009E66C4">
        <w:rPr>
          <w:rFonts w:cs="Arial"/>
          <w:color w:val="000000"/>
          <w:lang w:eastAsia="en-GB"/>
        </w:rPr>
        <w:t xml:space="preserve">, </w:t>
      </w:r>
    </w:p>
    <w:p w:rsidR="00A138C6" w:rsidRDefault="00A138C6" w:rsidP="00553F55">
      <w:pPr>
        <w:autoSpaceDE w:val="0"/>
        <w:autoSpaceDN w:val="0"/>
        <w:adjustRightInd w:val="0"/>
        <w:spacing w:after="0"/>
        <w:jc w:val="both"/>
        <w:rPr>
          <w:rFonts w:cs="Arial"/>
          <w:color w:val="000000"/>
          <w:lang w:eastAsia="en-GB"/>
        </w:rPr>
      </w:pPr>
    </w:p>
    <w:p w:rsidR="009E66C4" w:rsidRDefault="009E66C4" w:rsidP="00553F55">
      <w:pPr>
        <w:autoSpaceDE w:val="0"/>
        <w:autoSpaceDN w:val="0"/>
        <w:adjustRightInd w:val="0"/>
        <w:spacing w:after="0"/>
        <w:jc w:val="both"/>
        <w:rPr>
          <w:rFonts w:cs="Arial"/>
          <w:color w:val="000000"/>
          <w:lang w:eastAsia="en-GB"/>
        </w:rPr>
      </w:pPr>
      <w:r>
        <w:rPr>
          <w:rFonts w:cs="Arial"/>
          <w:color w:val="000000"/>
          <w:lang w:eastAsia="en-GB"/>
        </w:rPr>
        <w:t>or in writing to:</w:t>
      </w:r>
    </w:p>
    <w:p w:rsidR="00A138C6" w:rsidRDefault="00A138C6" w:rsidP="00553F55">
      <w:pPr>
        <w:autoSpaceDE w:val="0"/>
        <w:autoSpaceDN w:val="0"/>
        <w:adjustRightInd w:val="0"/>
        <w:spacing w:after="0"/>
        <w:jc w:val="both"/>
        <w:rPr>
          <w:rFonts w:cs="Arial"/>
          <w:color w:val="000000"/>
          <w:lang w:eastAsia="en-GB"/>
        </w:rPr>
      </w:pPr>
    </w:p>
    <w:p w:rsidR="00A138C6" w:rsidRDefault="006B5EE4" w:rsidP="00553F55">
      <w:pPr>
        <w:autoSpaceDE w:val="0"/>
        <w:autoSpaceDN w:val="0"/>
        <w:adjustRightInd w:val="0"/>
        <w:spacing w:after="0"/>
        <w:ind w:left="720"/>
        <w:jc w:val="both"/>
        <w:rPr>
          <w:rFonts w:cs="Arial"/>
          <w:color w:val="000000"/>
          <w:lang w:eastAsia="en-GB"/>
        </w:rPr>
      </w:pPr>
      <w:r>
        <w:rPr>
          <w:rFonts w:cs="Arial"/>
          <w:color w:val="000000"/>
          <w:lang w:eastAsia="en-GB"/>
        </w:rPr>
        <w:t xml:space="preserve">FITs </w:t>
      </w:r>
      <w:r w:rsidR="009E66C4">
        <w:rPr>
          <w:rFonts w:cs="Arial"/>
          <w:color w:val="000000"/>
          <w:lang w:eastAsia="en-GB"/>
        </w:rPr>
        <w:t xml:space="preserve">Team, </w:t>
      </w:r>
      <w:r>
        <w:rPr>
          <w:rFonts w:cs="Arial"/>
          <w:color w:val="000000"/>
          <w:lang w:eastAsia="en-GB"/>
        </w:rPr>
        <w:t>Office for Renewable Energy Deployment</w:t>
      </w:r>
      <w:r w:rsidR="009E66C4">
        <w:rPr>
          <w:rFonts w:cs="Arial"/>
          <w:color w:val="000000"/>
          <w:lang w:eastAsia="en-GB"/>
        </w:rPr>
        <w:t xml:space="preserve">, </w:t>
      </w:r>
    </w:p>
    <w:p w:rsidR="009E66C4" w:rsidRDefault="009E66C4" w:rsidP="00553F55">
      <w:pPr>
        <w:autoSpaceDE w:val="0"/>
        <w:autoSpaceDN w:val="0"/>
        <w:adjustRightInd w:val="0"/>
        <w:spacing w:after="0"/>
        <w:ind w:left="720"/>
        <w:jc w:val="both"/>
        <w:rPr>
          <w:rFonts w:cs="Arial"/>
          <w:color w:val="000000"/>
          <w:lang w:eastAsia="en-GB"/>
        </w:rPr>
      </w:pPr>
      <w:r>
        <w:rPr>
          <w:rFonts w:cs="Arial"/>
          <w:color w:val="000000"/>
          <w:lang w:eastAsia="en-GB"/>
        </w:rPr>
        <w:t>Department of Energy and Climate Change,</w:t>
      </w:r>
    </w:p>
    <w:p w:rsidR="00A138C6" w:rsidRDefault="009E66C4" w:rsidP="00553F55">
      <w:pPr>
        <w:autoSpaceDE w:val="0"/>
        <w:autoSpaceDN w:val="0"/>
        <w:adjustRightInd w:val="0"/>
        <w:spacing w:after="0"/>
        <w:ind w:left="720"/>
        <w:jc w:val="both"/>
        <w:rPr>
          <w:rFonts w:cs="Arial"/>
          <w:color w:val="000000"/>
          <w:lang w:eastAsia="en-GB"/>
        </w:rPr>
      </w:pPr>
      <w:r>
        <w:rPr>
          <w:rFonts w:cs="Arial"/>
          <w:color w:val="000000"/>
          <w:lang w:eastAsia="en-GB"/>
        </w:rPr>
        <w:t xml:space="preserve">4th Floor, Area A/B, </w:t>
      </w:r>
    </w:p>
    <w:p w:rsidR="00A138C6" w:rsidRDefault="009E66C4" w:rsidP="00553F55">
      <w:pPr>
        <w:autoSpaceDE w:val="0"/>
        <w:autoSpaceDN w:val="0"/>
        <w:adjustRightInd w:val="0"/>
        <w:spacing w:after="0"/>
        <w:ind w:left="720"/>
        <w:jc w:val="both"/>
        <w:rPr>
          <w:rFonts w:cs="Arial"/>
          <w:color w:val="000000"/>
          <w:lang w:eastAsia="en-GB"/>
        </w:rPr>
      </w:pPr>
      <w:r>
        <w:rPr>
          <w:rFonts w:cs="Arial"/>
          <w:color w:val="000000"/>
          <w:lang w:eastAsia="en-GB"/>
        </w:rPr>
        <w:t xml:space="preserve">3 – 8 Whitehall Place, </w:t>
      </w:r>
    </w:p>
    <w:p w:rsidR="009E66C4" w:rsidRDefault="009E66C4" w:rsidP="00553F55">
      <w:pPr>
        <w:autoSpaceDE w:val="0"/>
        <w:autoSpaceDN w:val="0"/>
        <w:adjustRightInd w:val="0"/>
        <w:spacing w:after="0"/>
        <w:ind w:left="720"/>
        <w:jc w:val="both"/>
        <w:rPr>
          <w:rFonts w:cs="Arial"/>
          <w:color w:val="000000"/>
          <w:lang w:eastAsia="en-GB"/>
        </w:rPr>
      </w:pPr>
      <w:r>
        <w:rPr>
          <w:rFonts w:cs="Arial"/>
          <w:color w:val="000000"/>
          <w:lang w:eastAsia="en-GB"/>
        </w:rPr>
        <w:t>London, SW1A 2</w:t>
      </w:r>
      <w:r w:rsidR="006B1A24">
        <w:rPr>
          <w:rFonts w:cs="Arial"/>
          <w:color w:val="000000"/>
          <w:lang w:eastAsia="en-GB"/>
        </w:rPr>
        <w:t>AW</w:t>
      </w:r>
    </w:p>
    <w:p w:rsidR="009E66C4" w:rsidRDefault="00A138C6" w:rsidP="00553F55">
      <w:pPr>
        <w:ind w:left="720"/>
        <w:jc w:val="both"/>
        <w:rPr>
          <w:rFonts w:cs="Arial"/>
          <w:color w:val="000000"/>
          <w:lang w:eastAsia="en-GB"/>
        </w:rPr>
      </w:pPr>
      <w:r>
        <w:rPr>
          <w:rFonts w:cs="Arial"/>
          <w:color w:val="000000"/>
          <w:lang w:eastAsia="en-GB"/>
        </w:rPr>
        <w:t xml:space="preserve">Telephone: 0300 068 </w:t>
      </w:r>
      <w:r w:rsidR="00B86F5C">
        <w:rPr>
          <w:rFonts w:cs="Arial"/>
          <w:color w:val="000000"/>
          <w:lang w:eastAsia="en-GB"/>
        </w:rPr>
        <w:t>5733</w:t>
      </w:r>
    </w:p>
    <w:p w:rsidR="009E66C4" w:rsidRDefault="009E66C4" w:rsidP="00553F55">
      <w:pPr>
        <w:autoSpaceDE w:val="0"/>
        <w:autoSpaceDN w:val="0"/>
        <w:adjustRightInd w:val="0"/>
        <w:spacing w:after="0"/>
        <w:jc w:val="both"/>
        <w:rPr>
          <w:rFonts w:ascii="Univers-Light" w:hAnsi="Univers-Light" w:cs="Univers-Light"/>
          <w:lang w:eastAsia="en-GB"/>
        </w:rPr>
      </w:pPr>
      <w:r>
        <w:rPr>
          <w:rFonts w:ascii="Univers-Light" w:hAnsi="Univers-Light" w:cs="Univers-Light"/>
          <w:lang w:eastAsia="en-GB"/>
        </w:rPr>
        <w:t>If you have any comments or complaints about the consultation process, please</w:t>
      </w:r>
      <w:r w:rsidR="000753E5">
        <w:rPr>
          <w:rFonts w:ascii="Univers-Light" w:hAnsi="Univers-Light" w:cs="Univers-Light"/>
          <w:lang w:eastAsia="en-GB"/>
        </w:rPr>
        <w:t xml:space="preserve"> </w:t>
      </w:r>
      <w:r>
        <w:rPr>
          <w:rFonts w:ascii="Univers-Light" w:hAnsi="Univers-Light" w:cs="Univers-Light"/>
          <w:lang w:eastAsia="en-GB"/>
        </w:rPr>
        <w:t>address them to:</w:t>
      </w:r>
    </w:p>
    <w:p w:rsidR="009E66C4" w:rsidRDefault="009E66C4" w:rsidP="00553F55">
      <w:pPr>
        <w:autoSpaceDE w:val="0"/>
        <w:autoSpaceDN w:val="0"/>
        <w:adjustRightInd w:val="0"/>
        <w:spacing w:after="0"/>
        <w:ind w:left="720"/>
        <w:jc w:val="both"/>
        <w:rPr>
          <w:rFonts w:ascii="Univers-Light" w:hAnsi="Univers-Light" w:cs="Univers-Light"/>
          <w:lang w:eastAsia="en-GB"/>
        </w:rPr>
      </w:pPr>
    </w:p>
    <w:p w:rsidR="009E66C4" w:rsidRDefault="009E66C4" w:rsidP="00553F55">
      <w:pPr>
        <w:autoSpaceDE w:val="0"/>
        <w:autoSpaceDN w:val="0"/>
        <w:adjustRightInd w:val="0"/>
        <w:spacing w:after="0"/>
        <w:ind w:left="720"/>
        <w:jc w:val="both"/>
        <w:rPr>
          <w:rFonts w:ascii="Univers-Light" w:hAnsi="Univers-Light" w:cs="Univers-Light"/>
          <w:lang w:eastAsia="en-GB"/>
        </w:rPr>
      </w:pPr>
      <w:r>
        <w:rPr>
          <w:rFonts w:ascii="Univers-Light" w:hAnsi="Univers-Light" w:cs="Univers-Light"/>
          <w:lang w:eastAsia="en-GB"/>
        </w:rPr>
        <w:t>DECC Consultation Coordinator</w:t>
      </w:r>
    </w:p>
    <w:p w:rsidR="009E66C4" w:rsidRDefault="009E66C4" w:rsidP="00553F55">
      <w:pPr>
        <w:autoSpaceDE w:val="0"/>
        <w:autoSpaceDN w:val="0"/>
        <w:adjustRightInd w:val="0"/>
        <w:spacing w:after="0"/>
        <w:ind w:left="720"/>
        <w:jc w:val="both"/>
        <w:rPr>
          <w:rFonts w:ascii="Univers-Light" w:hAnsi="Univers-Light" w:cs="Univers-Light"/>
          <w:lang w:eastAsia="en-GB"/>
        </w:rPr>
      </w:pPr>
      <w:r>
        <w:rPr>
          <w:rFonts w:ascii="Univers-Light" w:hAnsi="Univers-Light" w:cs="Univers-Light"/>
          <w:lang w:eastAsia="en-GB"/>
        </w:rPr>
        <w:t>Area 6A</w:t>
      </w:r>
    </w:p>
    <w:p w:rsidR="009E66C4" w:rsidRDefault="009E66C4" w:rsidP="00553F55">
      <w:pPr>
        <w:autoSpaceDE w:val="0"/>
        <w:autoSpaceDN w:val="0"/>
        <w:adjustRightInd w:val="0"/>
        <w:spacing w:after="0"/>
        <w:ind w:left="720"/>
        <w:jc w:val="both"/>
        <w:rPr>
          <w:rFonts w:ascii="Univers-Light" w:hAnsi="Univers-Light" w:cs="Univers-Light"/>
          <w:lang w:eastAsia="en-GB"/>
        </w:rPr>
      </w:pPr>
      <w:r>
        <w:rPr>
          <w:rFonts w:ascii="Univers-Light" w:hAnsi="Univers-Light" w:cs="Univers-Light"/>
          <w:lang w:eastAsia="en-GB"/>
        </w:rPr>
        <w:t>3 Whitehall Place</w:t>
      </w:r>
    </w:p>
    <w:p w:rsidR="009E66C4" w:rsidRDefault="009E66C4" w:rsidP="00553F55">
      <w:pPr>
        <w:autoSpaceDE w:val="0"/>
        <w:autoSpaceDN w:val="0"/>
        <w:adjustRightInd w:val="0"/>
        <w:spacing w:after="0"/>
        <w:ind w:left="720"/>
        <w:jc w:val="both"/>
        <w:rPr>
          <w:rFonts w:ascii="Univers-Light" w:hAnsi="Univers-Light" w:cs="Univers-Light"/>
          <w:lang w:eastAsia="en-GB"/>
        </w:rPr>
      </w:pPr>
      <w:r>
        <w:rPr>
          <w:rFonts w:ascii="Univers-Light" w:hAnsi="Univers-Light" w:cs="Univers-Light"/>
          <w:lang w:eastAsia="en-GB"/>
        </w:rPr>
        <w:t>London, SW1A 2AW</w:t>
      </w:r>
    </w:p>
    <w:p w:rsidR="009E66C4" w:rsidRDefault="009E66C4" w:rsidP="00553F55">
      <w:pPr>
        <w:autoSpaceDE w:val="0"/>
        <w:autoSpaceDN w:val="0"/>
        <w:adjustRightInd w:val="0"/>
        <w:spacing w:after="0"/>
        <w:ind w:left="720"/>
        <w:jc w:val="both"/>
        <w:rPr>
          <w:rFonts w:ascii="Univers-Light" w:hAnsi="Univers-Light" w:cs="Univers-Light"/>
          <w:lang w:eastAsia="en-GB"/>
        </w:rPr>
      </w:pPr>
      <w:r>
        <w:rPr>
          <w:rFonts w:ascii="Univers-Light" w:hAnsi="Univers-Light" w:cs="Univers-Light"/>
          <w:lang w:eastAsia="en-GB"/>
        </w:rPr>
        <w:t xml:space="preserve">Email: </w:t>
      </w:r>
      <w:hyperlink r:id="rId18" w:history="1">
        <w:r w:rsidR="00622A34" w:rsidRPr="00CB1C00">
          <w:rPr>
            <w:rStyle w:val="Hyperlink"/>
            <w:rFonts w:ascii="Univers-Light" w:hAnsi="Univers-Light" w:cs="Univers-Light"/>
            <w:lang w:eastAsia="en-GB"/>
          </w:rPr>
          <w:t>Consultation.coordinator@decc.gsi.gov.uk</w:t>
        </w:r>
      </w:hyperlink>
      <w:r w:rsidR="00622A34">
        <w:rPr>
          <w:rFonts w:ascii="Univers-Light" w:hAnsi="Univers-Light" w:cs="Univers-Light"/>
          <w:lang w:eastAsia="en-GB"/>
        </w:rPr>
        <w:t xml:space="preserve"> </w:t>
      </w:r>
    </w:p>
    <w:p w:rsidR="00A138C6" w:rsidRDefault="00A138C6" w:rsidP="00553F55">
      <w:pPr>
        <w:autoSpaceDE w:val="0"/>
        <w:autoSpaceDN w:val="0"/>
        <w:adjustRightInd w:val="0"/>
        <w:spacing w:after="0"/>
        <w:jc w:val="both"/>
        <w:rPr>
          <w:rFonts w:ascii="Univers-Light" w:hAnsi="Univers-Light" w:cs="Univers-Light"/>
          <w:lang w:eastAsia="en-GB"/>
        </w:rPr>
      </w:pPr>
    </w:p>
    <w:p w:rsidR="009E66C4" w:rsidRDefault="009E66C4" w:rsidP="00553F55">
      <w:pPr>
        <w:autoSpaceDE w:val="0"/>
        <w:autoSpaceDN w:val="0"/>
        <w:adjustRightInd w:val="0"/>
        <w:spacing w:after="0"/>
        <w:jc w:val="both"/>
        <w:rPr>
          <w:rFonts w:ascii="Univers-Light" w:hAnsi="Univers-Light" w:cs="Univers-Light"/>
          <w:lang w:eastAsia="en-GB"/>
        </w:rPr>
      </w:pPr>
      <w:r>
        <w:rPr>
          <w:rFonts w:ascii="Univers-Light" w:hAnsi="Univers-Light" w:cs="Univers-Light"/>
          <w:lang w:eastAsia="en-GB"/>
        </w:rPr>
        <w:t>A copy of the Code of practice on Consultations can be found at:</w:t>
      </w:r>
    </w:p>
    <w:p w:rsidR="000722B9" w:rsidRDefault="0058440C" w:rsidP="00553F55">
      <w:pPr>
        <w:autoSpaceDE w:val="0"/>
        <w:autoSpaceDN w:val="0"/>
        <w:adjustRightInd w:val="0"/>
        <w:spacing w:after="0"/>
        <w:jc w:val="both"/>
      </w:pPr>
      <w:hyperlink r:id="rId19" w:history="1">
        <w:r w:rsidR="000722B9" w:rsidRPr="003C5B4F">
          <w:rPr>
            <w:rStyle w:val="Hyperlink"/>
          </w:rPr>
          <w:t>http://www.berr.gov.uk/files/file47158.pdf</w:t>
        </w:r>
      </w:hyperlink>
    </w:p>
    <w:p w:rsidR="00640A79" w:rsidRDefault="00640A79" w:rsidP="00553F55">
      <w:pPr>
        <w:autoSpaceDE w:val="0"/>
        <w:autoSpaceDN w:val="0"/>
        <w:adjustRightInd w:val="0"/>
        <w:spacing w:after="0"/>
        <w:jc w:val="both"/>
        <w:rPr>
          <w:rFonts w:ascii="Univers-Light" w:hAnsi="Univers-Light" w:cs="Univers-Light"/>
          <w:lang w:eastAsia="en-GB"/>
        </w:rPr>
      </w:pPr>
    </w:p>
    <w:p w:rsidR="006372EF" w:rsidRDefault="006372EF" w:rsidP="00E726A7">
      <w:pPr>
        <w:pStyle w:val="Heading1"/>
      </w:pPr>
      <w:r>
        <w:rPr>
          <w:rFonts w:ascii="Univers-Light" w:hAnsi="Univers-Light" w:cs="Univers-Light"/>
          <w:lang w:eastAsia="en-GB"/>
        </w:rPr>
        <w:br w:type="page"/>
      </w:r>
      <w:bookmarkStart w:id="14" w:name="_Toc316544899"/>
      <w:r w:rsidR="00303A3E" w:rsidRPr="00AC6BC1">
        <w:lastRenderedPageBreak/>
        <w:t>Introduction</w:t>
      </w:r>
      <w:bookmarkEnd w:id="14"/>
    </w:p>
    <w:p w:rsidR="00AC6BC1" w:rsidRPr="00AC6BC1" w:rsidRDefault="00AC6BC1" w:rsidP="00AC6BC1">
      <w:pPr>
        <w:autoSpaceDE w:val="0"/>
        <w:autoSpaceDN w:val="0"/>
        <w:adjustRightInd w:val="0"/>
        <w:spacing w:after="0"/>
        <w:jc w:val="both"/>
        <w:rPr>
          <w:b/>
          <w:color w:val="00B0F0"/>
          <w:sz w:val="28"/>
          <w:szCs w:val="28"/>
        </w:rPr>
      </w:pPr>
    </w:p>
    <w:p w:rsidR="00094F70" w:rsidRDefault="00094F70" w:rsidP="00A85D44">
      <w:pPr>
        <w:numPr>
          <w:ilvl w:val="0"/>
          <w:numId w:val="40"/>
        </w:numPr>
        <w:spacing w:after="0"/>
        <w:ind w:right="113" w:hanging="357"/>
      </w:pPr>
      <w:r>
        <w:t>This document is part of a package of announcements on the comprehensive review of the FITs scheme which includes:</w:t>
      </w:r>
    </w:p>
    <w:p w:rsidR="00094F70" w:rsidRDefault="00094F70" w:rsidP="00A85D44">
      <w:pPr>
        <w:numPr>
          <w:ilvl w:val="0"/>
          <w:numId w:val="10"/>
        </w:numPr>
        <w:spacing w:after="0"/>
        <w:ind w:right="113" w:hanging="357"/>
      </w:pPr>
      <w:r>
        <w:t xml:space="preserve">the </w:t>
      </w:r>
      <w:r w:rsidRPr="008F331F">
        <w:t>Gover</w:t>
      </w:r>
      <w:r>
        <w:t>nment r</w:t>
      </w:r>
      <w:r w:rsidRPr="008F331F">
        <w:t xml:space="preserve">esponse to </w:t>
      </w:r>
      <w:r>
        <w:t>the c</w:t>
      </w:r>
      <w:r w:rsidRPr="008F331F">
        <w:t xml:space="preserve">onsultation on Comprehensive Review Phase 1 </w:t>
      </w:r>
      <w:r>
        <w:t>regarding t</w:t>
      </w:r>
      <w:r w:rsidRPr="008F331F">
        <w:t>ariffs for solar PV</w:t>
      </w:r>
      <w:r>
        <w:t>;</w:t>
      </w:r>
    </w:p>
    <w:p w:rsidR="00094F70" w:rsidRDefault="00094F70" w:rsidP="00A85D44">
      <w:pPr>
        <w:numPr>
          <w:ilvl w:val="0"/>
          <w:numId w:val="10"/>
        </w:numPr>
        <w:spacing w:after="0"/>
        <w:ind w:right="113" w:hanging="357"/>
      </w:pPr>
      <w:r>
        <w:t>a consultation on s</w:t>
      </w:r>
      <w:r w:rsidRPr="008F331F">
        <w:t>olar PV cost control</w:t>
      </w:r>
      <w:r w:rsidR="00FA747B">
        <w:t xml:space="preserve"> (Phase 2A)</w:t>
      </w:r>
      <w:r>
        <w:t>, with a closing date of 3 April 2012; and</w:t>
      </w:r>
    </w:p>
    <w:p w:rsidR="00094F70" w:rsidRDefault="00094F70" w:rsidP="005957AB">
      <w:pPr>
        <w:numPr>
          <w:ilvl w:val="0"/>
          <w:numId w:val="10"/>
        </w:numPr>
        <w:ind w:right="113"/>
      </w:pPr>
      <w:r>
        <w:t>this document</w:t>
      </w:r>
      <w:r w:rsidR="00FA747B">
        <w:t xml:space="preserve"> (Phase 2B)</w:t>
      </w:r>
      <w:r>
        <w:t xml:space="preserve">, which is consulting on proposals on tariffs for anaerobic digestion, hydro, </w:t>
      </w:r>
      <w:proofErr w:type="spellStart"/>
      <w:r>
        <w:t>microCHP</w:t>
      </w:r>
      <w:proofErr w:type="spellEnd"/>
      <w:r>
        <w:t xml:space="preserve"> and wind installations, and administrative aspects of the scheme.</w:t>
      </w:r>
    </w:p>
    <w:p w:rsidR="00AC6BC1" w:rsidRDefault="00094F70" w:rsidP="00AC6BC1">
      <w:pPr>
        <w:numPr>
          <w:ilvl w:val="0"/>
          <w:numId w:val="40"/>
        </w:numPr>
        <w:ind w:right="113"/>
      </w:pPr>
      <w:r>
        <w:t xml:space="preserve">The </w:t>
      </w:r>
      <w:r w:rsidR="00FA747B">
        <w:t xml:space="preserve">FITs </w:t>
      </w:r>
      <w:r>
        <w:t xml:space="preserve">scheme was introduced in April 2010 </w:t>
      </w:r>
      <w:r w:rsidR="00556829">
        <w:t>and</w:t>
      </w:r>
      <w:r>
        <w:t xml:space="preserve"> work</w:t>
      </w:r>
      <w:r w:rsidR="00556829">
        <w:t>s</w:t>
      </w:r>
      <w:r>
        <w:t xml:space="preserve"> alongside the Renewables Obligation (RO) and the Renewable Heat Incentive (RHI). Following unexpectedly high take-up of large scale and stand-alone solar a fast-track review was undertaken and a decision document was published on 9 June.</w:t>
      </w:r>
      <w:r w:rsidRPr="00BC237C">
        <w:rPr>
          <w:rFonts w:ascii="Cambria" w:hAnsi="Cambria" w:cs="Arial"/>
        </w:rPr>
        <w:t xml:space="preserve"> </w:t>
      </w:r>
      <w:r w:rsidRPr="00BC237C">
        <w:rPr>
          <w:rFonts w:cs="Arial"/>
        </w:rPr>
        <w:t xml:space="preserve">Substantially reduced tariffs and bands for large scale and all stand-alone solar PV were implemented </w:t>
      </w:r>
      <w:r>
        <w:rPr>
          <w:rFonts w:cs="Arial"/>
        </w:rPr>
        <w:t xml:space="preserve">on </w:t>
      </w:r>
      <w:r w:rsidRPr="00BC237C">
        <w:rPr>
          <w:rFonts w:cs="Arial"/>
        </w:rPr>
        <w:t xml:space="preserve">1 August </w:t>
      </w:r>
      <w:r>
        <w:rPr>
          <w:rFonts w:cs="Arial"/>
        </w:rPr>
        <w:t xml:space="preserve">2011 </w:t>
      </w:r>
      <w:r w:rsidRPr="00BC237C">
        <w:rPr>
          <w:rFonts w:cs="Arial"/>
        </w:rPr>
        <w:t>for new installations</w:t>
      </w:r>
      <w:r>
        <w:rPr>
          <w:rFonts w:cs="Arial"/>
        </w:rPr>
        <w:t>. Changes were also made to the rules on extension of installations within 12 months of original installation</w:t>
      </w:r>
      <w:r w:rsidR="005544FA">
        <w:rPr>
          <w:rFonts w:cs="Arial"/>
        </w:rPr>
        <w:t xml:space="preserve"> on 18 October 2011</w:t>
      </w:r>
      <w:r>
        <w:rPr>
          <w:rFonts w:cs="Arial"/>
        </w:rPr>
        <w:t>.</w:t>
      </w:r>
    </w:p>
    <w:p w:rsidR="00AC6BC1" w:rsidRDefault="00094F70" w:rsidP="00AC6BC1">
      <w:pPr>
        <w:numPr>
          <w:ilvl w:val="0"/>
          <w:numId w:val="40"/>
        </w:numPr>
        <w:ind w:right="113"/>
      </w:pPr>
      <w:r w:rsidRPr="00043353">
        <w:t xml:space="preserve">The </w:t>
      </w:r>
      <w:r>
        <w:t xml:space="preserve">FITs scheme is designed to promote take up of small-scale low-carbon electricity technologies by the public and communities. This is part of a portfolio approach to meeting the UK’s renewable energy target that must be affordable in the context of the control framework for DECC levy-funded spending and provide value for money to consumers. </w:t>
      </w:r>
    </w:p>
    <w:p w:rsidR="00094F70" w:rsidRPr="00AC6BC1" w:rsidRDefault="00094F70" w:rsidP="00AC6BC1">
      <w:pPr>
        <w:numPr>
          <w:ilvl w:val="0"/>
          <w:numId w:val="40"/>
        </w:numPr>
        <w:ind w:right="113"/>
      </w:pPr>
      <w:r>
        <w:t>The FITs scheme is also intended to contribute to other low carbon goals. These wider aims are central considerations in justifying any level of subsidy that is above the cost per unit of energy generated considered necessary to meet the renewable energy target cost-effectively. Specifically, the FITs scheme aims to:</w:t>
      </w:r>
    </w:p>
    <w:p w:rsidR="00094F70" w:rsidRPr="002A4B67" w:rsidRDefault="00094F70" w:rsidP="00405DF9">
      <w:pPr>
        <w:numPr>
          <w:ilvl w:val="0"/>
          <w:numId w:val="38"/>
        </w:numPr>
        <w:ind w:left="1418" w:right="113"/>
        <w:rPr>
          <w:sz w:val="22"/>
          <w:szCs w:val="22"/>
        </w:rPr>
      </w:pPr>
      <w:r>
        <w:t>empower people and give them a direct stake in the transition to a low-carbon economy;</w:t>
      </w:r>
    </w:p>
    <w:p w:rsidR="00094F70" w:rsidRPr="002A4B67" w:rsidRDefault="00094F70" w:rsidP="00405DF9">
      <w:pPr>
        <w:numPr>
          <w:ilvl w:val="0"/>
          <w:numId w:val="38"/>
        </w:numPr>
        <w:ind w:left="1418" w:right="113"/>
        <w:rPr>
          <w:sz w:val="22"/>
          <w:szCs w:val="22"/>
        </w:rPr>
      </w:pPr>
      <w:r>
        <w:t>help develop a supply chain that offers households a wide range of cost-effective measures to lower their energy use and carbon emissions; and</w:t>
      </w:r>
    </w:p>
    <w:p w:rsidR="00094F70" w:rsidRPr="002A4B67" w:rsidRDefault="00094F70" w:rsidP="00405DF9">
      <w:pPr>
        <w:numPr>
          <w:ilvl w:val="0"/>
          <w:numId w:val="38"/>
        </w:numPr>
        <w:ind w:left="1418" w:right="113"/>
        <w:rPr>
          <w:sz w:val="22"/>
          <w:szCs w:val="22"/>
        </w:rPr>
      </w:pPr>
      <w:r>
        <w:t>assist in public take-up of carbon reduction measures, particularly measures to improve the energy efficiency of buildings.</w:t>
      </w:r>
    </w:p>
    <w:p w:rsidR="0015126F" w:rsidRPr="0015126F" w:rsidRDefault="00094F70" w:rsidP="00A85D44">
      <w:pPr>
        <w:numPr>
          <w:ilvl w:val="0"/>
          <w:numId w:val="40"/>
        </w:numPr>
        <w:rPr>
          <w:rFonts w:cs="Arial"/>
        </w:rPr>
      </w:pPr>
      <w:r>
        <w:t xml:space="preserve">This document </w:t>
      </w:r>
      <w:r w:rsidR="00C917AB">
        <w:t xml:space="preserve">begins by </w:t>
      </w:r>
      <w:r>
        <w:t>provid</w:t>
      </w:r>
      <w:r w:rsidR="00C917AB">
        <w:t>ing</w:t>
      </w:r>
      <w:r>
        <w:t xml:space="preserve"> an overview of the performance of the scheme to date</w:t>
      </w:r>
      <w:r w:rsidR="00C917AB">
        <w:t>.</w:t>
      </w:r>
      <w:r>
        <w:t xml:space="preserve"> </w:t>
      </w:r>
      <w:r w:rsidR="00C917AB">
        <w:t xml:space="preserve">It then </w:t>
      </w:r>
      <w:r>
        <w:t>considers the tariffs and cost control</w:t>
      </w:r>
      <w:r w:rsidR="009D72A4">
        <w:t xml:space="preserve"> options</w:t>
      </w:r>
      <w:r>
        <w:t xml:space="preserve"> for anaerobic digestion, hydro, </w:t>
      </w:r>
      <w:proofErr w:type="spellStart"/>
      <w:r>
        <w:t>microCHP</w:t>
      </w:r>
      <w:proofErr w:type="spellEnd"/>
      <w:r>
        <w:t xml:space="preserve"> and wind installations</w:t>
      </w:r>
      <w:r w:rsidR="009D72A4">
        <w:t>,</w:t>
      </w:r>
      <w:r w:rsidDel="003B7ED2">
        <w:t xml:space="preserve"> </w:t>
      </w:r>
      <w:r>
        <w:t xml:space="preserve">and various administrative </w:t>
      </w:r>
      <w:r w:rsidR="009D72A4">
        <w:t>issues</w:t>
      </w:r>
      <w:r>
        <w:t>, with the aim of any resulting changes being implemented later in 2012.</w:t>
      </w:r>
    </w:p>
    <w:p w:rsidR="00413A9C" w:rsidRDefault="00413A9C">
      <w:r>
        <w:rPr>
          <w:b/>
        </w:rPr>
        <w:br w:type="page"/>
      </w:r>
    </w:p>
    <w:tbl>
      <w:tblPr>
        <w:tblpPr w:leftFromText="181" w:rightFromText="181" w:vertAnchor="text" w:horzAnchor="margin" w:tblpXSpec="center" w:tblpY="-39"/>
        <w:tblW w:w="4835" w:type="pct"/>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2489"/>
        <w:gridCol w:w="6407"/>
      </w:tblGrid>
      <w:tr w:rsidR="006372EF" w:rsidRPr="0028755F" w:rsidTr="0015126F">
        <w:trPr>
          <w:trHeight w:val="165"/>
          <w:tblHeader/>
        </w:trPr>
        <w:tc>
          <w:tcPr>
            <w:tcW w:w="1399" w:type="pct"/>
            <w:shd w:val="clear" w:color="auto" w:fill="009EE3"/>
            <w:tcMar>
              <w:top w:w="113" w:type="dxa"/>
              <w:bottom w:w="113" w:type="dxa"/>
            </w:tcMar>
          </w:tcPr>
          <w:p w:rsidR="006372EF" w:rsidRPr="00AC6BC1" w:rsidRDefault="006372EF" w:rsidP="006372EF">
            <w:pPr>
              <w:pStyle w:val="Caption"/>
              <w:jc w:val="both"/>
              <w:rPr>
                <w:color w:val="FFFFFF"/>
                <w:sz w:val="44"/>
                <w:szCs w:val="44"/>
              </w:rPr>
            </w:pPr>
            <w:r w:rsidRPr="00AC6BC1">
              <w:rPr>
                <w:color w:val="FFFFFF"/>
                <w:sz w:val="44"/>
                <w:szCs w:val="44"/>
              </w:rPr>
              <w:t>Chapter 1.</w:t>
            </w:r>
          </w:p>
          <w:p w:rsidR="006372EF" w:rsidRPr="00AC6BC1" w:rsidRDefault="006372EF" w:rsidP="006372EF">
            <w:pPr>
              <w:jc w:val="both"/>
              <w:rPr>
                <w:sz w:val="44"/>
                <w:szCs w:val="44"/>
              </w:rPr>
            </w:pPr>
          </w:p>
        </w:tc>
        <w:tc>
          <w:tcPr>
            <w:tcW w:w="3601" w:type="pct"/>
            <w:shd w:val="clear" w:color="auto" w:fill="009EE3"/>
            <w:tcMar>
              <w:top w:w="113" w:type="dxa"/>
              <w:bottom w:w="113" w:type="dxa"/>
            </w:tcMar>
          </w:tcPr>
          <w:p w:rsidR="006372EF" w:rsidRPr="00AC6BC1" w:rsidRDefault="001C7CE0" w:rsidP="001D3275">
            <w:pPr>
              <w:pStyle w:val="Heading1"/>
              <w:rPr>
                <w:color w:val="FFFFFF"/>
                <w:sz w:val="44"/>
                <w:szCs w:val="44"/>
              </w:rPr>
            </w:pPr>
            <w:bookmarkStart w:id="15" w:name="_Toc316544900"/>
            <w:r w:rsidRPr="00AC6BC1">
              <w:rPr>
                <w:color w:val="FFFFFF"/>
                <w:sz w:val="44"/>
                <w:szCs w:val="44"/>
              </w:rPr>
              <w:t>Overview of Perfo</w:t>
            </w:r>
            <w:r w:rsidR="005369F5" w:rsidRPr="00AC6BC1">
              <w:rPr>
                <w:color w:val="FFFFFF"/>
                <w:sz w:val="44"/>
                <w:szCs w:val="44"/>
              </w:rPr>
              <w:t>rmance to D</w:t>
            </w:r>
            <w:r w:rsidRPr="00AC6BC1">
              <w:rPr>
                <w:color w:val="FFFFFF"/>
                <w:sz w:val="44"/>
                <w:szCs w:val="44"/>
              </w:rPr>
              <w:t>ate</w:t>
            </w:r>
            <w:bookmarkEnd w:id="15"/>
          </w:p>
        </w:tc>
      </w:tr>
      <w:tr w:rsidR="006372EF" w:rsidRPr="00015C4E" w:rsidTr="0015126F">
        <w:trPr>
          <w:trHeight w:val="488"/>
        </w:trPr>
        <w:tc>
          <w:tcPr>
            <w:tcW w:w="1399" w:type="pct"/>
            <w:shd w:val="clear" w:color="auto" w:fill="auto"/>
            <w:tcMar>
              <w:top w:w="113" w:type="dxa"/>
              <w:bottom w:w="113" w:type="dxa"/>
            </w:tcMar>
          </w:tcPr>
          <w:p w:rsidR="006372EF" w:rsidRPr="001B5BC3" w:rsidRDefault="006372EF" w:rsidP="006372EF">
            <w:pPr>
              <w:jc w:val="both"/>
              <w:rPr>
                <w:rFonts w:cs="Arial"/>
                <w:b/>
              </w:rPr>
            </w:pPr>
            <w:r w:rsidRPr="001B5BC3">
              <w:rPr>
                <w:rFonts w:cs="Arial"/>
                <w:b/>
              </w:rPr>
              <w:t xml:space="preserve">Summary </w:t>
            </w:r>
          </w:p>
          <w:p w:rsidR="006372EF" w:rsidRPr="003654E6" w:rsidRDefault="006372EF" w:rsidP="006372EF">
            <w:pPr>
              <w:pStyle w:val="TableText"/>
              <w:jc w:val="both"/>
            </w:pPr>
          </w:p>
        </w:tc>
        <w:tc>
          <w:tcPr>
            <w:tcW w:w="3601" w:type="pct"/>
            <w:shd w:val="clear" w:color="auto" w:fill="auto"/>
            <w:tcMar>
              <w:top w:w="113" w:type="dxa"/>
              <w:bottom w:w="113" w:type="dxa"/>
            </w:tcMar>
          </w:tcPr>
          <w:p w:rsidR="008421E2" w:rsidRDefault="0024204F" w:rsidP="0024204F">
            <w:pPr>
              <w:numPr>
                <w:ilvl w:val="0"/>
                <w:numId w:val="6"/>
              </w:numPr>
              <w:ind w:right="113"/>
              <w:jc w:val="both"/>
              <w:rPr>
                <w:sz w:val="22"/>
                <w:szCs w:val="22"/>
              </w:rPr>
            </w:pPr>
            <w:r>
              <w:t>Shows how the scheme has performed since it started in April 2010</w:t>
            </w:r>
          </w:p>
        </w:tc>
      </w:tr>
    </w:tbl>
    <w:p w:rsidR="008421E2" w:rsidRPr="0015126F" w:rsidRDefault="008421E2" w:rsidP="008421E2">
      <w:pPr>
        <w:pStyle w:val="Heading2"/>
        <w:spacing w:after="240"/>
        <w:rPr>
          <w:color w:val="00B0F0"/>
        </w:rPr>
      </w:pPr>
      <w:bookmarkStart w:id="16" w:name="_Toc311795829"/>
      <w:bookmarkStart w:id="17" w:name="_Toc316539442"/>
      <w:bookmarkStart w:id="18" w:name="_Toc316544901"/>
      <w:r w:rsidRPr="0015126F">
        <w:rPr>
          <w:color w:val="00B0F0"/>
        </w:rPr>
        <w:t xml:space="preserve">Overview of the Scheme Performance to </w:t>
      </w:r>
      <w:r w:rsidR="00024094">
        <w:rPr>
          <w:color w:val="00B0F0"/>
        </w:rPr>
        <w:t>3</w:t>
      </w:r>
      <w:r w:rsidR="00A60680" w:rsidRPr="0015126F">
        <w:rPr>
          <w:color w:val="00B0F0"/>
        </w:rPr>
        <w:t>1 December 2011</w:t>
      </w:r>
      <w:bookmarkEnd w:id="16"/>
      <w:bookmarkEnd w:id="17"/>
      <w:bookmarkEnd w:id="18"/>
    </w:p>
    <w:p w:rsidR="00812997" w:rsidRPr="003A49D0" w:rsidRDefault="00812997" w:rsidP="00986EAF">
      <w:pPr>
        <w:pStyle w:val="DECCnumberingBold"/>
      </w:pPr>
      <w:r w:rsidRPr="003A49D0">
        <w:t>At the end of FITs Year 1</w:t>
      </w:r>
      <w:r w:rsidR="00556829">
        <w:t xml:space="preserve"> </w:t>
      </w:r>
      <w:r w:rsidR="009D72A4">
        <w:t>(31 March 2011)</w:t>
      </w:r>
      <w:r w:rsidRPr="003A49D0">
        <w:t xml:space="preserve"> there were 30,201 installations registered in the scheme with a total generation capacity of 108.3 MW that generated 68.6 GWh of electricity over the period 1 April 2011. This generation resulted in a CO</w:t>
      </w:r>
      <w:r w:rsidRPr="00904067">
        <w:rPr>
          <w:vertAlign w:val="subscript"/>
        </w:rPr>
        <w:t>2</w:t>
      </w:r>
      <w:r w:rsidRPr="003A49D0">
        <w:t xml:space="preserve"> saving of </w:t>
      </w:r>
      <w:r w:rsidR="006F2507">
        <w:t>27 tonnes CO</w:t>
      </w:r>
      <w:r w:rsidR="006F2507" w:rsidRPr="00904067">
        <w:rPr>
          <w:vertAlign w:val="subscript"/>
        </w:rPr>
        <w:t>2</w:t>
      </w:r>
      <w:r w:rsidR="006F2507">
        <w:t>e</w:t>
      </w:r>
      <w:r w:rsidRPr="003A49D0">
        <w:t>, and over their lifetime, these installations are expected to delive</w:t>
      </w:r>
      <w:r w:rsidR="006F2507">
        <w:t>r total emissions savings of 1.1</w:t>
      </w:r>
      <w:r w:rsidRPr="003A49D0">
        <w:t xml:space="preserve"> MtCO</w:t>
      </w:r>
      <w:r w:rsidRPr="00904067">
        <w:rPr>
          <w:vertAlign w:val="subscript"/>
        </w:rPr>
        <w:t>2</w:t>
      </w:r>
      <w:r w:rsidR="009D72A4">
        <w:t xml:space="preserve"> over a business as usual scenario</w:t>
      </w:r>
      <w:r w:rsidRPr="003A49D0">
        <w:t>.</w:t>
      </w:r>
      <w:r w:rsidR="001932F2">
        <w:t xml:space="preserve"> More details of the year 1 performance can be found in </w:t>
      </w:r>
      <w:r w:rsidR="001D311F">
        <w:t>Ofgem’s</w:t>
      </w:r>
      <w:r w:rsidR="001932F2">
        <w:t xml:space="preserve"> Feed-in Tariffs Annual Report</w:t>
      </w:r>
      <w:r w:rsidR="001932F2">
        <w:rPr>
          <w:rStyle w:val="FootnoteReference"/>
        </w:rPr>
        <w:footnoteReference w:id="1"/>
      </w:r>
      <w:r w:rsidR="001932F2">
        <w:t xml:space="preserve"> for 2010-11</w:t>
      </w:r>
      <w:r w:rsidR="001D311F">
        <w:t>.</w:t>
      </w:r>
    </w:p>
    <w:p w:rsidR="00812997" w:rsidRDefault="00AE458A" w:rsidP="00986EAF">
      <w:pPr>
        <w:pStyle w:val="DECCnumberingBold"/>
      </w:pPr>
      <w:r>
        <w:t>The remainder of the d</w:t>
      </w:r>
      <w:r w:rsidR="00812997">
        <w:t>ata presented here relates to installations made between 15 July 2009 and 31 December 2011. Information on the FITs accredited installations from April to December 2011 has been extracted from the Central</w:t>
      </w:r>
      <w:r w:rsidR="00812997" w:rsidRPr="00932719">
        <w:t xml:space="preserve"> </w:t>
      </w:r>
      <w:r w:rsidR="005544FA">
        <w:t xml:space="preserve">FITs </w:t>
      </w:r>
      <w:r w:rsidR="00812997">
        <w:t>R</w:t>
      </w:r>
      <w:r w:rsidR="00812997" w:rsidRPr="004846EC">
        <w:t>egister</w:t>
      </w:r>
      <w:r w:rsidR="00812997">
        <w:rPr>
          <w:rStyle w:val="FootnoteReference"/>
        </w:rPr>
        <w:footnoteReference w:id="2"/>
      </w:r>
      <w:r w:rsidR="00812997">
        <w:t xml:space="preserve">. This is a live database and is continually being updated and revised, so statistical reports extracted at a later date may not exactly match the totals presented here. The data on the Central </w:t>
      </w:r>
      <w:r w:rsidR="005544FA">
        <w:t xml:space="preserve">FITs </w:t>
      </w:r>
      <w:r w:rsidR="00812997">
        <w:t xml:space="preserve">Register also include those that were previously receiving support under the Renewable Obligation. </w:t>
      </w:r>
    </w:p>
    <w:p w:rsidR="00812997" w:rsidRDefault="00812997" w:rsidP="00986EAF">
      <w:pPr>
        <w:pStyle w:val="DECCnumberingBold"/>
      </w:pPr>
      <w:r>
        <w:t>At 31</w:t>
      </w:r>
      <w:r w:rsidRPr="00010CB6">
        <w:t xml:space="preserve"> </w:t>
      </w:r>
      <w:r>
        <w:t xml:space="preserve">December </w:t>
      </w:r>
      <w:r w:rsidRPr="00010CB6">
        <w:t>2011 (</w:t>
      </w:r>
      <w:r>
        <w:t>21</w:t>
      </w:r>
      <w:r w:rsidRPr="00010CB6">
        <w:t xml:space="preserve"> months into the FITs scheme), </w:t>
      </w:r>
      <w:r>
        <w:t xml:space="preserve">662 MW </w:t>
      </w:r>
      <w:r w:rsidRPr="00010CB6">
        <w:t xml:space="preserve">of capacity across </w:t>
      </w:r>
      <w:r>
        <w:t xml:space="preserve">147,231 </w:t>
      </w:r>
      <w:r w:rsidRPr="00010CB6">
        <w:t xml:space="preserve">installations, </w:t>
      </w:r>
      <w:r>
        <w:t>were</w:t>
      </w:r>
      <w:r w:rsidRPr="00010CB6">
        <w:t xml:space="preserve"> accredited under the scheme. The table below shows </w:t>
      </w:r>
      <w:r>
        <w:t>the data broken down by number of installations and capacity, before the scheme start, during the first year, and to end 2011.</w:t>
      </w:r>
    </w:p>
    <w:p w:rsidR="008421E2" w:rsidRPr="00024094" w:rsidRDefault="00024094" w:rsidP="003A49D0">
      <w:pPr>
        <w:pStyle w:val="Caption"/>
        <w:jc w:val="center"/>
        <w:rPr>
          <w:sz w:val="20"/>
          <w:szCs w:val="20"/>
        </w:rPr>
      </w:pPr>
      <w:r>
        <w:br w:type="page"/>
      </w:r>
      <w:r w:rsidR="00D80505" w:rsidRPr="00024094">
        <w:rPr>
          <w:sz w:val="20"/>
          <w:szCs w:val="20"/>
        </w:rPr>
        <w:lastRenderedPageBreak/>
        <w:t>Table 1</w:t>
      </w:r>
      <w:r w:rsidR="008421E2" w:rsidRPr="00024094">
        <w:rPr>
          <w:sz w:val="20"/>
          <w:szCs w:val="20"/>
        </w:rPr>
        <w:t>: Number of FITs Installations to 31 December 2011</w:t>
      </w:r>
    </w:p>
    <w:tbl>
      <w:tblPr>
        <w:tblW w:w="9513" w:type="dxa"/>
        <w:tblInd w:w="93" w:type="dxa"/>
        <w:tblLayout w:type="fixed"/>
        <w:tblLook w:val="04A0"/>
      </w:tblPr>
      <w:tblGrid>
        <w:gridCol w:w="1575"/>
        <w:gridCol w:w="850"/>
        <w:gridCol w:w="851"/>
        <w:gridCol w:w="992"/>
        <w:gridCol w:w="1276"/>
        <w:gridCol w:w="850"/>
        <w:gridCol w:w="851"/>
        <w:gridCol w:w="992"/>
        <w:gridCol w:w="1276"/>
      </w:tblGrid>
      <w:tr w:rsidR="00727D75" w:rsidRPr="009F5C18" w:rsidTr="00727D75">
        <w:trPr>
          <w:trHeight w:val="270"/>
        </w:trPr>
        <w:tc>
          <w:tcPr>
            <w:tcW w:w="1575" w:type="dxa"/>
            <w:tcBorders>
              <w:top w:val="single" w:sz="8" w:space="0" w:color="FFFFFF"/>
              <w:left w:val="single" w:sz="8" w:space="0" w:color="FFFFFF"/>
              <w:bottom w:val="single" w:sz="12" w:space="0" w:color="FFFFFF"/>
              <w:right w:val="single" w:sz="8" w:space="0" w:color="FFFFFF"/>
            </w:tcBorders>
            <w:shd w:val="clear" w:color="000000" w:fill="4F81BD"/>
            <w:vAlign w:val="bottom"/>
            <w:hideMark/>
          </w:tcPr>
          <w:p w:rsidR="00727D75" w:rsidRPr="009F5C18" w:rsidRDefault="00727D75" w:rsidP="003F2A51">
            <w:pPr>
              <w:spacing w:after="0"/>
              <w:ind w:left="0"/>
              <w:jc w:val="center"/>
              <w:rPr>
                <w:rFonts w:cs="Arial"/>
                <w:b/>
                <w:bCs/>
                <w:color w:val="FFFFFF"/>
                <w:sz w:val="20"/>
                <w:szCs w:val="20"/>
                <w:lang w:eastAsia="en-GB"/>
              </w:rPr>
            </w:pPr>
            <w:r w:rsidRPr="009F5C18">
              <w:rPr>
                <w:rFonts w:cs="Arial"/>
                <w:b/>
                <w:bCs/>
                <w:color w:val="FFFFFF"/>
                <w:sz w:val="20"/>
                <w:szCs w:val="20"/>
                <w:lang w:eastAsia="en-GB"/>
              </w:rPr>
              <w:t>Technology</w:t>
            </w:r>
          </w:p>
        </w:tc>
        <w:tc>
          <w:tcPr>
            <w:tcW w:w="3969" w:type="dxa"/>
            <w:gridSpan w:val="4"/>
            <w:tcBorders>
              <w:top w:val="single" w:sz="8" w:space="0" w:color="FFFFFF"/>
              <w:left w:val="nil"/>
              <w:bottom w:val="single" w:sz="12" w:space="0" w:color="FFFFFF"/>
              <w:right w:val="single" w:sz="8" w:space="0" w:color="FFFFFF"/>
            </w:tcBorders>
            <w:shd w:val="clear" w:color="000000" w:fill="4F81BD"/>
            <w:vAlign w:val="bottom"/>
            <w:hideMark/>
          </w:tcPr>
          <w:p w:rsidR="00727D75" w:rsidRPr="009F5C18" w:rsidRDefault="00727D75" w:rsidP="003F2A51">
            <w:pPr>
              <w:spacing w:after="0"/>
              <w:ind w:left="0"/>
              <w:jc w:val="center"/>
              <w:rPr>
                <w:rFonts w:cs="Arial"/>
                <w:b/>
                <w:bCs/>
                <w:color w:val="FFFFFF"/>
                <w:sz w:val="20"/>
                <w:szCs w:val="20"/>
                <w:lang w:eastAsia="en-GB"/>
              </w:rPr>
            </w:pPr>
            <w:r w:rsidRPr="009F5C18">
              <w:rPr>
                <w:rFonts w:cs="Arial"/>
                <w:b/>
                <w:bCs/>
                <w:color w:val="FFFFFF"/>
                <w:sz w:val="20"/>
                <w:szCs w:val="20"/>
                <w:lang w:eastAsia="en-GB"/>
              </w:rPr>
              <w:t>Number of Installations</w:t>
            </w:r>
          </w:p>
        </w:tc>
        <w:tc>
          <w:tcPr>
            <w:tcW w:w="3969" w:type="dxa"/>
            <w:gridSpan w:val="4"/>
            <w:tcBorders>
              <w:top w:val="single" w:sz="8" w:space="0" w:color="FFFFFF"/>
              <w:left w:val="nil"/>
              <w:bottom w:val="single" w:sz="12" w:space="0" w:color="FFFFFF"/>
              <w:right w:val="nil"/>
            </w:tcBorders>
            <w:shd w:val="clear" w:color="000000" w:fill="4F81BD"/>
            <w:vAlign w:val="bottom"/>
            <w:hideMark/>
          </w:tcPr>
          <w:p w:rsidR="00727D75" w:rsidRPr="009F5C18" w:rsidRDefault="00727D75" w:rsidP="003F2A51">
            <w:pPr>
              <w:spacing w:after="0"/>
              <w:ind w:left="0"/>
              <w:jc w:val="center"/>
              <w:rPr>
                <w:rFonts w:cs="Arial"/>
                <w:b/>
                <w:bCs/>
                <w:color w:val="FFFFFF"/>
                <w:sz w:val="20"/>
                <w:szCs w:val="20"/>
                <w:lang w:eastAsia="en-GB"/>
              </w:rPr>
            </w:pPr>
            <w:r w:rsidRPr="009F5C18">
              <w:rPr>
                <w:rFonts w:cs="Arial"/>
                <w:b/>
                <w:bCs/>
                <w:color w:val="FFFFFF"/>
                <w:sz w:val="20"/>
                <w:szCs w:val="20"/>
                <w:lang w:eastAsia="en-GB"/>
              </w:rPr>
              <w:t>Capacity (MW)</w:t>
            </w:r>
          </w:p>
        </w:tc>
      </w:tr>
      <w:tr w:rsidR="00727D75" w:rsidRPr="009F5C18" w:rsidTr="00727D75">
        <w:trPr>
          <w:trHeight w:val="510"/>
        </w:trPr>
        <w:tc>
          <w:tcPr>
            <w:tcW w:w="1575" w:type="dxa"/>
            <w:tcBorders>
              <w:top w:val="nil"/>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 </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sidRPr="009F5C18">
              <w:rPr>
                <w:rFonts w:cs="Arial"/>
                <w:b/>
                <w:bCs/>
                <w:color w:val="000000"/>
                <w:sz w:val="18"/>
                <w:szCs w:val="18"/>
                <w:lang w:eastAsia="en-GB"/>
              </w:rPr>
              <w:t>Pre-FITs</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sidRPr="009F5C18">
              <w:rPr>
                <w:rFonts w:cs="Arial"/>
                <w:b/>
                <w:bCs/>
                <w:color w:val="000000"/>
                <w:sz w:val="18"/>
                <w:szCs w:val="18"/>
                <w:lang w:eastAsia="en-GB"/>
              </w:rPr>
              <w:t>FITs Yr 1</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Pr>
                <w:rFonts w:cs="Arial"/>
                <w:b/>
                <w:bCs/>
                <w:color w:val="000000"/>
                <w:sz w:val="18"/>
                <w:szCs w:val="18"/>
                <w:lang w:eastAsia="en-GB"/>
              </w:rPr>
              <w:t xml:space="preserve">FITs Y2 to </w:t>
            </w:r>
            <w:r w:rsidRPr="009F5C18">
              <w:rPr>
                <w:rFonts w:cs="Arial"/>
                <w:b/>
                <w:bCs/>
                <w:color w:val="000000"/>
                <w:sz w:val="18"/>
                <w:szCs w:val="18"/>
                <w:lang w:eastAsia="en-GB"/>
              </w:rPr>
              <w:t>Q3</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sidRPr="009F5C18">
              <w:rPr>
                <w:rFonts w:cs="Arial"/>
                <w:b/>
                <w:bCs/>
                <w:color w:val="000000"/>
                <w:sz w:val="18"/>
                <w:szCs w:val="18"/>
                <w:lang w:eastAsia="en-GB"/>
              </w:rPr>
              <w:t>Cumulative Total</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sidRPr="009F5C18">
              <w:rPr>
                <w:rFonts w:cs="Arial"/>
                <w:b/>
                <w:bCs/>
                <w:color w:val="000000"/>
                <w:sz w:val="18"/>
                <w:szCs w:val="18"/>
                <w:lang w:eastAsia="en-GB"/>
              </w:rPr>
              <w:t>Pre-FITs</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sidRPr="009F5C18">
              <w:rPr>
                <w:rFonts w:cs="Arial"/>
                <w:b/>
                <w:bCs/>
                <w:color w:val="000000"/>
                <w:sz w:val="18"/>
                <w:szCs w:val="18"/>
                <w:lang w:eastAsia="en-GB"/>
              </w:rPr>
              <w:t>FITs Yr 1</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Pr>
                <w:rFonts w:cs="Arial"/>
                <w:b/>
                <w:bCs/>
                <w:color w:val="000000"/>
                <w:sz w:val="18"/>
                <w:szCs w:val="18"/>
                <w:lang w:eastAsia="en-GB"/>
              </w:rPr>
              <w:t>FITs Y2 to Q3</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center"/>
              <w:rPr>
                <w:rFonts w:cs="Arial"/>
                <w:b/>
                <w:bCs/>
                <w:color w:val="000000"/>
                <w:sz w:val="18"/>
                <w:szCs w:val="18"/>
                <w:lang w:eastAsia="en-GB"/>
              </w:rPr>
            </w:pPr>
            <w:r w:rsidRPr="009F5C18">
              <w:rPr>
                <w:rFonts w:cs="Arial"/>
                <w:b/>
                <w:bCs/>
                <w:color w:val="000000"/>
                <w:sz w:val="18"/>
                <w:szCs w:val="18"/>
                <w:lang w:eastAsia="en-GB"/>
              </w:rPr>
              <w:t>Cumulative Total</w:t>
            </w:r>
          </w:p>
        </w:tc>
      </w:tr>
      <w:tr w:rsidR="00727D75" w:rsidRPr="009F5C18" w:rsidTr="00727D75">
        <w:trPr>
          <w:trHeight w:val="420"/>
        </w:trPr>
        <w:tc>
          <w:tcPr>
            <w:tcW w:w="1575" w:type="dxa"/>
            <w:tcBorders>
              <w:top w:val="single" w:sz="8" w:space="0" w:color="FFFFFF"/>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Solar Photovoltaic</w:t>
            </w:r>
          </w:p>
        </w:tc>
        <w:tc>
          <w:tcPr>
            <w:tcW w:w="850"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2,811</w:t>
            </w:r>
          </w:p>
        </w:tc>
        <w:tc>
          <w:tcPr>
            <w:tcW w:w="851"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25,656</w:t>
            </w:r>
          </w:p>
        </w:tc>
        <w:tc>
          <w:tcPr>
            <w:tcW w:w="992"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116,100</w:t>
            </w:r>
          </w:p>
        </w:tc>
        <w:tc>
          <w:tcPr>
            <w:tcW w:w="1276"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144,567</w:t>
            </w:r>
          </w:p>
        </w:tc>
        <w:tc>
          <w:tcPr>
            <w:tcW w:w="850"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7.8</w:t>
            </w:r>
          </w:p>
        </w:tc>
        <w:tc>
          <w:tcPr>
            <w:tcW w:w="851"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69.9</w:t>
            </w:r>
          </w:p>
        </w:tc>
        <w:tc>
          <w:tcPr>
            <w:tcW w:w="992"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519</w:t>
            </w:r>
          </w:p>
        </w:tc>
        <w:tc>
          <w:tcPr>
            <w:tcW w:w="1276"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597</w:t>
            </w:r>
          </w:p>
        </w:tc>
      </w:tr>
      <w:tr w:rsidR="00727D75" w:rsidRPr="009F5C18" w:rsidTr="00727D75">
        <w:trPr>
          <w:trHeight w:val="270"/>
        </w:trPr>
        <w:tc>
          <w:tcPr>
            <w:tcW w:w="1575" w:type="dxa"/>
            <w:tcBorders>
              <w:top w:val="single" w:sz="8" w:space="0" w:color="FFFFFF"/>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Hydro</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122</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84</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49</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255</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1.7</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8.2</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8.2</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18.1</w:t>
            </w:r>
          </w:p>
        </w:tc>
      </w:tr>
      <w:tr w:rsidR="00727D75" w:rsidRPr="009F5C18" w:rsidTr="00727D75">
        <w:trPr>
          <w:trHeight w:val="270"/>
        </w:trPr>
        <w:tc>
          <w:tcPr>
            <w:tcW w:w="1575" w:type="dxa"/>
            <w:tcBorders>
              <w:top w:val="single" w:sz="8" w:space="0" w:color="FFFFFF"/>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Wind</w:t>
            </w:r>
          </w:p>
        </w:tc>
        <w:tc>
          <w:tcPr>
            <w:tcW w:w="850"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740</w:t>
            </w:r>
          </w:p>
        </w:tc>
        <w:tc>
          <w:tcPr>
            <w:tcW w:w="851"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588</w:t>
            </w:r>
          </w:p>
        </w:tc>
        <w:tc>
          <w:tcPr>
            <w:tcW w:w="992"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752</w:t>
            </w:r>
          </w:p>
        </w:tc>
        <w:tc>
          <w:tcPr>
            <w:tcW w:w="1276"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2,080</w:t>
            </w:r>
          </w:p>
        </w:tc>
        <w:tc>
          <w:tcPr>
            <w:tcW w:w="850"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5</w:t>
            </w:r>
          </w:p>
        </w:tc>
        <w:tc>
          <w:tcPr>
            <w:tcW w:w="851"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14.2</w:t>
            </w:r>
          </w:p>
        </w:tc>
        <w:tc>
          <w:tcPr>
            <w:tcW w:w="992"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15.7</w:t>
            </w:r>
          </w:p>
        </w:tc>
        <w:tc>
          <w:tcPr>
            <w:tcW w:w="1276"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35</w:t>
            </w:r>
          </w:p>
        </w:tc>
      </w:tr>
      <w:tr w:rsidR="00727D75" w:rsidRPr="009F5C18" w:rsidTr="00727D75">
        <w:trPr>
          <w:trHeight w:val="270"/>
        </w:trPr>
        <w:tc>
          <w:tcPr>
            <w:tcW w:w="1575" w:type="dxa"/>
            <w:tcBorders>
              <w:top w:val="single" w:sz="8" w:space="0" w:color="FFFFFF"/>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Micro-CHP</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 </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100</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215</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315</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 </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0.1</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0.22</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0.32</w:t>
            </w:r>
          </w:p>
        </w:tc>
      </w:tr>
      <w:tr w:rsidR="00727D75" w:rsidRPr="009F5C18" w:rsidTr="00727D75">
        <w:trPr>
          <w:trHeight w:val="525"/>
        </w:trPr>
        <w:tc>
          <w:tcPr>
            <w:tcW w:w="1575" w:type="dxa"/>
            <w:tcBorders>
              <w:top w:val="single" w:sz="8" w:space="0" w:color="FFFFFF"/>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Anaerobic Digestion</w:t>
            </w:r>
          </w:p>
        </w:tc>
        <w:tc>
          <w:tcPr>
            <w:tcW w:w="850"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 </w:t>
            </w:r>
          </w:p>
        </w:tc>
        <w:tc>
          <w:tcPr>
            <w:tcW w:w="851"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3</w:t>
            </w:r>
          </w:p>
        </w:tc>
        <w:tc>
          <w:tcPr>
            <w:tcW w:w="992"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11</w:t>
            </w:r>
          </w:p>
        </w:tc>
        <w:tc>
          <w:tcPr>
            <w:tcW w:w="1276"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14</w:t>
            </w:r>
          </w:p>
        </w:tc>
        <w:tc>
          <w:tcPr>
            <w:tcW w:w="850"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 </w:t>
            </w:r>
          </w:p>
        </w:tc>
        <w:tc>
          <w:tcPr>
            <w:tcW w:w="851"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1.8</w:t>
            </w:r>
          </w:p>
        </w:tc>
        <w:tc>
          <w:tcPr>
            <w:tcW w:w="992"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9.8</w:t>
            </w:r>
          </w:p>
        </w:tc>
        <w:tc>
          <w:tcPr>
            <w:tcW w:w="1276" w:type="dxa"/>
            <w:tcBorders>
              <w:top w:val="nil"/>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color w:val="000000"/>
                <w:sz w:val="20"/>
                <w:szCs w:val="20"/>
                <w:lang w:eastAsia="en-GB"/>
              </w:rPr>
            </w:pPr>
            <w:r w:rsidRPr="009F5C18">
              <w:rPr>
                <w:rFonts w:cs="Arial"/>
                <w:color w:val="000000"/>
                <w:sz w:val="20"/>
                <w:szCs w:val="20"/>
                <w:lang w:eastAsia="en-GB"/>
              </w:rPr>
              <w:t>12</w:t>
            </w:r>
          </w:p>
        </w:tc>
      </w:tr>
      <w:tr w:rsidR="00727D75" w:rsidRPr="009F5C18" w:rsidTr="00727D75">
        <w:trPr>
          <w:trHeight w:val="270"/>
        </w:trPr>
        <w:tc>
          <w:tcPr>
            <w:tcW w:w="1575" w:type="dxa"/>
            <w:tcBorders>
              <w:top w:val="single" w:sz="8" w:space="0" w:color="FFFFFF"/>
              <w:left w:val="single" w:sz="8" w:space="0" w:color="FFFFFF"/>
              <w:bottom w:val="single" w:sz="8" w:space="0" w:color="FFFFFF"/>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TOTAL</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3,673</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26,431</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117,127</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147,231</w:t>
            </w:r>
          </w:p>
        </w:tc>
        <w:tc>
          <w:tcPr>
            <w:tcW w:w="850"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14.2</w:t>
            </w:r>
          </w:p>
        </w:tc>
        <w:tc>
          <w:tcPr>
            <w:tcW w:w="851"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94.2</w:t>
            </w:r>
          </w:p>
        </w:tc>
        <w:tc>
          <w:tcPr>
            <w:tcW w:w="992"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552.9</w:t>
            </w:r>
          </w:p>
        </w:tc>
        <w:tc>
          <w:tcPr>
            <w:tcW w:w="1276" w:type="dxa"/>
            <w:tcBorders>
              <w:top w:val="nil"/>
              <w:left w:val="nil"/>
              <w:bottom w:val="single" w:sz="8" w:space="0" w:color="FFFFFF"/>
              <w:right w:val="single" w:sz="8" w:space="0" w:color="FFFFFF"/>
            </w:tcBorders>
            <w:shd w:val="clear" w:color="000000" w:fill="A7BFDE"/>
            <w:vAlign w:val="bottom"/>
            <w:hideMark/>
          </w:tcPr>
          <w:p w:rsidR="00727D75" w:rsidRPr="009F5C18" w:rsidRDefault="00727D75" w:rsidP="003F2A51">
            <w:pPr>
              <w:spacing w:after="0"/>
              <w:ind w:left="0"/>
              <w:jc w:val="both"/>
              <w:rPr>
                <w:rFonts w:cs="Arial"/>
                <w:b/>
                <w:bCs/>
                <w:color w:val="000000"/>
                <w:sz w:val="20"/>
                <w:szCs w:val="20"/>
                <w:lang w:eastAsia="en-GB"/>
              </w:rPr>
            </w:pPr>
            <w:r w:rsidRPr="009F5C18">
              <w:rPr>
                <w:rFonts w:cs="Arial"/>
                <w:b/>
                <w:bCs/>
                <w:color w:val="000000"/>
                <w:sz w:val="20"/>
                <w:szCs w:val="20"/>
                <w:lang w:eastAsia="en-GB"/>
              </w:rPr>
              <w:t>661.3</w:t>
            </w:r>
          </w:p>
        </w:tc>
      </w:tr>
      <w:tr w:rsidR="00727D75" w:rsidRPr="009F5C18" w:rsidTr="00727D75">
        <w:trPr>
          <w:trHeight w:val="270"/>
        </w:trPr>
        <w:tc>
          <w:tcPr>
            <w:tcW w:w="1575" w:type="dxa"/>
            <w:tcBorders>
              <w:top w:val="nil"/>
              <w:left w:val="single" w:sz="8" w:space="0" w:color="FFFFFF"/>
              <w:bottom w:val="nil"/>
              <w:right w:val="single" w:sz="12" w:space="0" w:color="FFFFFF"/>
            </w:tcBorders>
            <w:shd w:val="clear" w:color="000000" w:fill="4F81BD"/>
            <w:vAlign w:val="bottom"/>
            <w:hideMark/>
          </w:tcPr>
          <w:p w:rsidR="00727D75" w:rsidRPr="009F5C18" w:rsidRDefault="00727D75" w:rsidP="003F2A51">
            <w:pPr>
              <w:spacing w:after="0"/>
              <w:ind w:left="0"/>
              <w:jc w:val="both"/>
              <w:rPr>
                <w:rFonts w:cs="Arial"/>
                <w:b/>
                <w:bCs/>
                <w:color w:val="FFFFFF"/>
                <w:sz w:val="20"/>
                <w:szCs w:val="20"/>
                <w:lang w:eastAsia="en-GB"/>
              </w:rPr>
            </w:pPr>
            <w:r w:rsidRPr="009F5C18">
              <w:rPr>
                <w:rFonts w:cs="Arial"/>
                <w:b/>
                <w:bCs/>
                <w:color w:val="FFFFFF"/>
                <w:sz w:val="20"/>
                <w:szCs w:val="20"/>
                <w:lang w:eastAsia="en-GB"/>
              </w:rPr>
              <w:t>Total</w:t>
            </w:r>
            <w:r>
              <w:rPr>
                <w:rFonts w:cs="Arial"/>
                <w:b/>
                <w:bCs/>
                <w:color w:val="FFFFFF"/>
                <w:sz w:val="20"/>
                <w:szCs w:val="20"/>
                <w:lang w:eastAsia="en-GB"/>
              </w:rPr>
              <w:t xml:space="preserve"> Yr</w:t>
            </w:r>
            <w:r w:rsidR="003542F2">
              <w:rPr>
                <w:rFonts w:cs="Arial"/>
                <w:b/>
                <w:bCs/>
                <w:color w:val="FFFFFF"/>
                <w:sz w:val="20"/>
                <w:szCs w:val="20"/>
                <w:lang w:eastAsia="en-GB"/>
              </w:rPr>
              <w:t xml:space="preserve"> </w:t>
            </w:r>
            <w:r>
              <w:rPr>
                <w:rFonts w:cs="Arial"/>
                <w:b/>
                <w:bCs/>
                <w:color w:val="FFFFFF"/>
                <w:sz w:val="20"/>
                <w:szCs w:val="20"/>
                <w:lang w:eastAsia="en-GB"/>
              </w:rPr>
              <w:t>1</w:t>
            </w:r>
            <w:r w:rsidRPr="009F5C18">
              <w:rPr>
                <w:rFonts w:cs="Arial"/>
                <w:b/>
                <w:bCs/>
                <w:color w:val="FFFFFF"/>
                <w:sz w:val="20"/>
                <w:szCs w:val="20"/>
                <w:lang w:eastAsia="en-GB"/>
              </w:rPr>
              <w:t xml:space="preserve"> (inc Pre</w:t>
            </w:r>
            <w:r w:rsidR="003542F2">
              <w:rPr>
                <w:rFonts w:cs="Arial"/>
                <w:b/>
                <w:bCs/>
                <w:color w:val="FFFFFF"/>
                <w:sz w:val="20"/>
                <w:szCs w:val="20"/>
                <w:lang w:eastAsia="en-GB"/>
              </w:rPr>
              <w:t>-</w:t>
            </w:r>
            <w:r w:rsidRPr="009F5C18">
              <w:rPr>
                <w:rFonts w:cs="Arial"/>
                <w:b/>
                <w:bCs/>
                <w:color w:val="FFFFFF"/>
                <w:sz w:val="20"/>
                <w:szCs w:val="20"/>
                <w:lang w:eastAsia="en-GB"/>
              </w:rPr>
              <w:t>FITs)</w:t>
            </w:r>
          </w:p>
        </w:tc>
        <w:tc>
          <w:tcPr>
            <w:tcW w:w="1701" w:type="dxa"/>
            <w:gridSpan w:val="2"/>
            <w:tcBorders>
              <w:top w:val="single" w:sz="8" w:space="0" w:color="FFFFFF"/>
              <w:left w:val="nil"/>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b/>
                <w:bCs/>
                <w:color w:val="000000"/>
                <w:sz w:val="20"/>
                <w:szCs w:val="20"/>
                <w:lang w:eastAsia="en-GB"/>
              </w:rPr>
            </w:pPr>
            <w:r w:rsidRPr="009F5C18">
              <w:rPr>
                <w:rFonts w:cs="Arial"/>
                <w:b/>
                <w:bCs/>
                <w:color w:val="000000"/>
                <w:sz w:val="20"/>
                <w:szCs w:val="20"/>
                <w:lang w:eastAsia="en-GB"/>
              </w:rPr>
              <w:t>30,104</w:t>
            </w:r>
          </w:p>
        </w:tc>
        <w:tc>
          <w:tcPr>
            <w:tcW w:w="992" w:type="dxa"/>
            <w:tcBorders>
              <w:top w:val="nil"/>
              <w:left w:val="nil"/>
              <w:bottom w:val="nil"/>
              <w:right w:val="nil"/>
            </w:tcBorders>
            <w:shd w:val="clear" w:color="auto" w:fill="auto"/>
            <w:noWrap/>
            <w:vAlign w:val="bottom"/>
            <w:hideMark/>
          </w:tcPr>
          <w:p w:rsidR="00727D75" w:rsidRPr="009F5C18" w:rsidRDefault="00727D75" w:rsidP="003F2A51">
            <w:pPr>
              <w:spacing w:after="0"/>
              <w:ind w:left="0"/>
              <w:rPr>
                <w:rFonts w:cs="Arial"/>
                <w:color w:val="000000"/>
                <w:sz w:val="20"/>
                <w:szCs w:val="20"/>
                <w:lang w:eastAsia="en-GB"/>
              </w:rPr>
            </w:pPr>
          </w:p>
        </w:tc>
        <w:tc>
          <w:tcPr>
            <w:tcW w:w="1276" w:type="dxa"/>
            <w:tcBorders>
              <w:top w:val="nil"/>
              <w:left w:val="nil"/>
              <w:bottom w:val="nil"/>
              <w:right w:val="nil"/>
            </w:tcBorders>
            <w:shd w:val="clear" w:color="auto" w:fill="auto"/>
            <w:noWrap/>
            <w:vAlign w:val="bottom"/>
            <w:hideMark/>
          </w:tcPr>
          <w:p w:rsidR="00727D75" w:rsidRPr="009F5C18" w:rsidRDefault="00727D75" w:rsidP="003F2A51">
            <w:pPr>
              <w:spacing w:after="0"/>
              <w:ind w:left="0"/>
              <w:rPr>
                <w:rFonts w:cs="Arial"/>
                <w:color w:val="000000"/>
                <w:sz w:val="20"/>
                <w:szCs w:val="20"/>
                <w:lang w:eastAsia="en-GB"/>
              </w:rPr>
            </w:pPr>
          </w:p>
        </w:tc>
        <w:tc>
          <w:tcPr>
            <w:tcW w:w="1701" w:type="dxa"/>
            <w:gridSpan w:val="2"/>
            <w:tcBorders>
              <w:top w:val="single" w:sz="8" w:space="0" w:color="FFFFFF"/>
              <w:left w:val="single" w:sz="12" w:space="0" w:color="FFFFFF"/>
              <w:bottom w:val="single" w:sz="8" w:space="0" w:color="FFFFFF"/>
              <w:right w:val="single" w:sz="8" w:space="0" w:color="FFFFFF"/>
            </w:tcBorders>
            <w:shd w:val="clear" w:color="000000" w:fill="D3DFEE"/>
            <w:vAlign w:val="bottom"/>
            <w:hideMark/>
          </w:tcPr>
          <w:p w:rsidR="00727D75" w:rsidRPr="009F5C18" w:rsidRDefault="00727D75" w:rsidP="003F2A51">
            <w:pPr>
              <w:spacing w:after="0"/>
              <w:ind w:left="0"/>
              <w:jc w:val="right"/>
              <w:rPr>
                <w:rFonts w:cs="Arial"/>
                <w:b/>
                <w:bCs/>
                <w:color w:val="000000"/>
                <w:sz w:val="20"/>
                <w:szCs w:val="20"/>
                <w:lang w:eastAsia="en-GB"/>
              </w:rPr>
            </w:pPr>
            <w:r w:rsidRPr="009F5C18">
              <w:rPr>
                <w:rFonts w:cs="Arial"/>
                <w:b/>
                <w:bCs/>
                <w:color w:val="000000"/>
                <w:sz w:val="20"/>
                <w:szCs w:val="20"/>
                <w:lang w:eastAsia="en-GB"/>
              </w:rPr>
              <w:t>108.4</w:t>
            </w:r>
          </w:p>
        </w:tc>
        <w:tc>
          <w:tcPr>
            <w:tcW w:w="992" w:type="dxa"/>
            <w:tcBorders>
              <w:top w:val="nil"/>
              <w:left w:val="nil"/>
              <w:bottom w:val="nil"/>
              <w:right w:val="nil"/>
            </w:tcBorders>
            <w:shd w:val="clear" w:color="auto" w:fill="auto"/>
            <w:noWrap/>
            <w:vAlign w:val="bottom"/>
            <w:hideMark/>
          </w:tcPr>
          <w:p w:rsidR="00727D75" w:rsidRPr="009F5C18" w:rsidRDefault="00727D75" w:rsidP="003F2A51">
            <w:pPr>
              <w:spacing w:after="0"/>
              <w:ind w:left="0"/>
              <w:rPr>
                <w:rFonts w:cs="Arial"/>
                <w:b/>
                <w:bCs/>
                <w:color w:val="000000"/>
                <w:sz w:val="20"/>
                <w:szCs w:val="20"/>
                <w:lang w:eastAsia="en-GB"/>
              </w:rPr>
            </w:pPr>
            <w:r w:rsidRPr="009F5C18">
              <w:rPr>
                <w:rFonts w:cs="Arial"/>
                <w:b/>
                <w:bCs/>
                <w:color w:val="000000"/>
                <w:sz w:val="20"/>
                <w:szCs w:val="20"/>
                <w:lang w:eastAsia="en-GB"/>
              </w:rPr>
              <w:t> </w:t>
            </w:r>
          </w:p>
        </w:tc>
        <w:tc>
          <w:tcPr>
            <w:tcW w:w="1276" w:type="dxa"/>
            <w:tcBorders>
              <w:top w:val="nil"/>
              <w:left w:val="nil"/>
              <w:bottom w:val="nil"/>
              <w:right w:val="nil"/>
            </w:tcBorders>
            <w:shd w:val="clear" w:color="auto" w:fill="auto"/>
            <w:noWrap/>
            <w:vAlign w:val="bottom"/>
            <w:hideMark/>
          </w:tcPr>
          <w:p w:rsidR="00727D75" w:rsidRPr="009F5C18" w:rsidRDefault="00727D75" w:rsidP="003F2A51">
            <w:pPr>
              <w:spacing w:after="0"/>
              <w:ind w:left="0"/>
              <w:rPr>
                <w:rFonts w:cs="Arial"/>
                <w:color w:val="000000"/>
                <w:sz w:val="20"/>
                <w:szCs w:val="20"/>
                <w:lang w:eastAsia="en-GB"/>
              </w:rPr>
            </w:pPr>
          </w:p>
        </w:tc>
      </w:tr>
    </w:tbl>
    <w:p w:rsidR="00AE6DBB" w:rsidRDefault="008421E2" w:rsidP="00523D48">
      <w:pPr>
        <w:spacing w:after="0"/>
        <w:ind w:left="1134"/>
        <w:rPr>
          <w:rFonts w:cs="Arial"/>
          <w:i/>
          <w:sz w:val="20"/>
          <w:szCs w:val="20"/>
        </w:rPr>
      </w:pPr>
      <w:r w:rsidRPr="00776C53">
        <w:rPr>
          <w:rFonts w:cs="Arial"/>
          <w:i/>
          <w:sz w:val="20"/>
          <w:szCs w:val="20"/>
        </w:rPr>
        <w:t xml:space="preserve">Key: </w:t>
      </w:r>
    </w:p>
    <w:p w:rsidR="00AE6DBB" w:rsidRDefault="008421E2" w:rsidP="00523D48">
      <w:pPr>
        <w:spacing w:after="120"/>
        <w:ind w:left="1134"/>
        <w:rPr>
          <w:rFonts w:cs="Arial"/>
          <w:i/>
          <w:sz w:val="20"/>
          <w:szCs w:val="20"/>
        </w:rPr>
      </w:pPr>
      <w:r w:rsidRPr="00776C53">
        <w:rPr>
          <w:rFonts w:cs="Arial"/>
          <w:i/>
          <w:sz w:val="20"/>
          <w:szCs w:val="20"/>
        </w:rPr>
        <w:t xml:space="preserve">Pre FITs: Installation in place at the time of the publication of a consultation of the FITs scheme (15 July 2009) up to the 31 March 2011 </w:t>
      </w:r>
      <w:r w:rsidR="006E7F5E">
        <w:rPr>
          <w:rFonts w:cs="Arial"/>
          <w:i/>
          <w:sz w:val="20"/>
          <w:szCs w:val="20"/>
        </w:rPr>
        <w:t xml:space="preserve">before </w:t>
      </w:r>
      <w:r w:rsidRPr="00776C53">
        <w:rPr>
          <w:rFonts w:cs="Arial"/>
          <w:i/>
          <w:sz w:val="20"/>
          <w:szCs w:val="20"/>
        </w:rPr>
        <w:t xml:space="preserve">the launch of the scheme and </w:t>
      </w:r>
      <w:r w:rsidR="006B2955">
        <w:rPr>
          <w:rFonts w:cs="Arial"/>
          <w:i/>
          <w:sz w:val="20"/>
          <w:szCs w:val="20"/>
        </w:rPr>
        <w:t xml:space="preserve">which </w:t>
      </w:r>
      <w:r w:rsidRPr="00776C53">
        <w:rPr>
          <w:rFonts w:cs="Arial"/>
          <w:i/>
          <w:sz w:val="20"/>
          <w:szCs w:val="20"/>
        </w:rPr>
        <w:t>were transferred into the scheme from the RO;</w:t>
      </w:r>
    </w:p>
    <w:p w:rsidR="00AE6DBB" w:rsidRDefault="008421E2" w:rsidP="00523D48">
      <w:pPr>
        <w:spacing w:after="240"/>
        <w:ind w:left="1134"/>
        <w:rPr>
          <w:rFonts w:cs="Arial"/>
          <w:sz w:val="20"/>
          <w:szCs w:val="20"/>
        </w:rPr>
      </w:pPr>
      <w:r w:rsidRPr="00171F77">
        <w:rPr>
          <w:rFonts w:cs="Arial"/>
          <w:i/>
          <w:sz w:val="20"/>
          <w:szCs w:val="20"/>
        </w:rPr>
        <w:t>FITs Yr 1</w:t>
      </w:r>
      <w:r w:rsidRPr="00171F77">
        <w:rPr>
          <w:rFonts w:cs="Arial"/>
          <w:sz w:val="20"/>
          <w:szCs w:val="20"/>
        </w:rPr>
        <w:t>: Installations made in the first full year of the FITs scheme (1 April 2010 – 31 March 2011)</w:t>
      </w:r>
    </w:p>
    <w:p w:rsidR="00AE6DBB" w:rsidRDefault="008421E2" w:rsidP="00523D48">
      <w:pPr>
        <w:spacing w:after="240"/>
        <w:ind w:left="1134"/>
        <w:rPr>
          <w:rFonts w:cs="Arial"/>
          <w:sz w:val="20"/>
          <w:szCs w:val="20"/>
        </w:rPr>
      </w:pPr>
      <w:r>
        <w:rPr>
          <w:rFonts w:cs="Arial"/>
          <w:i/>
          <w:sz w:val="20"/>
          <w:szCs w:val="20"/>
        </w:rPr>
        <w:t>FITs Yr 2-</w:t>
      </w:r>
      <w:r w:rsidRPr="00171F77">
        <w:rPr>
          <w:rFonts w:cs="Arial"/>
          <w:i/>
          <w:sz w:val="20"/>
          <w:szCs w:val="20"/>
        </w:rPr>
        <w:t>Q</w:t>
      </w:r>
      <w:r w:rsidR="001D3C33">
        <w:rPr>
          <w:rFonts w:cs="Arial"/>
          <w:i/>
          <w:sz w:val="20"/>
          <w:szCs w:val="20"/>
        </w:rPr>
        <w:t>3</w:t>
      </w:r>
      <w:r w:rsidRPr="00171F77">
        <w:rPr>
          <w:rFonts w:cs="Arial"/>
          <w:sz w:val="20"/>
          <w:szCs w:val="20"/>
        </w:rPr>
        <w:t xml:space="preserve">: Installation in the first </w:t>
      </w:r>
      <w:r w:rsidR="001D3C33">
        <w:rPr>
          <w:rFonts w:cs="Arial"/>
          <w:sz w:val="20"/>
          <w:szCs w:val="20"/>
        </w:rPr>
        <w:t xml:space="preserve">three </w:t>
      </w:r>
      <w:r w:rsidRPr="00171F77">
        <w:rPr>
          <w:rFonts w:cs="Arial"/>
          <w:sz w:val="20"/>
          <w:szCs w:val="20"/>
        </w:rPr>
        <w:t>quarter</w:t>
      </w:r>
      <w:r w:rsidR="001D3C33">
        <w:rPr>
          <w:rFonts w:cs="Arial"/>
          <w:sz w:val="20"/>
          <w:szCs w:val="20"/>
        </w:rPr>
        <w:t>s</w:t>
      </w:r>
      <w:r w:rsidRPr="00171F77">
        <w:rPr>
          <w:rFonts w:cs="Arial"/>
          <w:sz w:val="20"/>
          <w:szCs w:val="20"/>
        </w:rPr>
        <w:t xml:space="preserve"> of the current </w:t>
      </w:r>
      <w:r w:rsidR="001D3C33">
        <w:rPr>
          <w:rFonts w:cs="Arial"/>
          <w:sz w:val="20"/>
          <w:szCs w:val="20"/>
        </w:rPr>
        <w:t>(</w:t>
      </w:r>
      <w:r w:rsidRPr="00171F77">
        <w:rPr>
          <w:rFonts w:cs="Arial"/>
          <w:sz w:val="20"/>
          <w:szCs w:val="20"/>
        </w:rPr>
        <w:t>second</w:t>
      </w:r>
      <w:r w:rsidR="001D3C33">
        <w:rPr>
          <w:rFonts w:cs="Arial"/>
          <w:sz w:val="20"/>
          <w:szCs w:val="20"/>
        </w:rPr>
        <w:t>)</w:t>
      </w:r>
      <w:r w:rsidRPr="00171F77">
        <w:rPr>
          <w:rFonts w:cs="Arial"/>
          <w:sz w:val="20"/>
          <w:szCs w:val="20"/>
        </w:rPr>
        <w:t xml:space="preserve"> FITs year (1 April 2011 – </w:t>
      </w:r>
      <w:r>
        <w:rPr>
          <w:rFonts w:cs="Arial"/>
          <w:sz w:val="20"/>
          <w:szCs w:val="20"/>
        </w:rPr>
        <w:t>31</w:t>
      </w:r>
      <w:r w:rsidRPr="00171F77">
        <w:rPr>
          <w:rFonts w:cs="Arial"/>
          <w:sz w:val="20"/>
          <w:szCs w:val="20"/>
        </w:rPr>
        <w:t xml:space="preserve"> </w:t>
      </w:r>
      <w:r>
        <w:rPr>
          <w:rFonts w:cs="Arial"/>
          <w:sz w:val="20"/>
          <w:szCs w:val="20"/>
        </w:rPr>
        <w:t>December</w:t>
      </w:r>
      <w:r w:rsidRPr="00171F77">
        <w:rPr>
          <w:rFonts w:cs="Arial"/>
          <w:sz w:val="20"/>
          <w:szCs w:val="20"/>
        </w:rPr>
        <w:t xml:space="preserve"> 2011)</w:t>
      </w:r>
    </w:p>
    <w:p w:rsidR="00F97B7D" w:rsidRPr="00F97B7D" w:rsidRDefault="006C5193" w:rsidP="00986EAF">
      <w:pPr>
        <w:pStyle w:val="DECCnumberingBold"/>
        <w:rPr>
          <w:sz w:val="20"/>
          <w:szCs w:val="20"/>
        </w:rPr>
      </w:pPr>
      <w:r>
        <w:t>As the table below shows, the number of installations in the first 21 months of the scheme far exceeded the number</w:t>
      </w:r>
      <w:r w:rsidR="005C0E84" w:rsidRPr="005C0E84">
        <w:t xml:space="preserve"> </w:t>
      </w:r>
      <w:r w:rsidR="005C0E84">
        <w:t>predicted at the start of the scheme</w:t>
      </w:r>
      <w:r w:rsidR="00A941C5">
        <w:t>.</w:t>
      </w:r>
      <w:r>
        <w:t xml:space="preserve"> Taking into consideration the number of solar PV installations in the pipeline, the number of installations </w:t>
      </w:r>
      <w:r w:rsidR="009C3C3C">
        <w:t>was</w:t>
      </w:r>
      <w:r>
        <w:t xml:space="preserve"> </w:t>
      </w:r>
      <w:r w:rsidR="005C0E84">
        <w:t>five</w:t>
      </w:r>
      <w:r>
        <w:t xml:space="preserve"> time</w:t>
      </w:r>
      <w:r w:rsidR="00003E28">
        <w:t>s</w:t>
      </w:r>
      <w:r>
        <w:t xml:space="preserve"> </w:t>
      </w:r>
      <w:r w:rsidR="00003E28">
        <w:t>the</w:t>
      </w:r>
      <w:r>
        <w:t xml:space="preserve"> predicted</w:t>
      </w:r>
      <w:r w:rsidR="00003E28">
        <w:t xml:space="preserve"> number</w:t>
      </w:r>
      <w:r>
        <w:t xml:space="preserve"> </w:t>
      </w:r>
      <w:r w:rsidR="009C3C3C">
        <w:t>and</w:t>
      </w:r>
      <w:r>
        <w:t xml:space="preserve"> </w:t>
      </w:r>
      <w:r w:rsidR="005C0E84">
        <w:t>eight</w:t>
      </w:r>
      <w:r>
        <w:t xml:space="preserve"> times</w:t>
      </w:r>
      <w:r w:rsidR="00003E28" w:rsidRPr="00003E28">
        <w:t xml:space="preserve"> </w:t>
      </w:r>
      <w:r w:rsidR="00366C97">
        <w:t>the predicted</w:t>
      </w:r>
      <w:r w:rsidR="00003E28">
        <w:t xml:space="preserve"> </w:t>
      </w:r>
      <w:r w:rsidR="00A01F10">
        <w:t xml:space="preserve">installed </w:t>
      </w:r>
      <w:r w:rsidR="00003E28">
        <w:t>capacity</w:t>
      </w:r>
      <w:r>
        <w:t>. There is another 65.1</w:t>
      </w:r>
      <w:r w:rsidR="0015683C">
        <w:t xml:space="preserve"> </w:t>
      </w:r>
      <w:r>
        <w:t xml:space="preserve">MW of large scale PV installations </w:t>
      </w:r>
      <w:r w:rsidR="00A01F10">
        <w:t xml:space="preserve">that has pre-accreditation and is still </w:t>
      </w:r>
      <w:r>
        <w:t xml:space="preserve">to </w:t>
      </w:r>
      <w:r w:rsidR="00A01F10">
        <w:t>get final</w:t>
      </w:r>
      <w:r>
        <w:t xml:space="preserve"> accredit</w:t>
      </w:r>
      <w:r w:rsidR="00A01F10">
        <w:t>ation</w:t>
      </w:r>
      <w:r>
        <w:t xml:space="preserve"> </w:t>
      </w:r>
      <w:r w:rsidR="00A01F10">
        <w:t>through</w:t>
      </w:r>
      <w:r>
        <w:t xml:space="preserve"> the ROO</w:t>
      </w:r>
      <w:r w:rsidR="0015683C">
        <w:t>-</w:t>
      </w:r>
      <w:r>
        <w:t xml:space="preserve">FIT accreditation process. </w:t>
      </w:r>
    </w:p>
    <w:p w:rsidR="00E33523" w:rsidRPr="0068678B" w:rsidRDefault="00024094" w:rsidP="0068678B">
      <w:pPr>
        <w:jc w:val="center"/>
        <w:rPr>
          <w:rFonts w:cs="Arial"/>
          <w:b/>
          <w:sz w:val="20"/>
          <w:szCs w:val="20"/>
        </w:rPr>
      </w:pPr>
      <w:r>
        <w:br w:type="page"/>
      </w:r>
      <w:r w:rsidR="00E33523" w:rsidRPr="0068678B">
        <w:rPr>
          <w:rFonts w:cs="Arial"/>
          <w:b/>
          <w:sz w:val="20"/>
          <w:szCs w:val="20"/>
        </w:rPr>
        <w:lastRenderedPageBreak/>
        <w:t>Table 2: Predicted FITs Take-up Compared to Actual</w:t>
      </w:r>
      <w:r w:rsidR="00A85D44" w:rsidRPr="0068678B">
        <w:rPr>
          <w:rFonts w:cs="Arial"/>
          <w:b/>
          <w:sz w:val="20"/>
          <w:szCs w:val="20"/>
        </w:rPr>
        <w:t xml:space="preserve"> </w:t>
      </w:r>
      <w:r w:rsidR="00E33523" w:rsidRPr="0068678B">
        <w:rPr>
          <w:rFonts w:cs="Arial"/>
          <w:b/>
          <w:sz w:val="20"/>
          <w:szCs w:val="20"/>
        </w:rPr>
        <w:t>as at 31 December 2011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276"/>
        <w:gridCol w:w="1134"/>
        <w:gridCol w:w="1276"/>
        <w:gridCol w:w="1417"/>
        <w:gridCol w:w="1054"/>
      </w:tblGrid>
      <w:tr w:rsidR="00E33523" w:rsidRPr="0068678B" w:rsidTr="0039005D">
        <w:tc>
          <w:tcPr>
            <w:tcW w:w="1985" w:type="dxa"/>
          </w:tcPr>
          <w:p w:rsidR="00E33523" w:rsidRPr="0068678B" w:rsidRDefault="00E33523" w:rsidP="00556829">
            <w:pPr>
              <w:spacing w:after="120"/>
              <w:rPr>
                <w:rFonts w:cs="Arial"/>
                <w:kern w:val="32"/>
                <w:sz w:val="18"/>
                <w:szCs w:val="18"/>
              </w:rPr>
            </w:pPr>
          </w:p>
        </w:tc>
        <w:tc>
          <w:tcPr>
            <w:tcW w:w="3686" w:type="dxa"/>
            <w:gridSpan w:val="3"/>
            <w:vAlign w:val="center"/>
          </w:tcPr>
          <w:p w:rsidR="00E33523" w:rsidRPr="0068678B" w:rsidRDefault="00E33523" w:rsidP="00556829">
            <w:pPr>
              <w:spacing w:after="120"/>
              <w:rPr>
                <w:rFonts w:cs="Arial"/>
                <w:kern w:val="32"/>
                <w:sz w:val="18"/>
                <w:szCs w:val="18"/>
              </w:rPr>
            </w:pPr>
            <w:bookmarkStart w:id="19" w:name="_Toc316366577"/>
            <w:bookmarkStart w:id="20" w:name="_Toc316453685"/>
            <w:bookmarkStart w:id="21" w:name="_Toc316462687"/>
            <w:bookmarkStart w:id="22" w:name="_Toc316477064"/>
            <w:bookmarkStart w:id="23" w:name="_Toc316539443"/>
            <w:r w:rsidRPr="0068678B">
              <w:rPr>
                <w:rFonts w:cs="Arial"/>
                <w:kern w:val="32"/>
                <w:sz w:val="18"/>
                <w:szCs w:val="18"/>
              </w:rPr>
              <w:t>Number</w:t>
            </w:r>
            <w:bookmarkEnd w:id="19"/>
            <w:bookmarkEnd w:id="20"/>
            <w:bookmarkEnd w:id="21"/>
            <w:bookmarkEnd w:id="22"/>
            <w:bookmarkEnd w:id="23"/>
          </w:p>
        </w:tc>
        <w:tc>
          <w:tcPr>
            <w:tcW w:w="3747" w:type="dxa"/>
            <w:gridSpan w:val="3"/>
            <w:vAlign w:val="center"/>
          </w:tcPr>
          <w:p w:rsidR="00E33523" w:rsidRPr="0068678B" w:rsidRDefault="00E33523" w:rsidP="00556829">
            <w:pPr>
              <w:spacing w:after="120"/>
              <w:rPr>
                <w:rFonts w:cs="Arial"/>
                <w:kern w:val="32"/>
                <w:sz w:val="18"/>
                <w:szCs w:val="18"/>
              </w:rPr>
            </w:pPr>
            <w:bookmarkStart w:id="24" w:name="_Toc316366578"/>
            <w:bookmarkStart w:id="25" w:name="_Toc316453686"/>
            <w:bookmarkStart w:id="26" w:name="_Toc316462688"/>
            <w:bookmarkStart w:id="27" w:name="_Toc316477065"/>
            <w:bookmarkStart w:id="28" w:name="_Toc316539444"/>
            <w:r w:rsidRPr="0068678B">
              <w:rPr>
                <w:rFonts w:cs="Arial"/>
                <w:kern w:val="32"/>
                <w:sz w:val="18"/>
                <w:szCs w:val="18"/>
              </w:rPr>
              <w:t>Capacity MW</w:t>
            </w:r>
            <w:bookmarkEnd w:id="24"/>
            <w:bookmarkEnd w:id="25"/>
            <w:bookmarkEnd w:id="26"/>
            <w:bookmarkEnd w:id="27"/>
            <w:bookmarkEnd w:id="28"/>
          </w:p>
        </w:tc>
      </w:tr>
      <w:tr w:rsidR="00E33523" w:rsidRPr="0068678B" w:rsidTr="0039005D">
        <w:tc>
          <w:tcPr>
            <w:tcW w:w="1985" w:type="dxa"/>
          </w:tcPr>
          <w:p w:rsidR="00E33523" w:rsidRPr="0068678B" w:rsidRDefault="00E33523" w:rsidP="00556829">
            <w:pPr>
              <w:spacing w:after="120"/>
              <w:rPr>
                <w:rFonts w:cs="Arial"/>
                <w:kern w:val="32"/>
                <w:sz w:val="18"/>
                <w:szCs w:val="18"/>
              </w:rPr>
            </w:pPr>
          </w:p>
        </w:tc>
        <w:tc>
          <w:tcPr>
            <w:tcW w:w="1276" w:type="dxa"/>
            <w:tcBorders>
              <w:bottom w:val="single" w:sz="4" w:space="0" w:color="auto"/>
            </w:tcBorders>
          </w:tcPr>
          <w:p w:rsidR="00E33523" w:rsidRPr="0068678B" w:rsidRDefault="00E33523" w:rsidP="00556829">
            <w:pPr>
              <w:spacing w:after="120"/>
              <w:rPr>
                <w:rFonts w:cs="Arial"/>
                <w:kern w:val="32"/>
                <w:sz w:val="18"/>
                <w:szCs w:val="18"/>
              </w:rPr>
            </w:pPr>
            <w:bookmarkStart w:id="29" w:name="_Toc316366579"/>
            <w:bookmarkStart w:id="30" w:name="_Toc316453687"/>
            <w:bookmarkStart w:id="31" w:name="_Toc316462689"/>
            <w:bookmarkStart w:id="32" w:name="_Toc316477066"/>
            <w:bookmarkStart w:id="33" w:name="_Toc316539445"/>
            <w:r w:rsidRPr="0068678B">
              <w:rPr>
                <w:rFonts w:cs="Arial"/>
                <w:kern w:val="32"/>
                <w:sz w:val="18"/>
                <w:szCs w:val="18"/>
              </w:rPr>
              <w:t>Predicted</w:t>
            </w:r>
            <w:r w:rsidRPr="0068678B">
              <w:rPr>
                <w:rFonts w:cs="Arial"/>
                <w:kern w:val="32"/>
                <w:sz w:val="18"/>
                <w:szCs w:val="18"/>
                <w:vertAlign w:val="superscript"/>
              </w:rPr>
              <w:t>2</w:t>
            </w:r>
            <w:bookmarkEnd w:id="29"/>
            <w:bookmarkEnd w:id="30"/>
            <w:bookmarkEnd w:id="31"/>
            <w:bookmarkEnd w:id="32"/>
            <w:bookmarkEnd w:id="33"/>
          </w:p>
        </w:tc>
        <w:tc>
          <w:tcPr>
            <w:tcW w:w="1276" w:type="dxa"/>
            <w:tcBorders>
              <w:bottom w:val="single" w:sz="4" w:space="0" w:color="auto"/>
            </w:tcBorders>
          </w:tcPr>
          <w:p w:rsidR="00E33523" w:rsidRPr="0068678B" w:rsidRDefault="00E33523" w:rsidP="00556829">
            <w:pPr>
              <w:spacing w:after="120"/>
              <w:rPr>
                <w:rFonts w:cs="Arial"/>
                <w:kern w:val="32"/>
                <w:sz w:val="18"/>
                <w:szCs w:val="18"/>
              </w:rPr>
            </w:pPr>
            <w:bookmarkStart w:id="34" w:name="_Toc316366580"/>
            <w:bookmarkStart w:id="35" w:name="_Toc316453688"/>
            <w:bookmarkStart w:id="36" w:name="_Toc316462690"/>
            <w:bookmarkStart w:id="37" w:name="_Toc316477067"/>
            <w:bookmarkStart w:id="38" w:name="_Toc316539446"/>
            <w:r w:rsidRPr="0068678B">
              <w:rPr>
                <w:rFonts w:cs="Arial"/>
                <w:kern w:val="32"/>
                <w:sz w:val="18"/>
                <w:szCs w:val="18"/>
              </w:rPr>
              <w:t>Actual FIT take-up</w:t>
            </w:r>
            <w:r w:rsidRPr="0068678B">
              <w:rPr>
                <w:rFonts w:cs="Arial"/>
                <w:kern w:val="32"/>
                <w:sz w:val="18"/>
                <w:szCs w:val="18"/>
                <w:vertAlign w:val="superscript"/>
              </w:rPr>
              <w:t>3</w:t>
            </w:r>
            <w:bookmarkEnd w:id="34"/>
            <w:bookmarkEnd w:id="35"/>
            <w:bookmarkEnd w:id="36"/>
            <w:bookmarkEnd w:id="37"/>
            <w:bookmarkEnd w:id="38"/>
          </w:p>
        </w:tc>
        <w:tc>
          <w:tcPr>
            <w:tcW w:w="1134" w:type="dxa"/>
            <w:tcBorders>
              <w:bottom w:val="single" w:sz="4" w:space="0" w:color="auto"/>
            </w:tcBorders>
          </w:tcPr>
          <w:p w:rsidR="00E33523" w:rsidRPr="0068678B" w:rsidRDefault="00E33523" w:rsidP="00556829">
            <w:pPr>
              <w:spacing w:after="120"/>
              <w:rPr>
                <w:rFonts w:cs="Arial"/>
                <w:kern w:val="32"/>
                <w:sz w:val="18"/>
                <w:szCs w:val="18"/>
              </w:rPr>
            </w:pPr>
            <w:bookmarkStart w:id="39" w:name="_Toc316366581"/>
            <w:bookmarkStart w:id="40" w:name="_Toc316453689"/>
            <w:bookmarkStart w:id="41" w:name="_Toc316462691"/>
            <w:bookmarkStart w:id="42" w:name="_Toc316477068"/>
            <w:bookmarkStart w:id="43" w:name="_Toc316539447"/>
            <w:r w:rsidRPr="0068678B">
              <w:rPr>
                <w:rFonts w:cs="Arial"/>
                <w:kern w:val="32"/>
                <w:sz w:val="18"/>
                <w:szCs w:val="18"/>
              </w:rPr>
              <w:t>Pipeline</w:t>
            </w:r>
            <w:r w:rsidRPr="0068678B">
              <w:rPr>
                <w:rFonts w:cs="Arial"/>
                <w:kern w:val="32"/>
                <w:sz w:val="18"/>
                <w:szCs w:val="18"/>
                <w:vertAlign w:val="superscript"/>
              </w:rPr>
              <w:t>4</w:t>
            </w:r>
            <w:bookmarkEnd w:id="39"/>
            <w:bookmarkEnd w:id="40"/>
            <w:bookmarkEnd w:id="41"/>
            <w:bookmarkEnd w:id="42"/>
            <w:bookmarkEnd w:id="43"/>
          </w:p>
        </w:tc>
        <w:tc>
          <w:tcPr>
            <w:tcW w:w="1276" w:type="dxa"/>
            <w:tcBorders>
              <w:bottom w:val="single" w:sz="4" w:space="0" w:color="auto"/>
            </w:tcBorders>
          </w:tcPr>
          <w:p w:rsidR="00E33523" w:rsidRPr="0068678B" w:rsidRDefault="00E33523" w:rsidP="00556829">
            <w:pPr>
              <w:spacing w:after="120"/>
              <w:rPr>
                <w:rFonts w:cs="Arial"/>
                <w:kern w:val="32"/>
                <w:sz w:val="18"/>
                <w:szCs w:val="18"/>
              </w:rPr>
            </w:pPr>
            <w:bookmarkStart w:id="44" w:name="_Toc316366582"/>
            <w:bookmarkStart w:id="45" w:name="_Toc316453690"/>
            <w:bookmarkStart w:id="46" w:name="_Toc316462692"/>
            <w:bookmarkStart w:id="47" w:name="_Toc316477069"/>
            <w:bookmarkStart w:id="48" w:name="_Toc316539448"/>
            <w:r w:rsidRPr="0068678B">
              <w:rPr>
                <w:rFonts w:cs="Arial"/>
                <w:kern w:val="32"/>
                <w:sz w:val="18"/>
                <w:szCs w:val="18"/>
              </w:rPr>
              <w:t>Predicted</w:t>
            </w:r>
            <w:bookmarkEnd w:id="44"/>
            <w:bookmarkEnd w:id="45"/>
            <w:bookmarkEnd w:id="46"/>
            <w:bookmarkEnd w:id="47"/>
            <w:bookmarkEnd w:id="48"/>
          </w:p>
        </w:tc>
        <w:tc>
          <w:tcPr>
            <w:tcW w:w="1417" w:type="dxa"/>
            <w:tcBorders>
              <w:bottom w:val="single" w:sz="4" w:space="0" w:color="auto"/>
            </w:tcBorders>
          </w:tcPr>
          <w:p w:rsidR="00E33523" w:rsidRPr="0068678B" w:rsidRDefault="00E33523" w:rsidP="00556829">
            <w:pPr>
              <w:spacing w:after="120"/>
              <w:rPr>
                <w:rFonts w:cs="Arial"/>
                <w:kern w:val="32"/>
                <w:sz w:val="18"/>
                <w:szCs w:val="18"/>
              </w:rPr>
            </w:pPr>
            <w:bookmarkStart w:id="49" w:name="_Toc316366583"/>
            <w:bookmarkStart w:id="50" w:name="_Toc316453691"/>
            <w:bookmarkStart w:id="51" w:name="_Toc316462693"/>
            <w:bookmarkStart w:id="52" w:name="_Toc316477070"/>
            <w:bookmarkStart w:id="53" w:name="_Toc316539449"/>
            <w:r w:rsidRPr="0068678B">
              <w:rPr>
                <w:rFonts w:cs="Arial"/>
                <w:kern w:val="32"/>
                <w:sz w:val="18"/>
                <w:szCs w:val="18"/>
              </w:rPr>
              <w:t>Actual FIT take-up</w:t>
            </w:r>
            <w:bookmarkEnd w:id="49"/>
            <w:bookmarkEnd w:id="50"/>
            <w:bookmarkEnd w:id="51"/>
            <w:bookmarkEnd w:id="52"/>
            <w:bookmarkEnd w:id="53"/>
          </w:p>
        </w:tc>
        <w:tc>
          <w:tcPr>
            <w:tcW w:w="1054" w:type="dxa"/>
            <w:tcBorders>
              <w:bottom w:val="single" w:sz="4" w:space="0" w:color="auto"/>
            </w:tcBorders>
          </w:tcPr>
          <w:p w:rsidR="00E33523" w:rsidRPr="0068678B" w:rsidRDefault="00E33523" w:rsidP="00556829">
            <w:pPr>
              <w:spacing w:after="120"/>
              <w:rPr>
                <w:rFonts w:cs="Arial"/>
                <w:kern w:val="32"/>
                <w:sz w:val="18"/>
                <w:szCs w:val="18"/>
              </w:rPr>
            </w:pPr>
            <w:bookmarkStart w:id="54" w:name="_Toc316366584"/>
            <w:bookmarkStart w:id="55" w:name="_Toc316453692"/>
            <w:bookmarkStart w:id="56" w:name="_Toc316462694"/>
            <w:bookmarkStart w:id="57" w:name="_Toc316477071"/>
            <w:bookmarkStart w:id="58" w:name="_Toc316539450"/>
            <w:r w:rsidRPr="0068678B">
              <w:rPr>
                <w:rFonts w:cs="Arial"/>
                <w:kern w:val="32"/>
                <w:sz w:val="18"/>
                <w:szCs w:val="18"/>
              </w:rPr>
              <w:t>Pipeline</w:t>
            </w:r>
            <w:bookmarkEnd w:id="54"/>
            <w:bookmarkEnd w:id="55"/>
            <w:bookmarkEnd w:id="56"/>
            <w:bookmarkEnd w:id="57"/>
            <w:bookmarkEnd w:id="58"/>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59" w:name="_Toc316366585"/>
            <w:bookmarkStart w:id="60" w:name="_Toc316453693"/>
            <w:bookmarkStart w:id="61" w:name="_Toc316462695"/>
            <w:bookmarkStart w:id="62" w:name="_Toc316477072"/>
            <w:bookmarkStart w:id="63" w:name="_Toc316539451"/>
            <w:r w:rsidRPr="0068678B">
              <w:rPr>
                <w:rFonts w:cs="Arial"/>
                <w:color w:val="000000"/>
                <w:kern w:val="32"/>
                <w:sz w:val="18"/>
                <w:szCs w:val="18"/>
                <w:lang w:val="en-US"/>
              </w:rPr>
              <w:t>PV &lt; 4kW</w:t>
            </w:r>
            <w:bookmarkEnd w:id="59"/>
            <w:bookmarkEnd w:id="60"/>
            <w:bookmarkEnd w:id="61"/>
            <w:bookmarkEnd w:id="62"/>
            <w:bookmarkEnd w:id="63"/>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64" w:name="_Toc316366586"/>
            <w:bookmarkStart w:id="65" w:name="_Toc316453694"/>
            <w:bookmarkStart w:id="66" w:name="_Toc316462696"/>
            <w:bookmarkStart w:id="67" w:name="_Toc316477073"/>
            <w:bookmarkStart w:id="68" w:name="_Toc316539452"/>
            <w:r w:rsidRPr="0068678B">
              <w:rPr>
                <w:rFonts w:cs="Arial"/>
                <w:kern w:val="32"/>
                <w:sz w:val="18"/>
                <w:szCs w:val="18"/>
              </w:rPr>
              <w:t>46,216</w:t>
            </w:r>
            <w:bookmarkEnd w:id="64"/>
            <w:bookmarkEnd w:id="65"/>
            <w:bookmarkEnd w:id="66"/>
            <w:bookmarkEnd w:id="67"/>
            <w:bookmarkEnd w:id="68"/>
          </w:p>
        </w:tc>
        <w:tc>
          <w:tcPr>
            <w:tcW w:w="1276"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69" w:name="_Toc316366587"/>
            <w:bookmarkStart w:id="70" w:name="_Toc316453695"/>
            <w:bookmarkStart w:id="71" w:name="_Toc316462697"/>
            <w:bookmarkStart w:id="72" w:name="_Toc316477074"/>
            <w:bookmarkStart w:id="73" w:name="_Toc316539453"/>
            <w:r w:rsidRPr="0068678B">
              <w:rPr>
                <w:rFonts w:cs="Arial"/>
                <w:kern w:val="32"/>
                <w:sz w:val="18"/>
                <w:szCs w:val="18"/>
              </w:rPr>
              <w:t>138,095</w:t>
            </w:r>
            <w:bookmarkEnd w:id="69"/>
            <w:bookmarkEnd w:id="70"/>
            <w:bookmarkEnd w:id="71"/>
            <w:bookmarkEnd w:id="72"/>
            <w:bookmarkEnd w:id="73"/>
          </w:p>
        </w:tc>
        <w:tc>
          <w:tcPr>
            <w:tcW w:w="113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74" w:name="_Toc316366588"/>
            <w:bookmarkStart w:id="75" w:name="_Toc316453696"/>
            <w:bookmarkStart w:id="76" w:name="_Toc316462698"/>
            <w:bookmarkStart w:id="77" w:name="_Toc316477075"/>
            <w:bookmarkStart w:id="78" w:name="_Toc316539454"/>
            <w:r w:rsidRPr="0068678B">
              <w:rPr>
                <w:rFonts w:cs="Arial"/>
                <w:kern w:val="32"/>
                <w:sz w:val="18"/>
                <w:szCs w:val="18"/>
              </w:rPr>
              <w:t>84,673</w:t>
            </w:r>
            <w:bookmarkEnd w:id="74"/>
            <w:bookmarkEnd w:id="75"/>
            <w:bookmarkEnd w:id="76"/>
            <w:bookmarkEnd w:id="77"/>
            <w:bookmarkEnd w:id="78"/>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79" w:name="_Toc316366589"/>
            <w:bookmarkStart w:id="80" w:name="_Toc316453697"/>
            <w:bookmarkStart w:id="81" w:name="_Toc316462699"/>
            <w:bookmarkStart w:id="82" w:name="_Toc316477076"/>
            <w:bookmarkStart w:id="83" w:name="_Toc316539455"/>
            <w:r w:rsidRPr="0068678B">
              <w:rPr>
                <w:rFonts w:cs="Arial"/>
                <w:kern w:val="32"/>
                <w:sz w:val="18"/>
                <w:szCs w:val="18"/>
              </w:rPr>
              <w:t>116</w:t>
            </w:r>
            <w:bookmarkEnd w:id="79"/>
            <w:bookmarkEnd w:id="80"/>
            <w:bookmarkEnd w:id="81"/>
            <w:bookmarkEnd w:id="82"/>
            <w:bookmarkEnd w:id="83"/>
          </w:p>
        </w:tc>
        <w:tc>
          <w:tcPr>
            <w:tcW w:w="1417"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84" w:name="_Toc316366590"/>
            <w:bookmarkStart w:id="85" w:name="_Toc316453698"/>
            <w:bookmarkStart w:id="86" w:name="_Toc316462700"/>
            <w:bookmarkStart w:id="87" w:name="_Toc316477077"/>
            <w:bookmarkStart w:id="88" w:name="_Toc316539456"/>
            <w:r w:rsidRPr="0068678B">
              <w:rPr>
                <w:rFonts w:cs="Arial"/>
                <w:kern w:val="32"/>
                <w:sz w:val="18"/>
                <w:szCs w:val="18"/>
              </w:rPr>
              <w:t>396</w:t>
            </w:r>
            <w:bookmarkEnd w:id="84"/>
            <w:bookmarkEnd w:id="85"/>
            <w:bookmarkEnd w:id="86"/>
            <w:bookmarkEnd w:id="87"/>
            <w:bookmarkEnd w:id="88"/>
          </w:p>
        </w:tc>
        <w:tc>
          <w:tcPr>
            <w:tcW w:w="105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89" w:name="_Toc316366591"/>
            <w:bookmarkStart w:id="90" w:name="_Toc316453699"/>
            <w:bookmarkStart w:id="91" w:name="_Toc316462701"/>
            <w:bookmarkStart w:id="92" w:name="_Toc316477078"/>
            <w:bookmarkStart w:id="93" w:name="_Toc316539457"/>
            <w:r w:rsidRPr="0068678B">
              <w:rPr>
                <w:rFonts w:cs="Arial"/>
                <w:kern w:val="32"/>
                <w:sz w:val="18"/>
                <w:szCs w:val="18"/>
              </w:rPr>
              <w:t>232.1</w:t>
            </w:r>
            <w:bookmarkEnd w:id="89"/>
            <w:bookmarkEnd w:id="90"/>
            <w:bookmarkEnd w:id="91"/>
            <w:bookmarkEnd w:id="92"/>
            <w:bookmarkEnd w:id="93"/>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94" w:name="_Toc316366592"/>
            <w:bookmarkStart w:id="95" w:name="_Toc316453700"/>
            <w:bookmarkStart w:id="96" w:name="_Toc316462702"/>
            <w:bookmarkStart w:id="97" w:name="_Toc316477079"/>
            <w:bookmarkStart w:id="98" w:name="_Toc316539458"/>
            <w:r w:rsidRPr="0068678B">
              <w:rPr>
                <w:rFonts w:cs="Arial"/>
                <w:color w:val="000000"/>
                <w:kern w:val="32"/>
                <w:sz w:val="18"/>
                <w:szCs w:val="18"/>
                <w:lang w:val="en-US"/>
              </w:rPr>
              <w:t>PV 4 kW-&lt;10 kW</w:t>
            </w:r>
            <w:bookmarkEnd w:id="94"/>
            <w:bookmarkEnd w:id="95"/>
            <w:bookmarkEnd w:id="96"/>
            <w:bookmarkEnd w:id="97"/>
            <w:bookmarkEnd w:id="98"/>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99" w:name="_Toc316366593"/>
            <w:bookmarkStart w:id="100" w:name="_Toc316453701"/>
            <w:bookmarkStart w:id="101" w:name="_Toc316462703"/>
            <w:bookmarkStart w:id="102" w:name="_Toc316477080"/>
            <w:bookmarkStart w:id="103" w:name="_Toc316539459"/>
            <w:r w:rsidRPr="0068678B">
              <w:rPr>
                <w:rFonts w:cs="Arial"/>
                <w:kern w:val="32"/>
                <w:sz w:val="18"/>
                <w:szCs w:val="18"/>
              </w:rPr>
              <w:t>2,097</w:t>
            </w:r>
            <w:bookmarkEnd w:id="99"/>
            <w:bookmarkEnd w:id="100"/>
            <w:bookmarkEnd w:id="101"/>
            <w:bookmarkEnd w:id="102"/>
            <w:bookmarkEnd w:id="103"/>
          </w:p>
        </w:tc>
        <w:tc>
          <w:tcPr>
            <w:tcW w:w="113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04" w:name="_Toc316366594"/>
            <w:bookmarkStart w:id="105" w:name="_Toc316453702"/>
            <w:bookmarkStart w:id="106" w:name="_Toc316462704"/>
            <w:bookmarkStart w:id="107" w:name="_Toc316477081"/>
            <w:bookmarkStart w:id="108" w:name="_Toc316539460"/>
            <w:r w:rsidRPr="0068678B">
              <w:rPr>
                <w:rFonts w:cs="Arial"/>
                <w:kern w:val="32"/>
                <w:sz w:val="18"/>
                <w:szCs w:val="18"/>
              </w:rPr>
              <w:t>2,717</w:t>
            </w:r>
            <w:bookmarkEnd w:id="104"/>
            <w:bookmarkEnd w:id="105"/>
            <w:bookmarkEnd w:id="106"/>
            <w:bookmarkEnd w:id="107"/>
            <w:bookmarkEnd w:id="108"/>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09" w:name="_Toc316366595"/>
            <w:bookmarkStart w:id="110" w:name="_Toc316453703"/>
            <w:bookmarkStart w:id="111" w:name="_Toc316462705"/>
            <w:bookmarkStart w:id="112" w:name="_Toc316477082"/>
            <w:bookmarkStart w:id="113" w:name="_Toc316539461"/>
            <w:r w:rsidRPr="0068678B">
              <w:rPr>
                <w:rFonts w:cs="Arial"/>
                <w:kern w:val="32"/>
                <w:sz w:val="18"/>
                <w:szCs w:val="18"/>
              </w:rPr>
              <w:t>15.2</w:t>
            </w:r>
            <w:bookmarkEnd w:id="109"/>
            <w:bookmarkEnd w:id="110"/>
            <w:bookmarkEnd w:id="111"/>
            <w:bookmarkEnd w:id="112"/>
            <w:bookmarkEnd w:id="113"/>
          </w:p>
        </w:tc>
        <w:tc>
          <w:tcPr>
            <w:tcW w:w="105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14" w:name="_Toc316366596"/>
            <w:bookmarkStart w:id="115" w:name="_Toc316453704"/>
            <w:bookmarkStart w:id="116" w:name="_Toc316462706"/>
            <w:bookmarkStart w:id="117" w:name="_Toc316477083"/>
            <w:bookmarkStart w:id="118" w:name="_Toc316539462"/>
            <w:r w:rsidRPr="0068678B">
              <w:rPr>
                <w:rFonts w:cs="Arial"/>
                <w:kern w:val="32"/>
                <w:sz w:val="18"/>
                <w:szCs w:val="18"/>
              </w:rPr>
              <w:t>24.7</w:t>
            </w:r>
            <w:bookmarkEnd w:id="114"/>
            <w:bookmarkEnd w:id="115"/>
            <w:bookmarkEnd w:id="116"/>
            <w:bookmarkEnd w:id="117"/>
            <w:bookmarkEnd w:id="118"/>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119" w:name="_Toc316366597"/>
            <w:bookmarkStart w:id="120" w:name="_Toc316453705"/>
            <w:bookmarkStart w:id="121" w:name="_Toc316462707"/>
            <w:bookmarkStart w:id="122" w:name="_Toc316477084"/>
            <w:bookmarkStart w:id="123" w:name="_Toc316539463"/>
            <w:r w:rsidRPr="0068678B">
              <w:rPr>
                <w:rFonts w:cs="Arial"/>
                <w:kern w:val="32"/>
                <w:sz w:val="18"/>
                <w:szCs w:val="18"/>
              </w:rPr>
              <w:t>PV 10kW – 50kW</w:t>
            </w:r>
            <w:bookmarkEnd w:id="119"/>
            <w:bookmarkEnd w:id="120"/>
            <w:bookmarkEnd w:id="121"/>
            <w:bookmarkEnd w:id="122"/>
            <w:bookmarkEnd w:id="123"/>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24" w:name="_Toc316366598"/>
            <w:bookmarkStart w:id="125" w:name="_Toc316453706"/>
            <w:bookmarkStart w:id="126" w:name="_Toc316462708"/>
            <w:bookmarkStart w:id="127" w:name="_Toc316477085"/>
            <w:bookmarkStart w:id="128" w:name="_Toc316539464"/>
            <w:r w:rsidRPr="0068678B">
              <w:rPr>
                <w:rFonts w:cs="Arial"/>
                <w:kern w:val="32"/>
                <w:sz w:val="18"/>
                <w:szCs w:val="18"/>
              </w:rPr>
              <w:t>841</w:t>
            </w:r>
            <w:bookmarkEnd w:id="124"/>
            <w:bookmarkEnd w:id="125"/>
            <w:bookmarkEnd w:id="126"/>
            <w:bookmarkEnd w:id="127"/>
            <w:bookmarkEnd w:id="128"/>
          </w:p>
        </w:tc>
        <w:tc>
          <w:tcPr>
            <w:tcW w:w="113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29" w:name="_Toc316366599"/>
            <w:bookmarkStart w:id="130" w:name="_Toc316453707"/>
            <w:bookmarkStart w:id="131" w:name="_Toc316462709"/>
            <w:bookmarkStart w:id="132" w:name="_Toc316477086"/>
            <w:bookmarkStart w:id="133" w:name="_Toc316539465"/>
            <w:r w:rsidRPr="0068678B">
              <w:rPr>
                <w:rFonts w:cs="Arial"/>
                <w:kern w:val="32"/>
                <w:sz w:val="18"/>
                <w:szCs w:val="18"/>
              </w:rPr>
              <w:t>2,044</w:t>
            </w:r>
            <w:bookmarkEnd w:id="129"/>
            <w:bookmarkEnd w:id="130"/>
            <w:bookmarkEnd w:id="131"/>
            <w:bookmarkEnd w:id="132"/>
            <w:bookmarkEnd w:id="133"/>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34" w:name="_Toc316366600"/>
            <w:bookmarkStart w:id="135" w:name="_Toc316453708"/>
            <w:bookmarkStart w:id="136" w:name="_Toc316462710"/>
            <w:bookmarkStart w:id="137" w:name="_Toc316477087"/>
            <w:bookmarkStart w:id="138" w:name="_Toc316539466"/>
            <w:r w:rsidRPr="0068678B">
              <w:rPr>
                <w:rFonts w:cs="Arial"/>
                <w:kern w:val="32"/>
                <w:sz w:val="18"/>
                <w:szCs w:val="18"/>
              </w:rPr>
              <w:t>26.4</w:t>
            </w:r>
            <w:bookmarkEnd w:id="134"/>
            <w:bookmarkEnd w:id="135"/>
            <w:bookmarkEnd w:id="136"/>
            <w:bookmarkEnd w:id="137"/>
            <w:bookmarkEnd w:id="138"/>
          </w:p>
        </w:tc>
        <w:tc>
          <w:tcPr>
            <w:tcW w:w="105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39" w:name="_Toc316366601"/>
            <w:bookmarkStart w:id="140" w:name="_Toc316453709"/>
            <w:bookmarkStart w:id="141" w:name="_Toc316462711"/>
            <w:bookmarkStart w:id="142" w:name="_Toc316477088"/>
            <w:bookmarkStart w:id="143" w:name="_Toc316539467"/>
            <w:r w:rsidRPr="0068678B">
              <w:rPr>
                <w:rFonts w:cs="Arial"/>
                <w:kern w:val="32"/>
                <w:sz w:val="18"/>
                <w:szCs w:val="18"/>
              </w:rPr>
              <w:t>67.6</w:t>
            </w:r>
            <w:bookmarkEnd w:id="139"/>
            <w:bookmarkEnd w:id="140"/>
            <w:bookmarkEnd w:id="141"/>
            <w:bookmarkEnd w:id="142"/>
            <w:bookmarkEnd w:id="143"/>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144" w:name="_Toc316366602"/>
            <w:bookmarkStart w:id="145" w:name="_Toc316453710"/>
            <w:bookmarkStart w:id="146" w:name="_Toc316462712"/>
            <w:bookmarkStart w:id="147" w:name="_Toc316477089"/>
            <w:bookmarkStart w:id="148" w:name="_Toc316539468"/>
            <w:r w:rsidRPr="0068678B">
              <w:rPr>
                <w:rFonts w:cs="Arial"/>
                <w:kern w:val="32"/>
                <w:sz w:val="18"/>
                <w:szCs w:val="18"/>
              </w:rPr>
              <w:t>PV 50kW – 5MW</w:t>
            </w:r>
            <w:bookmarkEnd w:id="144"/>
            <w:bookmarkEnd w:id="145"/>
            <w:bookmarkEnd w:id="146"/>
            <w:bookmarkEnd w:id="147"/>
            <w:bookmarkEnd w:id="148"/>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49" w:name="_Toc316366603"/>
            <w:bookmarkStart w:id="150" w:name="_Toc316453711"/>
            <w:bookmarkStart w:id="151" w:name="_Toc316462713"/>
            <w:bookmarkStart w:id="152" w:name="_Toc316477090"/>
            <w:bookmarkStart w:id="153" w:name="_Toc316539469"/>
            <w:r w:rsidRPr="0068678B">
              <w:rPr>
                <w:rFonts w:cs="Arial"/>
                <w:kern w:val="32"/>
                <w:sz w:val="18"/>
                <w:szCs w:val="18"/>
              </w:rPr>
              <w:t>114</w:t>
            </w:r>
            <w:bookmarkEnd w:id="149"/>
            <w:bookmarkEnd w:id="150"/>
            <w:bookmarkEnd w:id="151"/>
            <w:bookmarkEnd w:id="152"/>
            <w:bookmarkEnd w:id="153"/>
          </w:p>
        </w:tc>
        <w:tc>
          <w:tcPr>
            <w:tcW w:w="1134" w:type="dxa"/>
            <w:vMerge w:val="restart"/>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54" w:name="_Toc316366604"/>
            <w:bookmarkStart w:id="155" w:name="_Toc316453712"/>
            <w:bookmarkStart w:id="156" w:name="_Toc316462714"/>
            <w:bookmarkStart w:id="157" w:name="_Toc316477091"/>
            <w:bookmarkStart w:id="158" w:name="_Toc316539470"/>
            <w:r w:rsidRPr="0068678B">
              <w:rPr>
                <w:rFonts w:cs="Arial"/>
                <w:kern w:val="32"/>
                <w:sz w:val="18"/>
                <w:szCs w:val="18"/>
              </w:rPr>
              <w:t>190</w:t>
            </w:r>
            <w:bookmarkEnd w:id="154"/>
            <w:bookmarkEnd w:id="155"/>
            <w:bookmarkEnd w:id="156"/>
            <w:bookmarkEnd w:id="157"/>
            <w:bookmarkEnd w:id="158"/>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59" w:name="_Toc316366605"/>
            <w:bookmarkStart w:id="160" w:name="_Toc316453713"/>
            <w:bookmarkStart w:id="161" w:name="_Toc316462715"/>
            <w:bookmarkStart w:id="162" w:name="_Toc316477092"/>
            <w:bookmarkStart w:id="163" w:name="_Toc316539471"/>
            <w:r w:rsidRPr="0068678B">
              <w:rPr>
                <w:rFonts w:cs="Arial"/>
                <w:kern w:val="32"/>
                <w:sz w:val="18"/>
                <w:szCs w:val="18"/>
              </w:rPr>
              <w:t>46.6</w:t>
            </w:r>
            <w:bookmarkEnd w:id="159"/>
            <w:bookmarkEnd w:id="160"/>
            <w:bookmarkEnd w:id="161"/>
            <w:bookmarkEnd w:id="162"/>
            <w:bookmarkEnd w:id="163"/>
          </w:p>
        </w:tc>
        <w:tc>
          <w:tcPr>
            <w:tcW w:w="1054" w:type="dxa"/>
            <w:vMerge w:val="restart"/>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64" w:name="_Toc316366606"/>
            <w:bookmarkStart w:id="165" w:name="_Toc316453714"/>
            <w:bookmarkStart w:id="166" w:name="_Toc316462716"/>
            <w:bookmarkStart w:id="167" w:name="_Toc316477093"/>
            <w:bookmarkStart w:id="168" w:name="_Toc316539472"/>
            <w:r w:rsidRPr="0068678B">
              <w:rPr>
                <w:rFonts w:cs="Arial"/>
                <w:kern w:val="32"/>
                <w:sz w:val="18"/>
                <w:szCs w:val="18"/>
              </w:rPr>
              <w:t>65.1</w:t>
            </w:r>
            <w:bookmarkEnd w:id="164"/>
            <w:bookmarkEnd w:id="165"/>
            <w:bookmarkEnd w:id="166"/>
            <w:bookmarkEnd w:id="167"/>
            <w:bookmarkEnd w:id="168"/>
          </w:p>
        </w:tc>
      </w:tr>
      <w:tr w:rsidR="00E33523" w:rsidRPr="0068678B" w:rsidTr="0039005D">
        <w:tc>
          <w:tcPr>
            <w:tcW w:w="1985" w:type="dxa"/>
          </w:tcPr>
          <w:p w:rsidR="00E33523" w:rsidRPr="0068678B" w:rsidRDefault="007A37A8" w:rsidP="00556829">
            <w:pPr>
              <w:spacing w:after="120"/>
              <w:rPr>
                <w:rFonts w:cs="Arial"/>
                <w:kern w:val="32"/>
                <w:sz w:val="18"/>
                <w:szCs w:val="18"/>
              </w:rPr>
            </w:pPr>
            <w:bookmarkStart w:id="169" w:name="_Toc316366607"/>
            <w:bookmarkStart w:id="170" w:name="_Toc316453715"/>
            <w:bookmarkStart w:id="171" w:name="_Toc316462717"/>
            <w:bookmarkStart w:id="172" w:name="_Toc316477094"/>
            <w:bookmarkStart w:id="173" w:name="_Toc316539473"/>
            <w:r w:rsidRPr="0068678B">
              <w:rPr>
                <w:rFonts w:cs="Arial"/>
                <w:kern w:val="32"/>
                <w:sz w:val="18"/>
                <w:szCs w:val="18"/>
              </w:rPr>
              <w:t>PV stand-</w:t>
            </w:r>
            <w:r w:rsidR="00E33523" w:rsidRPr="0068678B">
              <w:rPr>
                <w:rFonts w:cs="Arial"/>
                <w:kern w:val="32"/>
                <w:sz w:val="18"/>
                <w:szCs w:val="18"/>
              </w:rPr>
              <w:t>alone</w:t>
            </w:r>
            <w:bookmarkEnd w:id="169"/>
            <w:bookmarkEnd w:id="170"/>
            <w:bookmarkEnd w:id="171"/>
            <w:bookmarkEnd w:id="172"/>
            <w:bookmarkEnd w:id="173"/>
          </w:p>
        </w:tc>
        <w:tc>
          <w:tcPr>
            <w:tcW w:w="1276" w:type="dxa"/>
            <w:tcBorders>
              <w:top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top w:val="dashSmallGap" w:sz="4" w:space="0" w:color="auto"/>
              <w:left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74" w:name="_Toc316366608"/>
            <w:bookmarkStart w:id="175" w:name="_Toc316453716"/>
            <w:bookmarkStart w:id="176" w:name="_Toc316462718"/>
            <w:bookmarkStart w:id="177" w:name="_Toc316477095"/>
            <w:bookmarkStart w:id="178" w:name="_Toc316539474"/>
            <w:r w:rsidRPr="0068678B">
              <w:rPr>
                <w:rFonts w:cs="Arial"/>
                <w:kern w:val="32"/>
                <w:sz w:val="18"/>
                <w:szCs w:val="18"/>
              </w:rPr>
              <w:t>451</w:t>
            </w:r>
            <w:bookmarkEnd w:id="174"/>
            <w:bookmarkEnd w:id="175"/>
            <w:bookmarkEnd w:id="176"/>
            <w:bookmarkEnd w:id="177"/>
            <w:bookmarkEnd w:id="178"/>
          </w:p>
        </w:tc>
        <w:tc>
          <w:tcPr>
            <w:tcW w:w="1134" w:type="dxa"/>
            <w:vMerge/>
            <w:tcBorders>
              <w:top w:val="dashSmallGap" w:sz="4" w:space="0" w:color="auto"/>
              <w:left w:val="dashSmallGap" w:sz="4" w:space="0" w:color="auto"/>
              <w:bottom w:val="single" w:sz="4" w:space="0" w:color="auto"/>
            </w:tcBorders>
            <w:vAlign w:val="center"/>
          </w:tcPr>
          <w:p w:rsidR="00E33523" w:rsidRPr="0068678B" w:rsidRDefault="00E33523" w:rsidP="00556829">
            <w:pPr>
              <w:spacing w:after="120"/>
              <w:rPr>
                <w:rFonts w:cs="Arial"/>
                <w:kern w:val="32"/>
                <w:sz w:val="18"/>
                <w:szCs w:val="18"/>
              </w:rPr>
            </w:pPr>
          </w:p>
        </w:tc>
        <w:tc>
          <w:tcPr>
            <w:tcW w:w="1276" w:type="dxa"/>
            <w:tcBorders>
              <w:top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p>
        </w:tc>
        <w:tc>
          <w:tcPr>
            <w:tcW w:w="1417" w:type="dxa"/>
            <w:tcBorders>
              <w:top w:val="dashSmallGap" w:sz="4" w:space="0" w:color="auto"/>
              <w:left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79" w:name="_Toc316366609"/>
            <w:bookmarkStart w:id="180" w:name="_Toc316453717"/>
            <w:bookmarkStart w:id="181" w:name="_Toc316462719"/>
            <w:bookmarkStart w:id="182" w:name="_Toc316477096"/>
            <w:bookmarkStart w:id="183" w:name="_Toc316539475"/>
            <w:r w:rsidRPr="0068678B">
              <w:rPr>
                <w:rFonts w:cs="Arial"/>
                <w:kern w:val="32"/>
                <w:sz w:val="18"/>
                <w:szCs w:val="18"/>
              </w:rPr>
              <w:t>104</w:t>
            </w:r>
            <w:bookmarkEnd w:id="179"/>
            <w:bookmarkEnd w:id="180"/>
            <w:bookmarkEnd w:id="181"/>
            <w:bookmarkEnd w:id="182"/>
            <w:bookmarkEnd w:id="183"/>
          </w:p>
        </w:tc>
        <w:tc>
          <w:tcPr>
            <w:tcW w:w="1054" w:type="dxa"/>
            <w:vMerge/>
            <w:tcBorders>
              <w:top w:val="dashSmallGap" w:sz="4" w:space="0" w:color="auto"/>
              <w:left w:val="dashSmallGap" w:sz="4" w:space="0" w:color="auto"/>
              <w:bottom w:val="single" w:sz="4" w:space="0" w:color="auto"/>
            </w:tcBorders>
            <w:vAlign w:val="center"/>
          </w:tcPr>
          <w:p w:rsidR="00E33523" w:rsidRPr="0068678B" w:rsidRDefault="00E33523" w:rsidP="00556829">
            <w:pPr>
              <w:spacing w:after="120"/>
              <w:rPr>
                <w:rFonts w:cs="Arial"/>
                <w:kern w:val="32"/>
                <w:sz w:val="18"/>
                <w:szCs w:val="18"/>
              </w:rPr>
            </w:pPr>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184" w:name="_Toc316366610"/>
            <w:bookmarkStart w:id="185" w:name="_Toc316453718"/>
            <w:bookmarkStart w:id="186" w:name="_Toc316462720"/>
            <w:bookmarkStart w:id="187" w:name="_Toc316477097"/>
            <w:bookmarkStart w:id="188" w:name="_Toc316539476"/>
            <w:r w:rsidRPr="0068678B">
              <w:rPr>
                <w:rFonts w:cs="Arial"/>
                <w:kern w:val="32"/>
                <w:sz w:val="18"/>
                <w:szCs w:val="18"/>
              </w:rPr>
              <w:t xml:space="preserve">Wind </w:t>
            </w:r>
            <w:r w:rsidRPr="0068678B">
              <w:rPr>
                <w:rFonts w:cs="Arial"/>
                <w:color w:val="000000"/>
                <w:kern w:val="32"/>
                <w:sz w:val="18"/>
                <w:szCs w:val="18"/>
                <w:lang w:val="en-US"/>
              </w:rPr>
              <w:t>&lt;50kW</w:t>
            </w:r>
            <w:bookmarkEnd w:id="184"/>
            <w:bookmarkEnd w:id="185"/>
            <w:bookmarkEnd w:id="186"/>
            <w:bookmarkEnd w:id="187"/>
            <w:bookmarkEnd w:id="188"/>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89" w:name="_Toc316366611"/>
            <w:bookmarkStart w:id="190" w:name="_Toc316453719"/>
            <w:bookmarkStart w:id="191" w:name="_Toc316462721"/>
            <w:bookmarkStart w:id="192" w:name="_Toc316477098"/>
            <w:bookmarkStart w:id="193" w:name="_Toc316539477"/>
            <w:r w:rsidRPr="0068678B">
              <w:rPr>
                <w:rFonts w:cs="Arial"/>
                <w:kern w:val="32"/>
                <w:sz w:val="18"/>
                <w:szCs w:val="18"/>
              </w:rPr>
              <w:t>3,095</w:t>
            </w:r>
            <w:bookmarkEnd w:id="189"/>
            <w:bookmarkEnd w:id="190"/>
            <w:bookmarkEnd w:id="191"/>
            <w:bookmarkEnd w:id="192"/>
            <w:bookmarkEnd w:id="193"/>
          </w:p>
        </w:tc>
        <w:tc>
          <w:tcPr>
            <w:tcW w:w="1276"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194" w:name="_Toc316366612"/>
            <w:bookmarkStart w:id="195" w:name="_Toc316453720"/>
            <w:bookmarkStart w:id="196" w:name="_Toc316462722"/>
            <w:bookmarkStart w:id="197" w:name="_Toc316477099"/>
            <w:bookmarkStart w:id="198" w:name="_Toc316539478"/>
            <w:r w:rsidRPr="0068678B">
              <w:rPr>
                <w:rFonts w:cs="Arial"/>
                <w:kern w:val="32"/>
                <w:sz w:val="18"/>
                <w:szCs w:val="18"/>
              </w:rPr>
              <w:t>1,260</w:t>
            </w:r>
            <w:bookmarkEnd w:id="194"/>
            <w:bookmarkEnd w:id="195"/>
            <w:bookmarkEnd w:id="196"/>
            <w:bookmarkEnd w:id="197"/>
            <w:bookmarkEnd w:id="198"/>
          </w:p>
        </w:tc>
        <w:tc>
          <w:tcPr>
            <w:tcW w:w="113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199" w:name="_Toc316366613"/>
            <w:bookmarkStart w:id="200" w:name="_Toc316453721"/>
            <w:bookmarkStart w:id="201" w:name="_Toc316462723"/>
            <w:bookmarkStart w:id="202" w:name="_Toc316477100"/>
            <w:bookmarkStart w:id="203" w:name="_Toc316539479"/>
            <w:r w:rsidRPr="0068678B">
              <w:rPr>
                <w:rFonts w:cs="Arial"/>
                <w:kern w:val="32"/>
                <w:sz w:val="18"/>
                <w:szCs w:val="18"/>
              </w:rPr>
              <w:t>341</w:t>
            </w:r>
            <w:bookmarkEnd w:id="199"/>
            <w:bookmarkEnd w:id="200"/>
            <w:bookmarkEnd w:id="201"/>
            <w:bookmarkEnd w:id="202"/>
            <w:bookmarkEnd w:id="203"/>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04" w:name="_Toc316366614"/>
            <w:bookmarkStart w:id="205" w:name="_Toc316453722"/>
            <w:bookmarkStart w:id="206" w:name="_Toc316462724"/>
            <w:bookmarkStart w:id="207" w:name="_Toc316477101"/>
            <w:bookmarkStart w:id="208" w:name="_Toc316539480"/>
            <w:r w:rsidRPr="0068678B">
              <w:rPr>
                <w:rFonts w:cs="Arial"/>
                <w:kern w:val="32"/>
                <w:sz w:val="18"/>
                <w:szCs w:val="18"/>
              </w:rPr>
              <w:t>25</w:t>
            </w:r>
            <w:bookmarkEnd w:id="204"/>
            <w:bookmarkEnd w:id="205"/>
            <w:bookmarkEnd w:id="206"/>
            <w:bookmarkEnd w:id="207"/>
            <w:bookmarkEnd w:id="208"/>
          </w:p>
        </w:tc>
        <w:tc>
          <w:tcPr>
            <w:tcW w:w="1417"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09" w:name="_Toc316366615"/>
            <w:bookmarkStart w:id="210" w:name="_Toc316453723"/>
            <w:bookmarkStart w:id="211" w:name="_Toc316462725"/>
            <w:bookmarkStart w:id="212" w:name="_Toc316477102"/>
            <w:bookmarkStart w:id="213" w:name="_Toc316539481"/>
            <w:r w:rsidRPr="0068678B">
              <w:rPr>
                <w:rFonts w:cs="Arial"/>
                <w:kern w:val="32"/>
                <w:sz w:val="18"/>
                <w:szCs w:val="18"/>
              </w:rPr>
              <w:t>13.5</w:t>
            </w:r>
            <w:bookmarkEnd w:id="209"/>
            <w:bookmarkEnd w:id="210"/>
            <w:bookmarkEnd w:id="211"/>
            <w:bookmarkEnd w:id="212"/>
            <w:bookmarkEnd w:id="213"/>
          </w:p>
        </w:tc>
        <w:tc>
          <w:tcPr>
            <w:tcW w:w="105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214" w:name="_Toc316366616"/>
            <w:bookmarkStart w:id="215" w:name="_Toc316453724"/>
            <w:bookmarkStart w:id="216" w:name="_Toc316462726"/>
            <w:bookmarkStart w:id="217" w:name="_Toc316477103"/>
            <w:bookmarkStart w:id="218" w:name="_Toc316539482"/>
            <w:r w:rsidRPr="0068678B">
              <w:rPr>
                <w:rFonts w:cs="Arial"/>
                <w:kern w:val="32"/>
                <w:sz w:val="18"/>
                <w:szCs w:val="18"/>
              </w:rPr>
              <w:t>2.5</w:t>
            </w:r>
            <w:bookmarkEnd w:id="214"/>
            <w:bookmarkEnd w:id="215"/>
            <w:bookmarkEnd w:id="216"/>
            <w:bookmarkEnd w:id="217"/>
            <w:bookmarkEnd w:id="218"/>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219" w:name="_Toc316366617"/>
            <w:bookmarkStart w:id="220" w:name="_Toc316453725"/>
            <w:bookmarkStart w:id="221" w:name="_Toc316462727"/>
            <w:bookmarkStart w:id="222" w:name="_Toc316477104"/>
            <w:bookmarkStart w:id="223" w:name="_Toc316539483"/>
            <w:r w:rsidRPr="0068678B">
              <w:rPr>
                <w:rFonts w:cs="Arial"/>
                <w:kern w:val="32"/>
                <w:sz w:val="18"/>
                <w:szCs w:val="18"/>
              </w:rPr>
              <w:t>Wind 50kW -</w:t>
            </w:r>
            <w:r w:rsidRPr="0068678B">
              <w:rPr>
                <w:rFonts w:cs="Arial"/>
                <w:color w:val="000000"/>
                <w:kern w:val="32"/>
                <w:sz w:val="18"/>
                <w:szCs w:val="18"/>
                <w:lang w:val="en-US"/>
              </w:rPr>
              <w:t>&lt;100kW</w:t>
            </w:r>
            <w:bookmarkEnd w:id="219"/>
            <w:bookmarkEnd w:id="220"/>
            <w:bookmarkEnd w:id="221"/>
            <w:bookmarkEnd w:id="222"/>
            <w:bookmarkEnd w:id="223"/>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24" w:name="_Toc316366618"/>
            <w:bookmarkStart w:id="225" w:name="_Toc316453726"/>
            <w:bookmarkStart w:id="226" w:name="_Toc316462728"/>
            <w:bookmarkStart w:id="227" w:name="_Toc316477105"/>
            <w:bookmarkStart w:id="228" w:name="_Toc316539484"/>
            <w:r w:rsidRPr="0068678B">
              <w:rPr>
                <w:rFonts w:cs="Arial"/>
                <w:kern w:val="32"/>
                <w:sz w:val="18"/>
                <w:szCs w:val="18"/>
              </w:rPr>
              <w:t>35</w:t>
            </w:r>
            <w:bookmarkEnd w:id="224"/>
            <w:bookmarkEnd w:id="225"/>
            <w:bookmarkEnd w:id="226"/>
            <w:bookmarkEnd w:id="227"/>
            <w:bookmarkEnd w:id="228"/>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29" w:name="_Toc316366619"/>
            <w:bookmarkStart w:id="230" w:name="_Toc316453727"/>
            <w:bookmarkStart w:id="231" w:name="_Toc316462729"/>
            <w:bookmarkStart w:id="232" w:name="_Toc316477106"/>
            <w:bookmarkStart w:id="233" w:name="_Toc316539485"/>
            <w:r w:rsidRPr="0068678B">
              <w:rPr>
                <w:rFonts w:cs="Arial"/>
                <w:kern w:val="32"/>
                <w:sz w:val="18"/>
                <w:szCs w:val="18"/>
              </w:rPr>
              <w:t>17</w:t>
            </w:r>
            <w:bookmarkEnd w:id="229"/>
            <w:bookmarkEnd w:id="230"/>
            <w:bookmarkEnd w:id="231"/>
            <w:bookmarkEnd w:id="232"/>
            <w:bookmarkEnd w:id="233"/>
          </w:p>
        </w:tc>
        <w:tc>
          <w:tcPr>
            <w:tcW w:w="113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234" w:name="_Toc316366620"/>
            <w:bookmarkStart w:id="235" w:name="_Toc316453728"/>
            <w:bookmarkStart w:id="236" w:name="_Toc316462730"/>
            <w:bookmarkStart w:id="237" w:name="_Toc316477107"/>
            <w:bookmarkStart w:id="238" w:name="_Toc316539486"/>
            <w:r w:rsidRPr="0068678B">
              <w:rPr>
                <w:rFonts w:cs="Arial"/>
                <w:kern w:val="32"/>
                <w:sz w:val="18"/>
                <w:szCs w:val="18"/>
              </w:rPr>
              <w:t>46</w:t>
            </w:r>
            <w:bookmarkEnd w:id="234"/>
            <w:bookmarkEnd w:id="235"/>
            <w:bookmarkEnd w:id="236"/>
            <w:bookmarkEnd w:id="237"/>
            <w:bookmarkEnd w:id="238"/>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39" w:name="_Toc316366621"/>
            <w:bookmarkStart w:id="240" w:name="_Toc316453729"/>
            <w:bookmarkStart w:id="241" w:name="_Toc316462731"/>
            <w:bookmarkStart w:id="242" w:name="_Toc316477108"/>
            <w:bookmarkStart w:id="243" w:name="_Toc316539487"/>
            <w:r w:rsidRPr="0068678B">
              <w:rPr>
                <w:rFonts w:cs="Arial"/>
                <w:kern w:val="32"/>
                <w:sz w:val="18"/>
                <w:szCs w:val="18"/>
              </w:rPr>
              <w:t>3</w:t>
            </w:r>
            <w:bookmarkEnd w:id="239"/>
            <w:bookmarkEnd w:id="240"/>
            <w:bookmarkEnd w:id="241"/>
            <w:bookmarkEnd w:id="242"/>
            <w:bookmarkEnd w:id="243"/>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44" w:name="_Toc316366622"/>
            <w:bookmarkStart w:id="245" w:name="_Toc316453730"/>
            <w:bookmarkStart w:id="246" w:name="_Toc316462732"/>
            <w:bookmarkStart w:id="247" w:name="_Toc316477109"/>
            <w:bookmarkStart w:id="248" w:name="_Toc316539488"/>
            <w:r w:rsidRPr="0068678B">
              <w:rPr>
                <w:rFonts w:cs="Arial"/>
                <w:kern w:val="32"/>
                <w:sz w:val="18"/>
                <w:szCs w:val="18"/>
              </w:rPr>
              <w:t>0.4</w:t>
            </w:r>
            <w:bookmarkEnd w:id="244"/>
            <w:bookmarkEnd w:id="245"/>
            <w:bookmarkEnd w:id="246"/>
            <w:bookmarkEnd w:id="247"/>
            <w:bookmarkEnd w:id="248"/>
          </w:p>
        </w:tc>
        <w:tc>
          <w:tcPr>
            <w:tcW w:w="105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bookmarkStart w:id="249" w:name="_Toc316366623"/>
            <w:bookmarkStart w:id="250" w:name="_Toc316453731"/>
            <w:bookmarkStart w:id="251" w:name="_Toc316462733"/>
            <w:bookmarkStart w:id="252" w:name="_Toc316477110"/>
            <w:bookmarkStart w:id="253" w:name="_Toc316539489"/>
            <w:r w:rsidRPr="0068678B">
              <w:rPr>
                <w:rFonts w:cs="Arial"/>
                <w:kern w:val="32"/>
                <w:sz w:val="18"/>
                <w:szCs w:val="18"/>
              </w:rPr>
              <w:t>3.7</w:t>
            </w:r>
            <w:bookmarkEnd w:id="249"/>
            <w:bookmarkEnd w:id="250"/>
            <w:bookmarkEnd w:id="251"/>
            <w:bookmarkEnd w:id="252"/>
            <w:bookmarkEnd w:id="253"/>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254" w:name="_Toc316366624"/>
            <w:bookmarkStart w:id="255" w:name="_Toc316453732"/>
            <w:bookmarkStart w:id="256" w:name="_Toc316462734"/>
            <w:bookmarkStart w:id="257" w:name="_Toc316477111"/>
            <w:bookmarkStart w:id="258" w:name="_Toc316539490"/>
            <w:r w:rsidRPr="0068678B">
              <w:rPr>
                <w:rFonts w:cs="Arial"/>
                <w:kern w:val="32"/>
                <w:sz w:val="18"/>
                <w:szCs w:val="18"/>
              </w:rPr>
              <w:t>Wind 100kW+</w:t>
            </w:r>
            <w:r w:rsidRPr="0068678B">
              <w:rPr>
                <w:rFonts w:cs="Arial"/>
                <w:kern w:val="32"/>
                <w:sz w:val="18"/>
                <w:szCs w:val="18"/>
                <w:vertAlign w:val="superscript"/>
              </w:rPr>
              <w:t>5</w:t>
            </w:r>
            <w:bookmarkEnd w:id="254"/>
            <w:bookmarkEnd w:id="255"/>
            <w:bookmarkEnd w:id="256"/>
            <w:bookmarkEnd w:id="257"/>
            <w:bookmarkEnd w:id="258"/>
          </w:p>
        </w:tc>
        <w:tc>
          <w:tcPr>
            <w:tcW w:w="1276" w:type="dxa"/>
            <w:tcBorders>
              <w:top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59" w:name="_Toc316366625"/>
            <w:bookmarkStart w:id="260" w:name="_Toc316453733"/>
            <w:bookmarkStart w:id="261" w:name="_Toc316462735"/>
            <w:bookmarkStart w:id="262" w:name="_Toc316477112"/>
            <w:bookmarkStart w:id="263" w:name="_Toc316539491"/>
            <w:r w:rsidRPr="0068678B">
              <w:rPr>
                <w:rFonts w:cs="Arial"/>
                <w:kern w:val="32"/>
                <w:sz w:val="18"/>
                <w:szCs w:val="18"/>
              </w:rPr>
              <w:t>139</w:t>
            </w:r>
            <w:bookmarkEnd w:id="259"/>
            <w:bookmarkEnd w:id="260"/>
            <w:bookmarkEnd w:id="261"/>
            <w:bookmarkEnd w:id="262"/>
            <w:bookmarkEnd w:id="263"/>
          </w:p>
        </w:tc>
        <w:tc>
          <w:tcPr>
            <w:tcW w:w="1276" w:type="dxa"/>
            <w:tcBorders>
              <w:top w:val="dashSmallGap" w:sz="4" w:space="0" w:color="auto"/>
              <w:left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64" w:name="_Toc316366626"/>
            <w:bookmarkStart w:id="265" w:name="_Toc316453734"/>
            <w:bookmarkStart w:id="266" w:name="_Toc316462736"/>
            <w:bookmarkStart w:id="267" w:name="_Toc316477113"/>
            <w:bookmarkStart w:id="268" w:name="_Toc316539492"/>
            <w:r w:rsidRPr="0068678B">
              <w:rPr>
                <w:rFonts w:cs="Arial"/>
                <w:kern w:val="32"/>
                <w:sz w:val="18"/>
                <w:szCs w:val="18"/>
              </w:rPr>
              <w:t>19</w:t>
            </w:r>
            <w:bookmarkEnd w:id="264"/>
            <w:bookmarkEnd w:id="265"/>
            <w:bookmarkEnd w:id="266"/>
            <w:bookmarkEnd w:id="267"/>
            <w:bookmarkEnd w:id="268"/>
          </w:p>
        </w:tc>
        <w:tc>
          <w:tcPr>
            <w:tcW w:w="1134" w:type="dxa"/>
            <w:tcBorders>
              <w:top w:val="dashSmallGap" w:sz="4" w:space="0" w:color="auto"/>
              <w:left w:val="dashSmallGap" w:sz="4" w:space="0" w:color="auto"/>
              <w:bottom w:val="single" w:sz="4" w:space="0" w:color="auto"/>
            </w:tcBorders>
            <w:vAlign w:val="center"/>
          </w:tcPr>
          <w:p w:rsidR="00E33523" w:rsidRPr="0068678B" w:rsidRDefault="00E33523" w:rsidP="00556829">
            <w:pPr>
              <w:spacing w:after="120"/>
              <w:rPr>
                <w:rFonts w:cs="Arial"/>
                <w:kern w:val="32"/>
                <w:sz w:val="18"/>
                <w:szCs w:val="18"/>
              </w:rPr>
            </w:pPr>
            <w:bookmarkStart w:id="269" w:name="_Toc316366627"/>
            <w:bookmarkStart w:id="270" w:name="_Toc316453735"/>
            <w:bookmarkStart w:id="271" w:name="_Toc316462737"/>
            <w:bookmarkStart w:id="272" w:name="_Toc316477114"/>
            <w:bookmarkStart w:id="273" w:name="_Toc316539493"/>
            <w:r w:rsidRPr="0068678B">
              <w:rPr>
                <w:rFonts w:cs="Arial"/>
                <w:kern w:val="32"/>
                <w:sz w:val="18"/>
                <w:szCs w:val="18"/>
              </w:rPr>
              <w:t>25</w:t>
            </w:r>
            <w:bookmarkEnd w:id="269"/>
            <w:bookmarkEnd w:id="270"/>
            <w:bookmarkEnd w:id="271"/>
            <w:bookmarkEnd w:id="272"/>
            <w:bookmarkEnd w:id="273"/>
          </w:p>
        </w:tc>
        <w:tc>
          <w:tcPr>
            <w:tcW w:w="1276" w:type="dxa"/>
            <w:tcBorders>
              <w:top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74" w:name="_Toc316366628"/>
            <w:bookmarkStart w:id="275" w:name="_Toc316453736"/>
            <w:bookmarkStart w:id="276" w:name="_Toc316462738"/>
            <w:bookmarkStart w:id="277" w:name="_Toc316477115"/>
            <w:bookmarkStart w:id="278" w:name="_Toc316539494"/>
            <w:r w:rsidRPr="0068678B">
              <w:rPr>
                <w:rFonts w:cs="Arial"/>
                <w:kern w:val="32"/>
                <w:sz w:val="18"/>
                <w:szCs w:val="18"/>
              </w:rPr>
              <w:t>104</w:t>
            </w:r>
            <w:bookmarkEnd w:id="274"/>
            <w:bookmarkEnd w:id="275"/>
            <w:bookmarkEnd w:id="276"/>
            <w:bookmarkEnd w:id="277"/>
            <w:bookmarkEnd w:id="278"/>
          </w:p>
        </w:tc>
        <w:tc>
          <w:tcPr>
            <w:tcW w:w="1417" w:type="dxa"/>
            <w:tcBorders>
              <w:top w:val="dashSmallGap" w:sz="4" w:space="0" w:color="auto"/>
              <w:left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79" w:name="_Toc316366629"/>
            <w:bookmarkStart w:id="280" w:name="_Toc316453737"/>
            <w:bookmarkStart w:id="281" w:name="_Toc316462739"/>
            <w:bookmarkStart w:id="282" w:name="_Toc316477116"/>
            <w:bookmarkStart w:id="283" w:name="_Toc316539495"/>
            <w:r w:rsidRPr="0068678B">
              <w:rPr>
                <w:rFonts w:cs="Arial"/>
                <w:kern w:val="32"/>
                <w:sz w:val="18"/>
                <w:szCs w:val="18"/>
              </w:rPr>
              <w:t>15.7</w:t>
            </w:r>
            <w:bookmarkEnd w:id="279"/>
            <w:bookmarkEnd w:id="280"/>
            <w:bookmarkEnd w:id="281"/>
            <w:bookmarkEnd w:id="282"/>
            <w:bookmarkEnd w:id="283"/>
          </w:p>
        </w:tc>
        <w:tc>
          <w:tcPr>
            <w:tcW w:w="1054" w:type="dxa"/>
            <w:tcBorders>
              <w:top w:val="dashSmallGap" w:sz="4" w:space="0" w:color="auto"/>
              <w:left w:val="dashSmallGap" w:sz="4" w:space="0" w:color="auto"/>
              <w:bottom w:val="single" w:sz="4" w:space="0" w:color="auto"/>
            </w:tcBorders>
            <w:vAlign w:val="center"/>
          </w:tcPr>
          <w:p w:rsidR="00E33523" w:rsidRPr="0068678B" w:rsidRDefault="00E33523" w:rsidP="00556829">
            <w:pPr>
              <w:spacing w:after="120"/>
              <w:rPr>
                <w:rFonts w:cs="Arial"/>
                <w:kern w:val="32"/>
                <w:sz w:val="18"/>
                <w:szCs w:val="18"/>
              </w:rPr>
            </w:pPr>
            <w:bookmarkStart w:id="284" w:name="_Toc316366630"/>
            <w:bookmarkStart w:id="285" w:name="_Toc316453738"/>
            <w:bookmarkStart w:id="286" w:name="_Toc316462740"/>
            <w:bookmarkStart w:id="287" w:name="_Toc316477117"/>
            <w:bookmarkStart w:id="288" w:name="_Toc316539496"/>
            <w:r w:rsidRPr="0068678B">
              <w:rPr>
                <w:rFonts w:cs="Arial"/>
                <w:kern w:val="32"/>
                <w:sz w:val="18"/>
                <w:szCs w:val="18"/>
              </w:rPr>
              <w:t>24.5</w:t>
            </w:r>
            <w:bookmarkEnd w:id="284"/>
            <w:bookmarkEnd w:id="285"/>
            <w:bookmarkEnd w:id="286"/>
            <w:bookmarkEnd w:id="287"/>
            <w:bookmarkEnd w:id="288"/>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289" w:name="_Toc316366631"/>
            <w:bookmarkStart w:id="290" w:name="_Toc316453739"/>
            <w:bookmarkStart w:id="291" w:name="_Toc316462741"/>
            <w:bookmarkStart w:id="292" w:name="_Toc316477118"/>
            <w:bookmarkStart w:id="293" w:name="_Toc316539497"/>
            <w:r w:rsidRPr="0068678B">
              <w:rPr>
                <w:rFonts w:cs="Arial"/>
                <w:kern w:val="32"/>
                <w:sz w:val="18"/>
                <w:szCs w:val="18"/>
              </w:rPr>
              <w:t xml:space="preserve">Hydro </w:t>
            </w:r>
            <w:r w:rsidRPr="0068678B">
              <w:rPr>
                <w:rFonts w:cs="Arial"/>
                <w:color w:val="000000"/>
                <w:kern w:val="32"/>
                <w:sz w:val="18"/>
                <w:szCs w:val="18"/>
                <w:lang w:val="en-US"/>
              </w:rPr>
              <w:t>&lt;15kW</w:t>
            </w:r>
            <w:bookmarkEnd w:id="289"/>
            <w:bookmarkEnd w:id="290"/>
            <w:bookmarkEnd w:id="291"/>
            <w:bookmarkEnd w:id="292"/>
            <w:bookmarkEnd w:id="293"/>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94" w:name="_Toc316366632"/>
            <w:bookmarkStart w:id="295" w:name="_Toc316453740"/>
            <w:bookmarkStart w:id="296" w:name="_Toc316462742"/>
            <w:bookmarkStart w:id="297" w:name="_Toc316477119"/>
            <w:bookmarkStart w:id="298" w:name="_Toc316539498"/>
            <w:r w:rsidRPr="0068678B">
              <w:rPr>
                <w:rFonts w:cs="Arial"/>
                <w:kern w:val="32"/>
                <w:sz w:val="18"/>
                <w:szCs w:val="18"/>
              </w:rPr>
              <w:t>110</w:t>
            </w:r>
            <w:bookmarkEnd w:id="294"/>
            <w:bookmarkEnd w:id="295"/>
            <w:bookmarkEnd w:id="296"/>
            <w:bookmarkEnd w:id="297"/>
            <w:bookmarkEnd w:id="298"/>
          </w:p>
        </w:tc>
        <w:tc>
          <w:tcPr>
            <w:tcW w:w="1276"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299" w:name="_Toc316366633"/>
            <w:bookmarkStart w:id="300" w:name="_Toc316453741"/>
            <w:bookmarkStart w:id="301" w:name="_Toc316462743"/>
            <w:bookmarkStart w:id="302" w:name="_Toc316477120"/>
            <w:bookmarkStart w:id="303" w:name="_Toc316539499"/>
            <w:r w:rsidRPr="0068678B">
              <w:rPr>
                <w:rFonts w:cs="Arial"/>
                <w:kern w:val="32"/>
                <w:sz w:val="18"/>
                <w:szCs w:val="18"/>
              </w:rPr>
              <w:t>77</w:t>
            </w:r>
            <w:bookmarkEnd w:id="299"/>
            <w:bookmarkEnd w:id="300"/>
            <w:bookmarkEnd w:id="301"/>
            <w:bookmarkEnd w:id="302"/>
            <w:bookmarkEnd w:id="303"/>
          </w:p>
        </w:tc>
        <w:tc>
          <w:tcPr>
            <w:tcW w:w="113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04" w:name="_Toc316366634"/>
            <w:bookmarkStart w:id="305" w:name="_Toc316453742"/>
            <w:bookmarkStart w:id="306" w:name="_Toc316462744"/>
            <w:bookmarkStart w:id="307" w:name="_Toc316477121"/>
            <w:bookmarkStart w:id="308" w:name="_Toc316539500"/>
            <w:r w:rsidRPr="0068678B">
              <w:rPr>
                <w:rFonts w:cs="Arial"/>
                <w:kern w:val="32"/>
                <w:sz w:val="18"/>
                <w:szCs w:val="18"/>
              </w:rPr>
              <w:t>1</w:t>
            </w:r>
            <w:bookmarkEnd w:id="304"/>
            <w:bookmarkEnd w:id="305"/>
            <w:bookmarkEnd w:id="306"/>
            <w:bookmarkEnd w:id="307"/>
            <w:bookmarkEnd w:id="308"/>
          </w:p>
        </w:tc>
        <w:tc>
          <w:tcPr>
            <w:tcW w:w="1417"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09" w:name="_Toc316366635"/>
            <w:bookmarkStart w:id="310" w:name="_Toc316453743"/>
            <w:bookmarkStart w:id="311" w:name="_Toc316462745"/>
            <w:bookmarkStart w:id="312" w:name="_Toc316477122"/>
            <w:bookmarkStart w:id="313" w:name="_Toc316539501"/>
            <w:r w:rsidRPr="0068678B">
              <w:rPr>
                <w:rFonts w:cs="Arial"/>
                <w:kern w:val="32"/>
                <w:sz w:val="18"/>
                <w:szCs w:val="18"/>
              </w:rPr>
              <w:t>0.5</w:t>
            </w:r>
            <w:bookmarkEnd w:id="309"/>
            <w:bookmarkEnd w:id="310"/>
            <w:bookmarkEnd w:id="311"/>
            <w:bookmarkEnd w:id="312"/>
            <w:bookmarkEnd w:id="313"/>
          </w:p>
        </w:tc>
        <w:tc>
          <w:tcPr>
            <w:tcW w:w="105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314" w:name="_Toc316366636"/>
            <w:bookmarkStart w:id="315" w:name="_Toc316453744"/>
            <w:bookmarkStart w:id="316" w:name="_Toc316462746"/>
            <w:bookmarkStart w:id="317" w:name="_Toc316477123"/>
            <w:bookmarkStart w:id="318" w:name="_Toc316539502"/>
            <w:r w:rsidRPr="0068678B">
              <w:rPr>
                <w:rFonts w:cs="Arial"/>
                <w:kern w:val="32"/>
                <w:sz w:val="18"/>
                <w:szCs w:val="18"/>
              </w:rPr>
              <w:t>Hydro15kW -</w:t>
            </w:r>
            <w:r w:rsidRPr="0068678B">
              <w:rPr>
                <w:rFonts w:cs="Arial"/>
                <w:color w:val="000000"/>
                <w:kern w:val="32"/>
                <w:sz w:val="18"/>
                <w:szCs w:val="18"/>
                <w:lang w:val="en-US"/>
              </w:rPr>
              <w:t>&lt;100kW</w:t>
            </w:r>
            <w:bookmarkEnd w:id="314"/>
            <w:bookmarkEnd w:id="315"/>
            <w:bookmarkEnd w:id="316"/>
            <w:bookmarkEnd w:id="317"/>
            <w:bookmarkEnd w:id="318"/>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19" w:name="_Toc316366637"/>
            <w:bookmarkStart w:id="320" w:name="_Toc316453745"/>
            <w:bookmarkStart w:id="321" w:name="_Toc316462747"/>
            <w:bookmarkStart w:id="322" w:name="_Toc316477124"/>
            <w:bookmarkStart w:id="323" w:name="_Toc316539503"/>
            <w:r w:rsidRPr="0068678B">
              <w:rPr>
                <w:rFonts w:cs="Arial"/>
                <w:kern w:val="32"/>
                <w:sz w:val="18"/>
                <w:szCs w:val="18"/>
              </w:rPr>
              <w:t>5</w:t>
            </w:r>
            <w:bookmarkEnd w:id="319"/>
            <w:bookmarkEnd w:id="320"/>
            <w:bookmarkEnd w:id="321"/>
            <w:bookmarkEnd w:id="322"/>
            <w:bookmarkEnd w:id="323"/>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24" w:name="_Toc316366638"/>
            <w:bookmarkStart w:id="325" w:name="_Toc316453746"/>
            <w:bookmarkStart w:id="326" w:name="_Toc316462748"/>
            <w:bookmarkStart w:id="327" w:name="_Toc316477125"/>
            <w:bookmarkStart w:id="328" w:name="_Toc316539504"/>
            <w:r w:rsidRPr="0068678B">
              <w:rPr>
                <w:rFonts w:cs="Arial"/>
                <w:kern w:val="32"/>
                <w:sz w:val="18"/>
                <w:szCs w:val="18"/>
              </w:rPr>
              <w:t>27</w:t>
            </w:r>
            <w:bookmarkEnd w:id="324"/>
            <w:bookmarkEnd w:id="325"/>
            <w:bookmarkEnd w:id="326"/>
            <w:bookmarkEnd w:id="327"/>
            <w:bookmarkEnd w:id="328"/>
          </w:p>
        </w:tc>
        <w:tc>
          <w:tcPr>
            <w:tcW w:w="113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top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29" w:name="_Toc316366639"/>
            <w:bookmarkStart w:id="330" w:name="_Toc316453747"/>
            <w:bookmarkStart w:id="331" w:name="_Toc316462749"/>
            <w:bookmarkStart w:id="332" w:name="_Toc316477126"/>
            <w:bookmarkStart w:id="333" w:name="_Toc316539505"/>
            <w:r w:rsidRPr="0068678B">
              <w:rPr>
                <w:rFonts w:cs="Arial"/>
                <w:kern w:val="32"/>
                <w:sz w:val="18"/>
                <w:szCs w:val="18"/>
              </w:rPr>
              <w:t>0</w:t>
            </w:r>
            <w:bookmarkEnd w:id="329"/>
            <w:bookmarkEnd w:id="330"/>
            <w:bookmarkEnd w:id="331"/>
            <w:bookmarkEnd w:id="332"/>
            <w:bookmarkEnd w:id="333"/>
          </w:p>
        </w:tc>
        <w:tc>
          <w:tcPr>
            <w:tcW w:w="1417" w:type="dxa"/>
            <w:tcBorders>
              <w:top w:val="dashSmallGap" w:sz="4" w:space="0" w:color="auto"/>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34" w:name="_Toc316366640"/>
            <w:bookmarkStart w:id="335" w:name="_Toc316453748"/>
            <w:bookmarkStart w:id="336" w:name="_Toc316462750"/>
            <w:bookmarkStart w:id="337" w:name="_Toc316477127"/>
            <w:bookmarkStart w:id="338" w:name="_Toc316539506"/>
            <w:r w:rsidRPr="0068678B">
              <w:rPr>
                <w:rFonts w:cs="Arial"/>
                <w:kern w:val="32"/>
                <w:sz w:val="18"/>
                <w:szCs w:val="18"/>
              </w:rPr>
              <w:t>1.1</w:t>
            </w:r>
            <w:bookmarkEnd w:id="334"/>
            <w:bookmarkEnd w:id="335"/>
            <w:bookmarkEnd w:id="336"/>
            <w:bookmarkEnd w:id="337"/>
            <w:bookmarkEnd w:id="338"/>
          </w:p>
        </w:tc>
        <w:tc>
          <w:tcPr>
            <w:tcW w:w="1054" w:type="dxa"/>
            <w:tcBorders>
              <w:top w:val="dashSmallGap" w:sz="4" w:space="0" w:color="auto"/>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339" w:name="_Toc316366641"/>
            <w:bookmarkStart w:id="340" w:name="_Toc316453749"/>
            <w:bookmarkStart w:id="341" w:name="_Toc316462751"/>
            <w:bookmarkStart w:id="342" w:name="_Toc316477128"/>
            <w:bookmarkStart w:id="343" w:name="_Toc316539507"/>
            <w:r w:rsidRPr="0068678B">
              <w:rPr>
                <w:rFonts w:cs="Arial"/>
                <w:kern w:val="32"/>
                <w:sz w:val="18"/>
                <w:szCs w:val="18"/>
              </w:rPr>
              <w:t>Hydro100kW+</w:t>
            </w:r>
            <w:bookmarkEnd w:id="339"/>
            <w:bookmarkEnd w:id="340"/>
            <w:bookmarkEnd w:id="341"/>
            <w:bookmarkEnd w:id="342"/>
            <w:bookmarkEnd w:id="343"/>
          </w:p>
        </w:tc>
        <w:tc>
          <w:tcPr>
            <w:tcW w:w="1276" w:type="dxa"/>
            <w:tcBorders>
              <w:top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44" w:name="_Toc316366642"/>
            <w:bookmarkStart w:id="345" w:name="_Toc316453750"/>
            <w:bookmarkStart w:id="346" w:name="_Toc316462752"/>
            <w:bookmarkStart w:id="347" w:name="_Toc316477129"/>
            <w:bookmarkStart w:id="348" w:name="_Toc316539508"/>
            <w:r w:rsidRPr="0068678B">
              <w:rPr>
                <w:rFonts w:cs="Arial"/>
                <w:kern w:val="32"/>
                <w:sz w:val="18"/>
                <w:szCs w:val="18"/>
              </w:rPr>
              <w:t>10</w:t>
            </w:r>
            <w:bookmarkEnd w:id="344"/>
            <w:bookmarkEnd w:id="345"/>
            <w:bookmarkEnd w:id="346"/>
            <w:bookmarkEnd w:id="347"/>
            <w:bookmarkEnd w:id="348"/>
          </w:p>
        </w:tc>
        <w:tc>
          <w:tcPr>
            <w:tcW w:w="1276" w:type="dxa"/>
            <w:tcBorders>
              <w:top w:val="dashSmallGap" w:sz="4" w:space="0" w:color="auto"/>
              <w:left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49" w:name="_Toc316366643"/>
            <w:bookmarkStart w:id="350" w:name="_Toc316453751"/>
            <w:bookmarkStart w:id="351" w:name="_Toc316462753"/>
            <w:bookmarkStart w:id="352" w:name="_Toc316477130"/>
            <w:bookmarkStart w:id="353" w:name="_Toc316539509"/>
            <w:r w:rsidRPr="0068678B">
              <w:rPr>
                <w:rFonts w:cs="Arial"/>
                <w:kern w:val="32"/>
                <w:sz w:val="18"/>
                <w:szCs w:val="18"/>
              </w:rPr>
              <w:t>20</w:t>
            </w:r>
            <w:bookmarkEnd w:id="349"/>
            <w:bookmarkEnd w:id="350"/>
            <w:bookmarkEnd w:id="351"/>
            <w:bookmarkEnd w:id="352"/>
            <w:bookmarkEnd w:id="353"/>
          </w:p>
        </w:tc>
        <w:tc>
          <w:tcPr>
            <w:tcW w:w="1134" w:type="dxa"/>
            <w:tcBorders>
              <w:top w:val="dashSmallGap" w:sz="4" w:space="0" w:color="auto"/>
              <w:left w:val="dashSmallGap" w:sz="4" w:space="0" w:color="auto"/>
              <w:bottom w:val="single" w:sz="4" w:space="0" w:color="auto"/>
            </w:tcBorders>
            <w:vAlign w:val="center"/>
          </w:tcPr>
          <w:p w:rsidR="00E33523" w:rsidRPr="0068678B" w:rsidRDefault="00E33523" w:rsidP="00556829">
            <w:pPr>
              <w:spacing w:after="120"/>
              <w:rPr>
                <w:rFonts w:cs="Arial"/>
                <w:kern w:val="32"/>
                <w:sz w:val="18"/>
                <w:szCs w:val="18"/>
              </w:rPr>
            </w:pPr>
            <w:bookmarkStart w:id="354" w:name="_Toc316366644"/>
            <w:bookmarkStart w:id="355" w:name="_Toc316453752"/>
            <w:bookmarkStart w:id="356" w:name="_Toc316462754"/>
            <w:bookmarkStart w:id="357" w:name="_Toc316477131"/>
            <w:bookmarkStart w:id="358" w:name="_Toc316539510"/>
            <w:r w:rsidRPr="0068678B">
              <w:rPr>
                <w:rFonts w:cs="Arial"/>
                <w:kern w:val="32"/>
                <w:sz w:val="18"/>
                <w:szCs w:val="18"/>
              </w:rPr>
              <w:t>14</w:t>
            </w:r>
            <w:bookmarkEnd w:id="354"/>
            <w:bookmarkEnd w:id="355"/>
            <w:bookmarkEnd w:id="356"/>
            <w:bookmarkEnd w:id="357"/>
            <w:bookmarkEnd w:id="358"/>
          </w:p>
        </w:tc>
        <w:tc>
          <w:tcPr>
            <w:tcW w:w="1276" w:type="dxa"/>
            <w:tcBorders>
              <w:top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59" w:name="_Toc316366645"/>
            <w:bookmarkStart w:id="360" w:name="_Toc316453753"/>
            <w:bookmarkStart w:id="361" w:name="_Toc316462755"/>
            <w:bookmarkStart w:id="362" w:name="_Toc316477132"/>
            <w:bookmarkStart w:id="363" w:name="_Toc316539511"/>
            <w:r w:rsidRPr="0068678B">
              <w:rPr>
                <w:rFonts w:cs="Arial"/>
                <w:kern w:val="32"/>
                <w:sz w:val="18"/>
                <w:szCs w:val="18"/>
              </w:rPr>
              <w:t>30</w:t>
            </w:r>
            <w:bookmarkEnd w:id="359"/>
            <w:bookmarkEnd w:id="360"/>
            <w:bookmarkEnd w:id="361"/>
            <w:bookmarkEnd w:id="362"/>
            <w:bookmarkEnd w:id="363"/>
          </w:p>
        </w:tc>
        <w:tc>
          <w:tcPr>
            <w:tcW w:w="1417" w:type="dxa"/>
            <w:tcBorders>
              <w:top w:val="dashSmallGap" w:sz="4" w:space="0" w:color="auto"/>
              <w:left w:val="dashSmallGap" w:sz="4" w:space="0" w:color="auto"/>
              <w:bottom w:val="single"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64" w:name="_Toc316366646"/>
            <w:bookmarkStart w:id="365" w:name="_Toc316453754"/>
            <w:bookmarkStart w:id="366" w:name="_Toc316462756"/>
            <w:bookmarkStart w:id="367" w:name="_Toc316477133"/>
            <w:bookmarkStart w:id="368" w:name="_Toc316539512"/>
            <w:r w:rsidRPr="0068678B">
              <w:rPr>
                <w:rFonts w:cs="Arial"/>
                <w:kern w:val="32"/>
                <w:sz w:val="18"/>
                <w:szCs w:val="18"/>
              </w:rPr>
              <w:t>14.8</w:t>
            </w:r>
            <w:bookmarkEnd w:id="364"/>
            <w:bookmarkEnd w:id="365"/>
            <w:bookmarkEnd w:id="366"/>
            <w:bookmarkEnd w:id="367"/>
            <w:bookmarkEnd w:id="368"/>
          </w:p>
        </w:tc>
        <w:tc>
          <w:tcPr>
            <w:tcW w:w="1054" w:type="dxa"/>
            <w:tcBorders>
              <w:top w:val="dashSmallGap" w:sz="4" w:space="0" w:color="auto"/>
              <w:left w:val="dashSmallGap" w:sz="4" w:space="0" w:color="auto"/>
              <w:bottom w:val="single" w:sz="4" w:space="0" w:color="auto"/>
            </w:tcBorders>
            <w:vAlign w:val="center"/>
          </w:tcPr>
          <w:p w:rsidR="00E33523" w:rsidRPr="0068678B" w:rsidRDefault="00E33523" w:rsidP="00556829">
            <w:pPr>
              <w:spacing w:after="120"/>
              <w:rPr>
                <w:rFonts w:cs="Arial"/>
                <w:kern w:val="32"/>
                <w:sz w:val="18"/>
                <w:szCs w:val="18"/>
              </w:rPr>
            </w:pPr>
            <w:bookmarkStart w:id="369" w:name="_Toc316366647"/>
            <w:bookmarkStart w:id="370" w:name="_Toc316453755"/>
            <w:bookmarkStart w:id="371" w:name="_Toc316462757"/>
            <w:bookmarkStart w:id="372" w:name="_Toc316477134"/>
            <w:bookmarkStart w:id="373" w:name="_Toc316539513"/>
            <w:r w:rsidRPr="0068678B">
              <w:rPr>
                <w:rFonts w:cs="Arial"/>
                <w:kern w:val="32"/>
                <w:sz w:val="18"/>
                <w:szCs w:val="18"/>
              </w:rPr>
              <w:t>9.4</w:t>
            </w:r>
            <w:bookmarkEnd w:id="369"/>
            <w:bookmarkEnd w:id="370"/>
            <w:bookmarkEnd w:id="371"/>
            <w:bookmarkEnd w:id="372"/>
            <w:bookmarkEnd w:id="373"/>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374" w:name="_Toc316366648"/>
            <w:bookmarkStart w:id="375" w:name="_Toc316453756"/>
            <w:bookmarkStart w:id="376" w:name="_Toc316462758"/>
            <w:bookmarkStart w:id="377" w:name="_Toc316477135"/>
            <w:bookmarkStart w:id="378" w:name="_Toc316539514"/>
            <w:r w:rsidRPr="0068678B">
              <w:rPr>
                <w:rFonts w:cs="Arial"/>
                <w:kern w:val="32"/>
                <w:sz w:val="18"/>
                <w:szCs w:val="18"/>
              </w:rPr>
              <w:t>AD</w:t>
            </w:r>
            <w:r w:rsidRPr="0068678B">
              <w:rPr>
                <w:rFonts w:cs="Arial"/>
                <w:color w:val="000000"/>
                <w:kern w:val="32"/>
                <w:sz w:val="18"/>
                <w:szCs w:val="18"/>
                <w:lang w:val="en-US"/>
              </w:rPr>
              <w:t>&lt;500kW</w:t>
            </w:r>
            <w:bookmarkEnd w:id="374"/>
            <w:bookmarkEnd w:id="375"/>
            <w:bookmarkEnd w:id="376"/>
            <w:bookmarkEnd w:id="377"/>
            <w:bookmarkEnd w:id="378"/>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79" w:name="_Toc316366649"/>
            <w:bookmarkStart w:id="380" w:name="_Toc316453757"/>
            <w:bookmarkStart w:id="381" w:name="_Toc316462759"/>
            <w:bookmarkStart w:id="382" w:name="_Toc316477136"/>
            <w:bookmarkStart w:id="383" w:name="_Toc316539515"/>
            <w:r w:rsidRPr="0068678B">
              <w:rPr>
                <w:rFonts w:cs="Arial"/>
                <w:kern w:val="32"/>
                <w:sz w:val="18"/>
                <w:szCs w:val="18"/>
              </w:rPr>
              <w:t>16</w:t>
            </w:r>
            <w:bookmarkEnd w:id="379"/>
            <w:bookmarkEnd w:id="380"/>
            <w:bookmarkEnd w:id="381"/>
            <w:bookmarkEnd w:id="382"/>
            <w:bookmarkEnd w:id="383"/>
          </w:p>
        </w:tc>
        <w:tc>
          <w:tcPr>
            <w:tcW w:w="1276"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84" w:name="_Toc316366650"/>
            <w:bookmarkStart w:id="385" w:name="_Toc316453758"/>
            <w:bookmarkStart w:id="386" w:name="_Toc316462760"/>
            <w:bookmarkStart w:id="387" w:name="_Toc316477137"/>
            <w:bookmarkStart w:id="388" w:name="_Toc316539516"/>
            <w:r w:rsidRPr="0068678B">
              <w:rPr>
                <w:rFonts w:cs="Arial"/>
                <w:kern w:val="32"/>
                <w:sz w:val="18"/>
                <w:szCs w:val="18"/>
              </w:rPr>
              <w:t>7</w:t>
            </w:r>
            <w:bookmarkEnd w:id="384"/>
            <w:bookmarkEnd w:id="385"/>
            <w:bookmarkEnd w:id="386"/>
            <w:bookmarkEnd w:id="387"/>
            <w:bookmarkEnd w:id="388"/>
          </w:p>
        </w:tc>
        <w:tc>
          <w:tcPr>
            <w:tcW w:w="113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p>
        </w:tc>
        <w:tc>
          <w:tcPr>
            <w:tcW w:w="1276" w:type="dxa"/>
            <w:tcBorders>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89" w:name="_Toc316366651"/>
            <w:bookmarkStart w:id="390" w:name="_Toc316453759"/>
            <w:bookmarkStart w:id="391" w:name="_Toc316462761"/>
            <w:bookmarkStart w:id="392" w:name="_Toc316477138"/>
            <w:bookmarkStart w:id="393" w:name="_Toc316539517"/>
            <w:r w:rsidRPr="0068678B">
              <w:rPr>
                <w:rFonts w:cs="Arial"/>
                <w:kern w:val="32"/>
                <w:sz w:val="18"/>
                <w:szCs w:val="18"/>
              </w:rPr>
              <w:t>4</w:t>
            </w:r>
            <w:bookmarkEnd w:id="389"/>
            <w:bookmarkEnd w:id="390"/>
            <w:bookmarkEnd w:id="391"/>
            <w:bookmarkEnd w:id="392"/>
            <w:bookmarkEnd w:id="393"/>
          </w:p>
        </w:tc>
        <w:tc>
          <w:tcPr>
            <w:tcW w:w="1417" w:type="dxa"/>
            <w:tcBorders>
              <w:left w:val="dashSmallGap" w:sz="4" w:space="0" w:color="auto"/>
              <w:bottom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394" w:name="_Toc316366652"/>
            <w:bookmarkStart w:id="395" w:name="_Toc316453760"/>
            <w:bookmarkStart w:id="396" w:name="_Toc316462762"/>
            <w:bookmarkStart w:id="397" w:name="_Toc316477139"/>
            <w:bookmarkStart w:id="398" w:name="_Toc316539518"/>
            <w:r w:rsidRPr="0068678B">
              <w:rPr>
                <w:rFonts w:cs="Arial"/>
                <w:kern w:val="32"/>
                <w:sz w:val="18"/>
                <w:szCs w:val="18"/>
              </w:rPr>
              <w:t>2.7</w:t>
            </w:r>
            <w:bookmarkEnd w:id="394"/>
            <w:bookmarkEnd w:id="395"/>
            <w:bookmarkEnd w:id="396"/>
            <w:bookmarkEnd w:id="397"/>
            <w:bookmarkEnd w:id="398"/>
          </w:p>
        </w:tc>
        <w:tc>
          <w:tcPr>
            <w:tcW w:w="1054" w:type="dxa"/>
            <w:tcBorders>
              <w:left w:val="dashSmallGap" w:sz="4" w:space="0" w:color="auto"/>
              <w:bottom w:val="dashSmallGap" w:sz="4" w:space="0" w:color="auto"/>
            </w:tcBorders>
            <w:vAlign w:val="center"/>
          </w:tcPr>
          <w:p w:rsidR="00E33523" w:rsidRPr="0068678B" w:rsidRDefault="00E33523" w:rsidP="00556829">
            <w:pPr>
              <w:spacing w:after="120"/>
              <w:rPr>
                <w:rFonts w:cs="Arial"/>
                <w:kern w:val="32"/>
                <w:sz w:val="18"/>
                <w:szCs w:val="18"/>
              </w:rPr>
            </w:pPr>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399" w:name="_Toc316366653"/>
            <w:bookmarkStart w:id="400" w:name="_Toc316453761"/>
            <w:bookmarkStart w:id="401" w:name="_Toc316462763"/>
            <w:bookmarkStart w:id="402" w:name="_Toc316477140"/>
            <w:bookmarkStart w:id="403" w:name="_Toc316539519"/>
            <w:r w:rsidRPr="0068678B">
              <w:rPr>
                <w:rFonts w:cs="Arial"/>
                <w:kern w:val="32"/>
                <w:sz w:val="18"/>
                <w:szCs w:val="18"/>
              </w:rPr>
              <w:t>AD 500kW – 5MW</w:t>
            </w:r>
            <w:bookmarkEnd w:id="399"/>
            <w:bookmarkEnd w:id="400"/>
            <w:bookmarkEnd w:id="401"/>
            <w:bookmarkEnd w:id="402"/>
            <w:bookmarkEnd w:id="403"/>
          </w:p>
        </w:tc>
        <w:tc>
          <w:tcPr>
            <w:tcW w:w="1276" w:type="dxa"/>
            <w:tcBorders>
              <w:top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404" w:name="_Toc316366654"/>
            <w:bookmarkStart w:id="405" w:name="_Toc316453762"/>
            <w:bookmarkStart w:id="406" w:name="_Toc316462764"/>
            <w:bookmarkStart w:id="407" w:name="_Toc316477141"/>
            <w:bookmarkStart w:id="408" w:name="_Toc316539520"/>
            <w:r w:rsidRPr="0068678B">
              <w:rPr>
                <w:rFonts w:cs="Arial"/>
                <w:kern w:val="32"/>
                <w:sz w:val="18"/>
                <w:szCs w:val="18"/>
              </w:rPr>
              <w:t>3</w:t>
            </w:r>
            <w:bookmarkEnd w:id="404"/>
            <w:bookmarkEnd w:id="405"/>
            <w:bookmarkEnd w:id="406"/>
            <w:bookmarkEnd w:id="407"/>
            <w:bookmarkEnd w:id="408"/>
          </w:p>
        </w:tc>
        <w:tc>
          <w:tcPr>
            <w:tcW w:w="1276" w:type="dxa"/>
            <w:tcBorders>
              <w:top w:val="dashSmallGap" w:sz="4" w:space="0" w:color="auto"/>
              <w:left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409" w:name="_Toc316366655"/>
            <w:bookmarkStart w:id="410" w:name="_Toc316453763"/>
            <w:bookmarkStart w:id="411" w:name="_Toc316462765"/>
            <w:bookmarkStart w:id="412" w:name="_Toc316477142"/>
            <w:bookmarkStart w:id="413" w:name="_Toc316539521"/>
            <w:r w:rsidRPr="0068678B">
              <w:rPr>
                <w:rFonts w:cs="Arial"/>
                <w:kern w:val="32"/>
                <w:sz w:val="18"/>
                <w:szCs w:val="18"/>
              </w:rPr>
              <w:t>7</w:t>
            </w:r>
            <w:bookmarkEnd w:id="409"/>
            <w:bookmarkEnd w:id="410"/>
            <w:bookmarkEnd w:id="411"/>
            <w:bookmarkEnd w:id="412"/>
            <w:bookmarkEnd w:id="413"/>
          </w:p>
        </w:tc>
        <w:tc>
          <w:tcPr>
            <w:tcW w:w="1134" w:type="dxa"/>
            <w:tcBorders>
              <w:top w:val="dashSmallGap" w:sz="4" w:space="0" w:color="auto"/>
              <w:left w:val="dashSmallGap" w:sz="4" w:space="0" w:color="auto"/>
            </w:tcBorders>
            <w:vAlign w:val="center"/>
          </w:tcPr>
          <w:p w:rsidR="00E33523" w:rsidRPr="0068678B" w:rsidRDefault="00E33523" w:rsidP="00556829">
            <w:pPr>
              <w:spacing w:after="120"/>
              <w:rPr>
                <w:rFonts w:cs="Arial"/>
                <w:kern w:val="32"/>
                <w:sz w:val="18"/>
                <w:szCs w:val="18"/>
              </w:rPr>
            </w:pPr>
            <w:bookmarkStart w:id="414" w:name="_Toc316366656"/>
            <w:bookmarkStart w:id="415" w:name="_Toc316453764"/>
            <w:bookmarkStart w:id="416" w:name="_Toc316462766"/>
            <w:bookmarkStart w:id="417" w:name="_Toc316477143"/>
            <w:bookmarkStart w:id="418" w:name="_Toc316539522"/>
            <w:r w:rsidRPr="0068678B">
              <w:rPr>
                <w:rFonts w:cs="Arial"/>
                <w:kern w:val="32"/>
                <w:sz w:val="18"/>
                <w:szCs w:val="18"/>
              </w:rPr>
              <w:t>4</w:t>
            </w:r>
            <w:bookmarkEnd w:id="414"/>
            <w:bookmarkEnd w:id="415"/>
            <w:bookmarkEnd w:id="416"/>
            <w:bookmarkEnd w:id="417"/>
            <w:bookmarkEnd w:id="418"/>
            <w:r w:rsidRPr="0068678B">
              <w:rPr>
                <w:rFonts w:cs="Arial"/>
                <w:kern w:val="32"/>
                <w:sz w:val="18"/>
                <w:szCs w:val="18"/>
              </w:rPr>
              <w:t xml:space="preserve"> </w:t>
            </w:r>
          </w:p>
        </w:tc>
        <w:tc>
          <w:tcPr>
            <w:tcW w:w="1276" w:type="dxa"/>
            <w:tcBorders>
              <w:top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419" w:name="_Toc316366657"/>
            <w:bookmarkStart w:id="420" w:name="_Toc316453765"/>
            <w:bookmarkStart w:id="421" w:name="_Toc316462767"/>
            <w:bookmarkStart w:id="422" w:name="_Toc316477144"/>
            <w:bookmarkStart w:id="423" w:name="_Toc316539523"/>
            <w:r w:rsidRPr="0068678B">
              <w:rPr>
                <w:rFonts w:cs="Arial"/>
                <w:kern w:val="32"/>
                <w:sz w:val="18"/>
                <w:szCs w:val="18"/>
              </w:rPr>
              <w:t>3</w:t>
            </w:r>
            <w:bookmarkEnd w:id="419"/>
            <w:bookmarkEnd w:id="420"/>
            <w:bookmarkEnd w:id="421"/>
            <w:bookmarkEnd w:id="422"/>
            <w:bookmarkEnd w:id="423"/>
          </w:p>
        </w:tc>
        <w:tc>
          <w:tcPr>
            <w:tcW w:w="1417" w:type="dxa"/>
            <w:tcBorders>
              <w:top w:val="dashSmallGap" w:sz="4" w:space="0" w:color="auto"/>
              <w:left w:val="dashSmallGap" w:sz="4" w:space="0" w:color="auto"/>
              <w:right w:val="dashSmallGap" w:sz="4" w:space="0" w:color="auto"/>
            </w:tcBorders>
            <w:vAlign w:val="center"/>
          </w:tcPr>
          <w:p w:rsidR="00E33523" w:rsidRPr="0068678B" w:rsidRDefault="00E33523" w:rsidP="00556829">
            <w:pPr>
              <w:spacing w:after="120"/>
              <w:rPr>
                <w:rFonts w:cs="Arial"/>
                <w:kern w:val="32"/>
                <w:sz w:val="18"/>
                <w:szCs w:val="18"/>
              </w:rPr>
            </w:pPr>
            <w:bookmarkStart w:id="424" w:name="_Toc316366658"/>
            <w:bookmarkStart w:id="425" w:name="_Toc316453766"/>
            <w:bookmarkStart w:id="426" w:name="_Toc316462768"/>
            <w:bookmarkStart w:id="427" w:name="_Toc316477145"/>
            <w:bookmarkStart w:id="428" w:name="_Toc316539524"/>
            <w:r w:rsidRPr="0068678B">
              <w:rPr>
                <w:rFonts w:cs="Arial"/>
                <w:kern w:val="32"/>
                <w:sz w:val="18"/>
                <w:szCs w:val="18"/>
              </w:rPr>
              <w:t>9</w:t>
            </w:r>
            <w:bookmarkEnd w:id="424"/>
            <w:bookmarkEnd w:id="425"/>
            <w:bookmarkEnd w:id="426"/>
            <w:bookmarkEnd w:id="427"/>
            <w:bookmarkEnd w:id="428"/>
          </w:p>
        </w:tc>
        <w:tc>
          <w:tcPr>
            <w:tcW w:w="1054" w:type="dxa"/>
            <w:tcBorders>
              <w:top w:val="dashSmallGap" w:sz="4" w:space="0" w:color="auto"/>
              <w:left w:val="dashSmallGap" w:sz="4" w:space="0" w:color="auto"/>
            </w:tcBorders>
            <w:vAlign w:val="center"/>
          </w:tcPr>
          <w:p w:rsidR="00E33523" w:rsidRPr="0068678B" w:rsidRDefault="00E33523" w:rsidP="00556829">
            <w:pPr>
              <w:spacing w:after="120"/>
              <w:rPr>
                <w:rFonts w:cs="Arial"/>
                <w:kern w:val="32"/>
                <w:sz w:val="18"/>
                <w:szCs w:val="18"/>
              </w:rPr>
            </w:pPr>
            <w:bookmarkStart w:id="429" w:name="_Toc316366659"/>
            <w:bookmarkStart w:id="430" w:name="_Toc316453767"/>
            <w:bookmarkStart w:id="431" w:name="_Toc316462769"/>
            <w:bookmarkStart w:id="432" w:name="_Toc316477146"/>
            <w:bookmarkStart w:id="433" w:name="_Toc316539525"/>
            <w:r w:rsidRPr="0068678B">
              <w:rPr>
                <w:rFonts w:cs="Arial"/>
                <w:kern w:val="32"/>
                <w:sz w:val="18"/>
                <w:szCs w:val="18"/>
              </w:rPr>
              <w:t>7.5</w:t>
            </w:r>
            <w:bookmarkEnd w:id="429"/>
            <w:bookmarkEnd w:id="430"/>
            <w:bookmarkEnd w:id="431"/>
            <w:bookmarkEnd w:id="432"/>
            <w:bookmarkEnd w:id="433"/>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434" w:name="_Toc316366660"/>
            <w:bookmarkStart w:id="435" w:name="_Toc316453768"/>
            <w:bookmarkStart w:id="436" w:name="_Toc316462770"/>
            <w:bookmarkStart w:id="437" w:name="_Toc316477147"/>
            <w:bookmarkStart w:id="438" w:name="_Toc316539526"/>
            <w:r w:rsidRPr="0068678B">
              <w:rPr>
                <w:rFonts w:cs="Arial"/>
                <w:kern w:val="32"/>
                <w:sz w:val="18"/>
                <w:szCs w:val="18"/>
              </w:rPr>
              <w:t>Micro CHP</w:t>
            </w:r>
            <w:bookmarkEnd w:id="434"/>
            <w:bookmarkEnd w:id="435"/>
            <w:bookmarkEnd w:id="436"/>
            <w:bookmarkEnd w:id="437"/>
            <w:bookmarkEnd w:id="438"/>
          </w:p>
        </w:tc>
        <w:tc>
          <w:tcPr>
            <w:tcW w:w="1276" w:type="dxa"/>
            <w:vAlign w:val="center"/>
          </w:tcPr>
          <w:p w:rsidR="00E33523" w:rsidRPr="0068678B" w:rsidRDefault="00E33523" w:rsidP="00556829">
            <w:pPr>
              <w:spacing w:after="120"/>
              <w:rPr>
                <w:rFonts w:cs="Arial"/>
                <w:kern w:val="32"/>
                <w:sz w:val="18"/>
                <w:szCs w:val="18"/>
              </w:rPr>
            </w:pPr>
            <w:bookmarkStart w:id="439" w:name="_Toc316366661"/>
            <w:bookmarkStart w:id="440" w:name="_Toc316453769"/>
            <w:bookmarkStart w:id="441" w:name="_Toc316462771"/>
            <w:bookmarkStart w:id="442" w:name="_Toc316477148"/>
            <w:bookmarkStart w:id="443" w:name="_Toc316539527"/>
            <w:r w:rsidRPr="0068678B">
              <w:rPr>
                <w:rFonts w:cs="Arial"/>
                <w:kern w:val="32"/>
                <w:sz w:val="18"/>
                <w:szCs w:val="18"/>
              </w:rPr>
              <w:t>8,250</w:t>
            </w:r>
            <w:bookmarkEnd w:id="439"/>
            <w:bookmarkEnd w:id="440"/>
            <w:bookmarkEnd w:id="441"/>
            <w:bookmarkEnd w:id="442"/>
            <w:bookmarkEnd w:id="443"/>
          </w:p>
        </w:tc>
        <w:tc>
          <w:tcPr>
            <w:tcW w:w="1276" w:type="dxa"/>
            <w:vAlign w:val="center"/>
          </w:tcPr>
          <w:p w:rsidR="00E33523" w:rsidRPr="0068678B" w:rsidRDefault="00E33523" w:rsidP="00556829">
            <w:pPr>
              <w:spacing w:after="120"/>
              <w:rPr>
                <w:rFonts w:cs="Arial"/>
                <w:kern w:val="32"/>
                <w:sz w:val="18"/>
                <w:szCs w:val="18"/>
              </w:rPr>
            </w:pPr>
            <w:bookmarkStart w:id="444" w:name="_Toc316366662"/>
            <w:bookmarkStart w:id="445" w:name="_Toc316453770"/>
            <w:bookmarkStart w:id="446" w:name="_Toc316462772"/>
            <w:bookmarkStart w:id="447" w:name="_Toc316477149"/>
            <w:bookmarkStart w:id="448" w:name="_Toc316539528"/>
            <w:r w:rsidRPr="0068678B">
              <w:rPr>
                <w:rFonts w:cs="Arial"/>
                <w:kern w:val="32"/>
                <w:sz w:val="18"/>
                <w:szCs w:val="18"/>
              </w:rPr>
              <w:t>315</w:t>
            </w:r>
            <w:bookmarkEnd w:id="444"/>
            <w:bookmarkEnd w:id="445"/>
            <w:bookmarkEnd w:id="446"/>
            <w:bookmarkEnd w:id="447"/>
            <w:bookmarkEnd w:id="448"/>
          </w:p>
        </w:tc>
        <w:tc>
          <w:tcPr>
            <w:tcW w:w="1134" w:type="dxa"/>
            <w:vAlign w:val="center"/>
          </w:tcPr>
          <w:p w:rsidR="00E33523" w:rsidRPr="0068678B" w:rsidRDefault="00E33523" w:rsidP="00556829">
            <w:pPr>
              <w:spacing w:after="120"/>
              <w:rPr>
                <w:rFonts w:cs="Arial"/>
                <w:kern w:val="32"/>
                <w:sz w:val="18"/>
                <w:szCs w:val="18"/>
              </w:rPr>
            </w:pPr>
            <w:bookmarkStart w:id="449" w:name="_Toc316366663"/>
            <w:bookmarkStart w:id="450" w:name="_Toc316453771"/>
            <w:bookmarkStart w:id="451" w:name="_Toc316462773"/>
            <w:bookmarkStart w:id="452" w:name="_Toc316477150"/>
            <w:bookmarkStart w:id="453" w:name="_Toc316539529"/>
            <w:r w:rsidRPr="0068678B">
              <w:rPr>
                <w:rFonts w:cs="Arial"/>
                <w:kern w:val="32"/>
                <w:sz w:val="18"/>
                <w:szCs w:val="18"/>
              </w:rPr>
              <w:t>129</w:t>
            </w:r>
            <w:bookmarkEnd w:id="449"/>
            <w:bookmarkEnd w:id="450"/>
            <w:bookmarkEnd w:id="451"/>
            <w:bookmarkEnd w:id="452"/>
            <w:bookmarkEnd w:id="453"/>
          </w:p>
        </w:tc>
        <w:tc>
          <w:tcPr>
            <w:tcW w:w="1276" w:type="dxa"/>
            <w:vAlign w:val="center"/>
          </w:tcPr>
          <w:p w:rsidR="00E33523" w:rsidRPr="0068678B" w:rsidRDefault="00E33523" w:rsidP="00556829">
            <w:pPr>
              <w:spacing w:after="120"/>
              <w:rPr>
                <w:rFonts w:cs="Arial"/>
                <w:kern w:val="32"/>
                <w:sz w:val="18"/>
                <w:szCs w:val="18"/>
              </w:rPr>
            </w:pPr>
            <w:bookmarkStart w:id="454" w:name="_Toc316366664"/>
            <w:bookmarkStart w:id="455" w:name="_Toc316453772"/>
            <w:bookmarkStart w:id="456" w:name="_Toc316462774"/>
            <w:bookmarkStart w:id="457" w:name="_Toc316477151"/>
            <w:bookmarkStart w:id="458" w:name="_Toc316539530"/>
            <w:r w:rsidRPr="0068678B">
              <w:rPr>
                <w:rFonts w:cs="Arial"/>
                <w:kern w:val="32"/>
                <w:sz w:val="18"/>
                <w:szCs w:val="18"/>
              </w:rPr>
              <w:t>8</w:t>
            </w:r>
            <w:bookmarkEnd w:id="454"/>
            <w:bookmarkEnd w:id="455"/>
            <w:bookmarkEnd w:id="456"/>
            <w:bookmarkEnd w:id="457"/>
            <w:bookmarkEnd w:id="458"/>
          </w:p>
        </w:tc>
        <w:tc>
          <w:tcPr>
            <w:tcW w:w="1417" w:type="dxa"/>
            <w:vAlign w:val="center"/>
          </w:tcPr>
          <w:p w:rsidR="00E33523" w:rsidRPr="0068678B" w:rsidRDefault="00E33523" w:rsidP="00556829">
            <w:pPr>
              <w:spacing w:after="120"/>
              <w:rPr>
                <w:rFonts w:cs="Arial"/>
                <w:kern w:val="32"/>
                <w:sz w:val="18"/>
                <w:szCs w:val="18"/>
              </w:rPr>
            </w:pPr>
            <w:bookmarkStart w:id="459" w:name="_Toc316366665"/>
            <w:bookmarkStart w:id="460" w:name="_Toc316453773"/>
            <w:bookmarkStart w:id="461" w:name="_Toc316462775"/>
            <w:bookmarkStart w:id="462" w:name="_Toc316477152"/>
            <w:bookmarkStart w:id="463" w:name="_Toc316539531"/>
            <w:r w:rsidRPr="0068678B">
              <w:rPr>
                <w:rFonts w:cs="Arial"/>
                <w:kern w:val="32"/>
                <w:sz w:val="18"/>
                <w:szCs w:val="18"/>
              </w:rPr>
              <w:t>0.3</w:t>
            </w:r>
            <w:bookmarkEnd w:id="459"/>
            <w:bookmarkEnd w:id="460"/>
            <w:bookmarkEnd w:id="461"/>
            <w:bookmarkEnd w:id="462"/>
            <w:bookmarkEnd w:id="463"/>
          </w:p>
        </w:tc>
        <w:tc>
          <w:tcPr>
            <w:tcW w:w="1054" w:type="dxa"/>
            <w:vAlign w:val="center"/>
          </w:tcPr>
          <w:p w:rsidR="00E33523" w:rsidRPr="0068678B" w:rsidRDefault="00E33523" w:rsidP="00556829">
            <w:pPr>
              <w:spacing w:after="120"/>
              <w:rPr>
                <w:rFonts w:cs="Arial"/>
                <w:kern w:val="32"/>
                <w:sz w:val="18"/>
                <w:szCs w:val="18"/>
              </w:rPr>
            </w:pPr>
            <w:bookmarkStart w:id="464" w:name="_Toc316366666"/>
            <w:bookmarkStart w:id="465" w:name="_Toc316453774"/>
            <w:bookmarkStart w:id="466" w:name="_Toc316462776"/>
            <w:bookmarkStart w:id="467" w:name="_Toc316477153"/>
            <w:bookmarkStart w:id="468" w:name="_Toc316539532"/>
            <w:r w:rsidRPr="0068678B">
              <w:rPr>
                <w:rFonts w:cs="Arial"/>
                <w:kern w:val="32"/>
                <w:sz w:val="18"/>
                <w:szCs w:val="18"/>
              </w:rPr>
              <w:t>0.1</w:t>
            </w:r>
            <w:bookmarkEnd w:id="464"/>
            <w:bookmarkEnd w:id="465"/>
            <w:bookmarkEnd w:id="466"/>
            <w:bookmarkEnd w:id="467"/>
            <w:bookmarkEnd w:id="468"/>
          </w:p>
        </w:tc>
      </w:tr>
      <w:tr w:rsidR="00E33523" w:rsidRPr="0068678B" w:rsidTr="0039005D">
        <w:tc>
          <w:tcPr>
            <w:tcW w:w="1985" w:type="dxa"/>
          </w:tcPr>
          <w:p w:rsidR="00E33523" w:rsidRPr="0068678B" w:rsidRDefault="00E33523" w:rsidP="00556829">
            <w:pPr>
              <w:spacing w:after="120"/>
              <w:rPr>
                <w:rFonts w:cs="Arial"/>
                <w:kern w:val="32"/>
                <w:sz w:val="18"/>
                <w:szCs w:val="18"/>
              </w:rPr>
            </w:pPr>
            <w:bookmarkStart w:id="469" w:name="_Toc316366667"/>
            <w:bookmarkStart w:id="470" w:name="_Toc316453775"/>
            <w:bookmarkStart w:id="471" w:name="_Toc316462777"/>
            <w:bookmarkStart w:id="472" w:name="_Toc316477154"/>
            <w:bookmarkStart w:id="473" w:name="_Toc316539533"/>
            <w:r w:rsidRPr="0068678B">
              <w:rPr>
                <w:rFonts w:cs="Arial"/>
                <w:kern w:val="32"/>
                <w:sz w:val="18"/>
                <w:szCs w:val="18"/>
              </w:rPr>
              <w:t>Total</w:t>
            </w:r>
            <w:r w:rsidRPr="0068678B">
              <w:rPr>
                <w:rFonts w:cs="Arial"/>
                <w:kern w:val="32"/>
                <w:sz w:val="18"/>
                <w:szCs w:val="18"/>
                <w:vertAlign w:val="superscript"/>
              </w:rPr>
              <w:t>1</w:t>
            </w:r>
            <w:bookmarkEnd w:id="469"/>
            <w:bookmarkEnd w:id="470"/>
            <w:bookmarkEnd w:id="471"/>
            <w:bookmarkEnd w:id="472"/>
            <w:bookmarkEnd w:id="473"/>
          </w:p>
        </w:tc>
        <w:tc>
          <w:tcPr>
            <w:tcW w:w="1276" w:type="dxa"/>
            <w:vAlign w:val="center"/>
          </w:tcPr>
          <w:p w:rsidR="00E33523" w:rsidRPr="0068678B" w:rsidRDefault="00E33523" w:rsidP="00556829">
            <w:pPr>
              <w:spacing w:after="120"/>
              <w:rPr>
                <w:rFonts w:cs="Arial"/>
                <w:kern w:val="32"/>
                <w:sz w:val="18"/>
                <w:szCs w:val="18"/>
              </w:rPr>
            </w:pPr>
            <w:bookmarkStart w:id="474" w:name="_Toc316366668"/>
            <w:bookmarkStart w:id="475" w:name="_Toc316453776"/>
            <w:bookmarkStart w:id="476" w:name="_Toc316462778"/>
            <w:bookmarkStart w:id="477" w:name="_Toc316477155"/>
            <w:bookmarkStart w:id="478" w:name="_Toc316539534"/>
            <w:r w:rsidRPr="0068678B">
              <w:rPr>
                <w:rFonts w:cs="Arial"/>
                <w:kern w:val="32"/>
                <w:sz w:val="18"/>
                <w:szCs w:val="18"/>
              </w:rPr>
              <w:t>57,879</w:t>
            </w:r>
            <w:bookmarkEnd w:id="474"/>
            <w:bookmarkEnd w:id="475"/>
            <w:bookmarkEnd w:id="476"/>
            <w:bookmarkEnd w:id="477"/>
            <w:bookmarkEnd w:id="478"/>
          </w:p>
        </w:tc>
        <w:tc>
          <w:tcPr>
            <w:tcW w:w="1276" w:type="dxa"/>
            <w:vAlign w:val="center"/>
          </w:tcPr>
          <w:p w:rsidR="00E33523" w:rsidRPr="0068678B" w:rsidRDefault="00E33523" w:rsidP="00556829">
            <w:pPr>
              <w:spacing w:after="120"/>
              <w:rPr>
                <w:rFonts w:cs="Arial"/>
                <w:kern w:val="32"/>
                <w:sz w:val="18"/>
                <w:szCs w:val="18"/>
              </w:rPr>
            </w:pPr>
            <w:bookmarkStart w:id="479" w:name="_Toc316366669"/>
            <w:bookmarkStart w:id="480" w:name="_Toc316453777"/>
            <w:bookmarkStart w:id="481" w:name="_Toc316462779"/>
            <w:bookmarkStart w:id="482" w:name="_Toc316477156"/>
            <w:bookmarkStart w:id="483" w:name="_Toc316539535"/>
            <w:r w:rsidRPr="0068678B">
              <w:rPr>
                <w:rFonts w:cs="Arial"/>
                <w:kern w:val="32"/>
                <w:sz w:val="18"/>
                <w:szCs w:val="18"/>
              </w:rPr>
              <w:t>143,347</w:t>
            </w:r>
            <w:bookmarkEnd w:id="479"/>
            <w:bookmarkEnd w:id="480"/>
            <w:bookmarkEnd w:id="481"/>
            <w:bookmarkEnd w:id="482"/>
            <w:bookmarkEnd w:id="483"/>
          </w:p>
        </w:tc>
        <w:tc>
          <w:tcPr>
            <w:tcW w:w="1134" w:type="dxa"/>
            <w:vAlign w:val="center"/>
          </w:tcPr>
          <w:p w:rsidR="00E33523" w:rsidRPr="0068678B" w:rsidRDefault="00E33523" w:rsidP="00556829">
            <w:pPr>
              <w:spacing w:after="120"/>
              <w:rPr>
                <w:rFonts w:cs="Arial"/>
                <w:kern w:val="32"/>
                <w:sz w:val="18"/>
                <w:szCs w:val="18"/>
              </w:rPr>
            </w:pPr>
            <w:bookmarkStart w:id="484" w:name="_Toc316366670"/>
            <w:bookmarkStart w:id="485" w:name="_Toc316453778"/>
            <w:bookmarkStart w:id="486" w:name="_Toc316462780"/>
            <w:bookmarkStart w:id="487" w:name="_Toc316477157"/>
            <w:bookmarkStart w:id="488" w:name="_Toc316539536"/>
            <w:r w:rsidRPr="0068678B">
              <w:rPr>
                <w:rFonts w:cs="Arial"/>
                <w:kern w:val="32"/>
                <w:sz w:val="18"/>
                <w:szCs w:val="18"/>
              </w:rPr>
              <w:t>90,183</w:t>
            </w:r>
            <w:bookmarkEnd w:id="484"/>
            <w:bookmarkEnd w:id="485"/>
            <w:bookmarkEnd w:id="486"/>
            <w:bookmarkEnd w:id="487"/>
            <w:bookmarkEnd w:id="488"/>
          </w:p>
        </w:tc>
        <w:tc>
          <w:tcPr>
            <w:tcW w:w="1276" w:type="dxa"/>
            <w:vAlign w:val="center"/>
          </w:tcPr>
          <w:p w:rsidR="00E33523" w:rsidRPr="0068678B" w:rsidRDefault="00E33523" w:rsidP="00556829">
            <w:pPr>
              <w:spacing w:after="120"/>
              <w:rPr>
                <w:rFonts w:cs="Arial"/>
                <w:kern w:val="32"/>
                <w:sz w:val="18"/>
                <w:szCs w:val="18"/>
              </w:rPr>
            </w:pPr>
            <w:bookmarkStart w:id="489" w:name="_Toc316366671"/>
            <w:bookmarkStart w:id="490" w:name="_Toc316453779"/>
            <w:bookmarkStart w:id="491" w:name="_Toc316462781"/>
            <w:bookmarkStart w:id="492" w:name="_Toc316477158"/>
            <w:bookmarkStart w:id="493" w:name="_Toc316539537"/>
            <w:r w:rsidRPr="0068678B">
              <w:rPr>
                <w:rFonts w:cs="Arial"/>
                <w:kern w:val="32"/>
                <w:sz w:val="18"/>
                <w:szCs w:val="18"/>
              </w:rPr>
              <w:t>292</w:t>
            </w:r>
            <w:bookmarkEnd w:id="489"/>
            <w:bookmarkEnd w:id="490"/>
            <w:bookmarkEnd w:id="491"/>
            <w:bookmarkEnd w:id="492"/>
            <w:bookmarkEnd w:id="493"/>
          </w:p>
        </w:tc>
        <w:tc>
          <w:tcPr>
            <w:tcW w:w="1417" w:type="dxa"/>
            <w:vAlign w:val="center"/>
          </w:tcPr>
          <w:p w:rsidR="00E33523" w:rsidRPr="0068678B" w:rsidRDefault="00E33523" w:rsidP="00556829">
            <w:pPr>
              <w:spacing w:after="120"/>
              <w:rPr>
                <w:rFonts w:cs="Arial"/>
                <w:kern w:val="32"/>
                <w:sz w:val="18"/>
                <w:szCs w:val="18"/>
              </w:rPr>
            </w:pPr>
            <w:bookmarkStart w:id="494" w:name="_Toc316366672"/>
            <w:bookmarkStart w:id="495" w:name="_Toc316453780"/>
            <w:bookmarkStart w:id="496" w:name="_Toc316462782"/>
            <w:bookmarkStart w:id="497" w:name="_Toc316477159"/>
            <w:bookmarkStart w:id="498" w:name="_Toc316539538"/>
            <w:r w:rsidRPr="0068678B">
              <w:rPr>
                <w:rFonts w:cs="Arial"/>
                <w:kern w:val="32"/>
                <w:sz w:val="18"/>
                <w:szCs w:val="18"/>
              </w:rPr>
              <w:t>646.1</w:t>
            </w:r>
            <w:bookmarkEnd w:id="494"/>
            <w:bookmarkEnd w:id="495"/>
            <w:bookmarkEnd w:id="496"/>
            <w:bookmarkEnd w:id="497"/>
            <w:bookmarkEnd w:id="498"/>
          </w:p>
        </w:tc>
        <w:tc>
          <w:tcPr>
            <w:tcW w:w="1054" w:type="dxa"/>
            <w:vAlign w:val="center"/>
          </w:tcPr>
          <w:p w:rsidR="00E33523" w:rsidRPr="0068678B" w:rsidRDefault="00E33523" w:rsidP="00556829">
            <w:pPr>
              <w:spacing w:after="120"/>
              <w:rPr>
                <w:rFonts w:cs="Arial"/>
                <w:kern w:val="32"/>
                <w:sz w:val="18"/>
                <w:szCs w:val="18"/>
              </w:rPr>
            </w:pPr>
            <w:bookmarkStart w:id="499" w:name="_Toc316366673"/>
            <w:bookmarkStart w:id="500" w:name="_Toc316453781"/>
            <w:bookmarkStart w:id="501" w:name="_Toc316462783"/>
            <w:bookmarkStart w:id="502" w:name="_Toc316477160"/>
            <w:bookmarkStart w:id="503" w:name="_Toc316539539"/>
            <w:r w:rsidRPr="0068678B">
              <w:rPr>
                <w:rFonts w:cs="Arial"/>
                <w:kern w:val="32"/>
                <w:sz w:val="18"/>
                <w:szCs w:val="18"/>
              </w:rPr>
              <w:t>434.7</w:t>
            </w:r>
            <w:bookmarkEnd w:id="499"/>
            <w:bookmarkEnd w:id="500"/>
            <w:bookmarkEnd w:id="501"/>
            <w:bookmarkEnd w:id="502"/>
            <w:bookmarkEnd w:id="503"/>
          </w:p>
        </w:tc>
      </w:tr>
    </w:tbl>
    <w:p w:rsidR="0015126F" w:rsidRDefault="0015126F" w:rsidP="00554495">
      <w:pPr>
        <w:pStyle w:val="Caption"/>
        <w:spacing w:after="120"/>
        <w:rPr>
          <w:b w:val="0"/>
          <w:sz w:val="20"/>
          <w:szCs w:val="20"/>
        </w:rPr>
      </w:pPr>
    </w:p>
    <w:p w:rsidR="00706B89" w:rsidRDefault="00706B89" w:rsidP="00554495">
      <w:pPr>
        <w:pStyle w:val="Caption"/>
        <w:spacing w:after="120"/>
        <w:rPr>
          <w:b w:val="0"/>
          <w:sz w:val="20"/>
          <w:szCs w:val="20"/>
        </w:rPr>
      </w:pPr>
      <w:r>
        <w:rPr>
          <w:b w:val="0"/>
          <w:sz w:val="20"/>
          <w:szCs w:val="20"/>
        </w:rPr>
        <w:t>Notes:</w:t>
      </w:r>
    </w:p>
    <w:p w:rsidR="007108A2" w:rsidRPr="00706B89" w:rsidRDefault="007108A2" w:rsidP="00556829">
      <w:pPr>
        <w:pStyle w:val="Caption"/>
        <w:numPr>
          <w:ilvl w:val="0"/>
          <w:numId w:val="27"/>
        </w:numPr>
        <w:spacing w:after="0"/>
        <w:ind w:left="499" w:hanging="357"/>
        <w:rPr>
          <w:b w:val="0"/>
          <w:sz w:val="20"/>
          <w:szCs w:val="20"/>
        </w:rPr>
      </w:pPr>
      <w:r w:rsidRPr="00992B51">
        <w:rPr>
          <w:b w:val="0"/>
          <w:sz w:val="20"/>
          <w:szCs w:val="20"/>
        </w:rPr>
        <w:t>Capacity may not add up exactly due to rounding</w:t>
      </w:r>
      <w:r w:rsidR="00706B89">
        <w:rPr>
          <w:b w:val="0"/>
          <w:sz w:val="20"/>
          <w:szCs w:val="20"/>
        </w:rPr>
        <w:t xml:space="preserve"> </w:t>
      </w:r>
    </w:p>
    <w:p w:rsidR="00706B89" w:rsidRDefault="00706B89" w:rsidP="00556829">
      <w:pPr>
        <w:pStyle w:val="Caption"/>
        <w:numPr>
          <w:ilvl w:val="0"/>
          <w:numId w:val="27"/>
        </w:numPr>
        <w:spacing w:after="0"/>
        <w:ind w:left="499" w:hanging="357"/>
        <w:rPr>
          <w:b w:val="0"/>
          <w:sz w:val="20"/>
          <w:szCs w:val="20"/>
        </w:rPr>
      </w:pPr>
      <w:r w:rsidRPr="00706B89">
        <w:rPr>
          <w:b w:val="0"/>
          <w:sz w:val="20"/>
          <w:szCs w:val="20"/>
        </w:rPr>
        <w:t>Predictions were produced on an annual basis, so predicted uptake to end December calculated as 9/12 of annual uptake</w:t>
      </w:r>
    </w:p>
    <w:p w:rsidR="0018188B" w:rsidRPr="00992B51" w:rsidRDefault="0018188B" w:rsidP="00556829">
      <w:pPr>
        <w:pStyle w:val="Caption"/>
        <w:numPr>
          <w:ilvl w:val="0"/>
          <w:numId w:val="27"/>
        </w:numPr>
        <w:spacing w:after="0"/>
        <w:ind w:left="499" w:hanging="357"/>
        <w:rPr>
          <w:b w:val="0"/>
          <w:sz w:val="20"/>
          <w:szCs w:val="20"/>
        </w:rPr>
      </w:pPr>
      <w:r w:rsidRPr="00992B51">
        <w:rPr>
          <w:b w:val="0"/>
          <w:sz w:val="20"/>
          <w:szCs w:val="20"/>
        </w:rPr>
        <w:t>RO transfers onto FIT have been excluded, so figures are lower than table 1 that includes RO transfers</w:t>
      </w:r>
    </w:p>
    <w:p w:rsidR="0018188B" w:rsidRPr="00992B51" w:rsidRDefault="007108A2" w:rsidP="00556829">
      <w:pPr>
        <w:pStyle w:val="Caption"/>
        <w:numPr>
          <w:ilvl w:val="0"/>
          <w:numId w:val="27"/>
        </w:numPr>
        <w:spacing w:after="0"/>
        <w:ind w:left="499" w:hanging="357"/>
        <w:rPr>
          <w:b w:val="0"/>
          <w:sz w:val="20"/>
          <w:szCs w:val="20"/>
        </w:rPr>
      </w:pPr>
      <w:r w:rsidRPr="00992B51">
        <w:rPr>
          <w:b w:val="0"/>
          <w:sz w:val="20"/>
          <w:szCs w:val="20"/>
        </w:rPr>
        <w:t xml:space="preserve">Pipeline data comprises installations on the MCS database but not yet on Ofgem’s  Central FIT Register, plus information from Ofgem on larger scale installations </w:t>
      </w:r>
      <w:r w:rsidR="0018188B" w:rsidRPr="00992B51">
        <w:rPr>
          <w:b w:val="0"/>
          <w:sz w:val="20"/>
          <w:szCs w:val="20"/>
        </w:rPr>
        <w:t>(&gt;50kW) that are currently in the ROO-FIT accreditation process. Note that these accreditation applications are in process and may not all realize FIT support</w:t>
      </w:r>
      <w:r w:rsidR="00781144">
        <w:rPr>
          <w:b w:val="0"/>
          <w:sz w:val="20"/>
          <w:szCs w:val="20"/>
        </w:rPr>
        <w:t>.</w:t>
      </w:r>
    </w:p>
    <w:p w:rsidR="007108A2" w:rsidRDefault="0018188B" w:rsidP="00556829">
      <w:pPr>
        <w:pStyle w:val="Caption"/>
        <w:numPr>
          <w:ilvl w:val="0"/>
          <w:numId w:val="27"/>
        </w:numPr>
        <w:spacing w:after="0"/>
        <w:ind w:left="499" w:hanging="357"/>
        <w:rPr>
          <w:b w:val="0"/>
          <w:sz w:val="20"/>
          <w:szCs w:val="20"/>
        </w:rPr>
      </w:pPr>
      <w:r w:rsidRPr="00992B51">
        <w:rPr>
          <w:b w:val="0"/>
          <w:sz w:val="20"/>
          <w:szCs w:val="20"/>
        </w:rPr>
        <w:t>32</w:t>
      </w:r>
      <w:r w:rsidR="00094F70" w:rsidRPr="00992B51">
        <w:rPr>
          <w:b w:val="0"/>
          <w:sz w:val="20"/>
          <w:szCs w:val="20"/>
        </w:rPr>
        <w:t xml:space="preserve"> </w:t>
      </w:r>
      <w:r w:rsidRPr="00992B51">
        <w:rPr>
          <w:b w:val="0"/>
          <w:sz w:val="20"/>
          <w:szCs w:val="20"/>
        </w:rPr>
        <w:t>MW of sub 5</w:t>
      </w:r>
      <w:r w:rsidR="00706B89">
        <w:rPr>
          <w:b w:val="0"/>
          <w:sz w:val="20"/>
          <w:szCs w:val="20"/>
        </w:rPr>
        <w:t xml:space="preserve"> </w:t>
      </w:r>
      <w:r w:rsidRPr="00992B51">
        <w:rPr>
          <w:b w:val="0"/>
          <w:sz w:val="20"/>
          <w:szCs w:val="20"/>
        </w:rPr>
        <w:t>MW wind installations joined the RO instead</w:t>
      </w:r>
    </w:p>
    <w:p w:rsidR="0015126F" w:rsidRPr="0015126F" w:rsidRDefault="0015126F" w:rsidP="0015126F">
      <w:pPr>
        <w:pStyle w:val="NoSpacing"/>
      </w:pPr>
    </w:p>
    <w:p w:rsidR="008421E2" w:rsidRPr="003A49D0" w:rsidRDefault="00727D75" w:rsidP="00986EAF">
      <w:pPr>
        <w:pStyle w:val="DECCnumberingBold"/>
      </w:pPr>
      <w:r w:rsidRPr="003A49D0">
        <w:lastRenderedPageBreak/>
        <w:t>Of the installations that have been incentivised by the FITs scheme up to the end of December 2011, 141,598 (96.2%) of the installations were solar PV</w:t>
      </w:r>
      <w:r w:rsidR="004A1BFD">
        <w:t>,</w:t>
      </w:r>
      <w:r w:rsidRPr="003A49D0">
        <w:t xml:space="preserve"> with 136,530 </w:t>
      </w:r>
      <w:r w:rsidR="00C715FE">
        <w:t xml:space="preserve">of </w:t>
      </w:r>
      <w:r w:rsidRPr="003A49D0">
        <w:t>these being retrofit installations less than or equal to 4</w:t>
      </w:r>
      <w:r w:rsidR="0015683C">
        <w:t xml:space="preserve"> </w:t>
      </w:r>
      <w:r w:rsidRPr="003A49D0">
        <w:t>k</w:t>
      </w:r>
      <w:r w:rsidR="00706B89">
        <w:t>W</w:t>
      </w:r>
      <w:r w:rsidRPr="003A49D0">
        <w:t xml:space="preserve"> (mainly on domestic properties). This translates </w:t>
      </w:r>
      <w:r w:rsidR="006B2955" w:rsidRPr="003A49D0">
        <w:t>in</w:t>
      </w:r>
      <w:r w:rsidRPr="003A49D0">
        <w:t>to 60% of total capacity of 662 MW for all solar PV installations. Figure</w:t>
      </w:r>
      <w:r w:rsidR="0079336B" w:rsidRPr="003A49D0">
        <w:t>s</w:t>
      </w:r>
      <w:r w:rsidRPr="003A49D0">
        <w:t xml:space="preserve"> 1 and 2 shows the cumulative total installed capacity and cumulative number of installation</w:t>
      </w:r>
      <w:r w:rsidR="006B2955" w:rsidRPr="003A49D0">
        <w:t>s</w:t>
      </w:r>
      <w:r w:rsidRPr="003A49D0">
        <w:t xml:space="preserve"> over </w:t>
      </w:r>
      <w:r w:rsidR="006B2955" w:rsidRPr="003A49D0">
        <w:t xml:space="preserve">the first </w:t>
      </w:r>
      <w:r w:rsidRPr="003A49D0">
        <w:t>21 months of the scheme</w:t>
      </w:r>
      <w:r w:rsidR="006B2955" w:rsidRPr="003A49D0">
        <w:t>.</w:t>
      </w:r>
    </w:p>
    <w:p w:rsidR="008421E2" w:rsidRPr="003A49D0" w:rsidRDefault="008421E2" w:rsidP="003A49D0">
      <w:pPr>
        <w:pStyle w:val="Caption"/>
        <w:rPr>
          <w:sz w:val="20"/>
          <w:szCs w:val="20"/>
        </w:rPr>
      </w:pPr>
      <w:r w:rsidRPr="003A49D0">
        <w:rPr>
          <w:sz w:val="20"/>
          <w:szCs w:val="20"/>
        </w:rPr>
        <w:t xml:space="preserve">Figure </w:t>
      </w:r>
      <w:r w:rsidR="00727D75" w:rsidRPr="003A49D0">
        <w:rPr>
          <w:sz w:val="20"/>
          <w:szCs w:val="20"/>
        </w:rPr>
        <w:t>1</w:t>
      </w:r>
      <w:r w:rsidRPr="003A49D0">
        <w:rPr>
          <w:sz w:val="20"/>
          <w:szCs w:val="20"/>
        </w:rPr>
        <w:t>: Cumulative installed capacity confirmed for each month up to December 2011.</w:t>
      </w:r>
    </w:p>
    <w:p w:rsidR="0075197B" w:rsidRDefault="00C10817" w:rsidP="0068678B">
      <w:pPr>
        <w:pStyle w:val="DECCnumberingBold"/>
        <w:numPr>
          <w:ilvl w:val="0"/>
          <w:numId w:val="0"/>
        </w:numPr>
        <w:ind w:left="426"/>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1.75pt;height:276.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">
            <v:imagedata r:id="rId20" o:title="" cropbottom="-12f"/>
            <o:lock v:ext="edit" aspectratio="f"/>
          </v:shape>
        </w:pict>
      </w:r>
    </w:p>
    <w:p w:rsidR="008421E2" w:rsidRPr="003A49D0" w:rsidRDefault="00556829" w:rsidP="003A49D0">
      <w:pPr>
        <w:pStyle w:val="Caption"/>
        <w:rPr>
          <w:noProof/>
          <w:sz w:val="20"/>
          <w:szCs w:val="20"/>
          <w:lang w:eastAsia="en-GB"/>
        </w:rPr>
      </w:pPr>
      <w:r>
        <w:rPr>
          <w:noProof/>
          <w:sz w:val="20"/>
          <w:szCs w:val="20"/>
          <w:lang w:eastAsia="en-GB"/>
        </w:rPr>
        <w:br w:type="page"/>
      </w:r>
      <w:r w:rsidR="008421E2" w:rsidRPr="003A49D0">
        <w:rPr>
          <w:noProof/>
          <w:sz w:val="20"/>
          <w:szCs w:val="20"/>
          <w:lang w:eastAsia="en-GB"/>
        </w:rPr>
        <w:t xml:space="preserve">Figure </w:t>
      </w:r>
      <w:r w:rsidR="00727D75" w:rsidRPr="003A49D0">
        <w:rPr>
          <w:noProof/>
          <w:sz w:val="20"/>
          <w:szCs w:val="20"/>
          <w:lang w:eastAsia="en-GB"/>
        </w:rPr>
        <w:t>2</w:t>
      </w:r>
      <w:r w:rsidR="008421E2" w:rsidRPr="003A49D0">
        <w:rPr>
          <w:noProof/>
          <w:sz w:val="20"/>
          <w:szCs w:val="20"/>
          <w:lang w:eastAsia="en-GB"/>
        </w:rPr>
        <w:t>: Cumulative total number of installations confirmed for each month up to December 2011.</w:t>
      </w:r>
    </w:p>
    <w:p w:rsidR="0075197B" w:rsidRDefault="00C10817" w:rsidP="00D71692">
      <w:pPr>
        <w:pStyle w:val="DECCnumberingBold"/>
        <w:numPr>
          <w:ilvl w:val="0"/>
          <w:numId w:val="0"/>
        </w:numPr>
        <w:ind w:left="142"/>
      </w:pPr>
      <w:r>
        <w:rPr>
          <w:noProof/>
          <w:lang w:eastAsia="en-GB"/>
        </w:rPr>
        <w:pict>
          <v:shape id="_x0000_i1038" type="#_x0000_t75" style="width:433.5pt;height:304.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">
            <v:imagedata r:id="rId21" o:title="" cropbottom="-43f"/>
            <o:lock v:ext="edit" aspectratio="f"/>
          </v:shape>
        </w:pict>
      </w:r>
    </w:p>
    <w:p w:rsidR="008421E2" w:rsidRDefault="00727D75" w:rsidP="00986EAF">
      <w:pPr>
        <w:pStyle w:val="DECCnumberingBold"/>
      </w:pPr>
      <w:r>
        <w:lastRenderedPageBreak/>
        <w:t>At 31</w:t>
      </w:r>
      <w:r w:rsidR="00C715FE">
        <w:t xml:space="preserve"> </w:t>
      </w:r>
      <w:r>
        <w:t xml:space="preserve">December 2011, there </w:t>
      </w:r>
      <w:r w:rsidR="00C715FE">
        <w:t>we</w:t>
      </w:r>
      <w:r>
        <w:t xml:space="preserve">re </w:t>
      </w:r>
      <w:r w:rsidRPr="00E429F9">
        <w:t>2</w:t>
      </w:r>
      <w:r>
        <w:t>55</w:t>
      </w:r>
      <w:r w:rsidRPr="00E429F9">
        <w:t xml:space="preserve"> h</w:t>
      </w:r>
      <w:r>
        <w:t>ydro installations with a total installed capacity of 18</w:t>
      </w:r>
      <w:r w:rsidRPr="00E429F9">
        <w:t>MW</w:t>
      </w:r>
      <w:r>
        <w:t xml:space="preserve"> covered by the FITs scheme. Of these, 71 </w:t>
      </w:r>
      <w:r w:rsidRPr="00B71B60">
        <w:t xml:space="preserve">were </w:t>
      </w:r>
      <w:r>
        <w:t>non-domestic schemes which represented 16</w:t>
      </w:r>
      <w:r w:rsidRPr="00B71B60">
        <w:t xml:space="preserve"> MW of capacity, </w:t>
      </w:r>
      <w:r>
        <w:t>2.4</w:t>
      </w:r>
      <w:r w:rsidRPr="00B71B60">
        <w:t>% of the total</w:t>
      </w:r>
      <w:r>
        <w:t xml:space="preserve"> overall capacity</w:t>
      </w:r>
      <w:r w:rsidRPr="00B71B60">
        <w:t>.</w:t>
      </w:r>
      <w:r>
        <w:t xml:space="preserve"> </w:t>
      </w:r>
      <w:r w:rsidRPr="00B71B60">
        <w:t>Of overall capacit</w:t>
      </w:r>
      <w:r>
        <w:t>y, wind turbines represented 5.2</w:t>
      </w:r>
      <w:r w:rsidRPr="00B71B60">
        <w:t>%</w:t>
      </w:r>
      <w:r>
        <w:t xml:space="preserve"> of capacity (34.7 MW), from 2,081</w:t>
      </w:r>
      <w:r w:rsidRPr="00B71B60">
        <w:t xml:space="preserve"> installations</w:t>
      </w:r>
      <w:r>
        <w:t xml:space="preserve">. Of these, 485 are </w:t>
      </w:r>
      <w:r w:rsidRPr="00D5544B">
        <w:t>non-domestic installations with 22 MW of capacity, 3.3% of total overall</w:t>
      </w:r>
      <w:r>
        <w:t xml:space="preserve"> capacity. There were 565 </w:t>
      </w:r>
      <w:r w:rsidRPr="00B71B60">
        <w:t>PV install</w:t>
      </w:r>
      <w:r>
        <w:t xml:space="preserve">ations with capacities above 50 </w:t>
      </w:r>
      <w:r w:rsidRPr="00B71B60">
        <w:t xml:space="preserve">kW, totalling </w:t>
      </w:r>
      <w:r>
        <w:t>150 MW</w:t>
      </w:r>
      <w:r w:rsidRPr="00B71B60">
        <w:t xml:space="preserve"> accredited for FITs</w:t>
      </w:r>
      <w:r w:rsidR="008421E2" w:rsidRPr="00B71B60">
        <w:t xml:space="preserve">. </w:t>
      </w:r>
    </w:p>
    <w:p w:rsidR="008606AC" w:rsidRDefault="008606AC" w:rsidP="0015126F">
      <w:pPr>
        <w:pStyle w:val="NoSpacing"/>
        <w:rPr>
          <w:b/>
          <w:color w:val="00B0F0"/>
          <w:sz w:val="28"/>
          <w:szCs w:val="28"/>
        </w:rPr>
      </w:pPr>
      <w:bookmarkStart w:id="504" w:name="_Toc316462784"/>
      <w:r w:rsidRPr="0015126F">
        <w:rPr>
          <w:b/>
          <w:color w:val="00B0F0"/>
          <w:sz w:val="28"/>
          <w:szCs w:val="28"/>
        </w:rPr>
        <w:t>Cost</w:t>
      </w:r>
      <w:bookmarkEnd w:id="504"/>
    </w:p>
    <w:p w:rsidR="0015126F" w:rsidRPr="0015126F" w:rsidRDefault="0015126F" w:rsidP="0015126F">
      <w:pPr>
        <w:pStyle w:val="NoSpacing"/>
        <w:rPr>
          <w:b/>
          <w:color w:val="00B0F0"/>
          <w:sz w:val="28"/>
          <w:szCs w:val="28"/>
        </w:rPr>
      </w:pPr>
    </w:p>
    <w:p w:rsidR="001567E5" w:rsidRDefault="005C0E84" w:rsidP="00986EAF">
      <w:pPr>
        <w:pStyle w:val="DECCnumberingBold"/>
      </w:pPr>
      <w:r>
        <w:t xml:space="preserve"> </w:t>
      </w:r>
      <w:r w:rsidR="001567E5">
        <w:t>The announcement of the Phase</w:t>
      </w:r>
      <w:r w:rsidR="008606AC">
        <w:t xml:space="preserve"> </w:t>
      </w:r>
      <w:r w:rsidR="001567E5">
        <w:t xml:space="preserve">1 consultation which set out proposals for changes to solar PV tariffs on 31 October saw the number of solar PV installations increasing by </w:t>
      </w:r>
      <w:r w:rsidR="001B42D7">
        <w:t xml:space="preserve">more </w:t>
      </w:r>
      <w:r w:rsidR="001567E5">
        <w:t xml:space="preserve">than </w:t>
      </w:r>
      <w:r w:rsidR="00757D64">
        <w:t xml:space="preserve">six times as much as </w:t>
      </w:r>
      <w:r w:rsidR="001567E5">
        <w:t>was originally projected at the start of the scheme. The number of installations with total installed capacity confirmed on the FITs Central register over the period is shown in Table 3.</w:t>
      </w:r>
    </w:p>
    <w:p w:rsidR="00B121DD" w:rsidRDefault="00B121DD" w:rsidP="00627EDF">
      <w:pPr>
        <w:pStyle w:val="Caption"/>
        <w:spacing w:after="120"/>
        <w:jc w:val="center"/>
        <w:rPr>
          <w:sz w:val="20"/>
          <w:szCs w:val="20"/>
        </w:rPr>
      </w:pPr>
    </w:p>
    <w:p w:rsidR="001567E5" w:rsidRPr="006F541D" w:rsidRDefault="00B121DD" w:rsidP="00627EDF">
      <w:pPr>
        <w:pStyle w:val="Caption"/>
        <w:spacing w:after="120"/>
        <w:jc w:val="center"/>
        <w:rPr>
          <w:sz w:val="20"/>
          <w:szCs w:val="20"/>
        </w:rPr>
      </w:pPr>
      <w:r>
        <w:rPr>
          <w:sz w:val="20"/>
          <w:szCs w:val="20"/>
        </w:rPr>
        <w:br w:type="page"/>
      </w:r>
      <w:r w:rsidR="00AE5200" w:rsidRPr="006F541D">
        <w:rPr>
          <w:sz w:val="20"/>
          <w:szCs w:val="20"/>
        </w:rPr>
        <w:t>Table 3: Number and Capacity on FITs Central Register at end of December 2011</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393"/>
        <w:gridCol w:w="1826"/>
        <w:gridCol w:w="1962"/>
        <w:gridCol w:w="1826"/>
      </w:tblGrid>
      <w:tr w:rsidR="001567E5" w:rsidRPr="00DE7A53" w:rsidTr="001567E5">
        <w:trPr>
          <w:trHeight w:val="57"/>
        </w:trPr>
        <w:tc>
          <w:tcPr>
            <w:tcW w:w="2235" w:type="dxa"/>
            <w:vAlign w:val="center"/>
          </w:tcPr>
          <w:p w:rsidR="001567E5" w:rsidRPr="00AD62A0" w:rsidRDefault="001567E5" w:rsidP="001567E5">
            <w:pPr>
              <w:spacing w:after="0"/>
              <w:jc w:val="center"/>
              <w:rPr>
                <w:rFonts w:cs="Arial"/>
                <w:b/>
                <w:sz w:val="22"/>
              </w:rPr>
            </w:pPr>
            <w:r w:rsidRPr="00AD62A0">
              <w:rPr>
                <w:rFonts w:cs="Arial"/>
                <w:b/>
                <w:sz w:val="22"/>
              </w:rPr>
              <w:t>Technology</w:t>
            </w:r>
          </w:p>
        </w:tc>
        <w:tc>
          <w:tcPr>
            <w:tcW w:w="3219" w:type="dxa"/>
            <w:gridSpan w:val="2"/>
            <w:vAlign w:val="center"/>
          </w:tcPr>
          <w:p w:rsidR="001567E5" w:rsidRPr="00AD62A0" w:rsidRDefault="001567E5" w:rsidP="001567E5">
            <w:pPr>
              <w:spacing w:after="0"/>
              <w:jc w:val="center"/>
              <w:rPr>
                <w:rFonts w:cs="Arial"/>
                <w:b/>
                <w:sz w:val="22"/>
              </w:rPr>
            </w:pPr>
            <w:r w:rsidRPr="00AD62A0">
              <w:rPr>
                <w:rFonts w:cs="Arial"/>
                <w:b/>
                <w:sz w:val="22"/>
              </w:rPr>
              <w:t>Number</w:t>
            </w:r>
          </w:p>
        </w:tc>
        <w:tc>
          <w:tcPr>
            <w:tcW w:w="3788" w:type="dxa"/>
            <w:gridSpan w:val="2"/>
            <w:vAlign w:val="center"/>
          </w:tcPr>
          <w:p w:rsidR="001567E5" w:rsidRPr="00327E01" w:rsidRDefault="001567E5" w:rsidP="001567E5">
            <w:pPr>
              <w:spacing w:after="0"/>
              <w:jc w:val="center"/>
              <w:rPr>
                <w:rFonts w:cs="Arial"/>
                <w:b/>
                <w:sz w:val="22"/>
              </w:rPr>
            </w:pPr>
            <w:r w:rsidRPr="00327E01">
              <w:rPr>
                <w:rFonts w:cs="Arial"/>
                <w:b/>
                <w:sz w:val="22"/>
              </w:rPr>
              <w:t>Capacity</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b/>
                <w:sz w:val="22"/>
              </w:rPr>
            </w:pPr>
          </w:p>
        </w:tc>
        <w:tc>
          <w:tcPr>
            <w:tcW w:w="1393" w:type="dxa"/>
            <w:vAlign w:val="center"/>
          </w:tcPr>
          <w:p w:rsidR="001567E5" w:rsidRPr="00AD62A0" w:rsidRDefault="001567E5" w:rsidP="001567E5">
            <w:pPr>
              <w:spacing w:after="0"/>
              <w:jc w:val="center"/>
              <w:rPr>
                <w:rFonts w:cs="Arial"/>
                <w:b/>
                <w:sz w:val="22"/>
              </w:rPr>
            </w:pPr>
            <w:r w:rsidRPr="00AD62A0">
              <w:rPr>
                <w:rFonts w:cs="Arial"/>
                <w:b/>
                <w:sz w:val="22"/>
              </w:rPr>
              <w:t>N</w:t>
            </w:r>
          </w:p>
        </w:tc>
        <w:tc>
          <w:tcPr>
            <w:tcW w:w="1826" w:type="dxa"/>
            <w:vAlign w:val="center"/>
          </w:tcPr>
          <w:p w:rsidR="001567E5" w:rsidRPr="00AD62A0" w:rsidRDefault="001567E5" w:rsidP="001567E5">
            <w:pPr>
              <w:spacing w:after="0"/>
              <w:jc w:val="center"/>
              <w:rPr>
                <w:rFonts w:cs="Arial"/>
                <w:b/>
                <w:sz w:val="22"/>
              </w:rPr>
            </w:pPr>
            <w:r w:rsidRPr="00AD62A0">
              <w:rPr>
                <w:rFonts w:cs="Arial"/>
                <w:b/>
                <w:sz w:val="22"/>
              </w:rPr>
              <w:t>%</w:t>
            </w:r>
          </w:p>
        </w:tc>
        <w:tc>
          <w:tcPr>
            <w:tcW w:w="1962" w:type="dxa"/>
            <w:vAlign w:val="center"/>
          </w:tcPr>
          <w:p w:rsidR="001567E5" w:rsidRPr="00327E01" w:rsidRDefault="001567E5" w:rsidP="001567E5">
            <w:pPr>
              <w:spacing w:after="0"/>
              <w:jc w:val="center"/>
              <w:rPr>
                <w:rFonts w:cs="Arial"/>
                <w:b/>
                <w:sz w:val="22"/>
              </w:rPr>
            </w:pPr>
            <w:r w:rsidRPr="00327E01">
              <w:rPr>
                <w:rFonts w:cs="Arial"/>
                <w:b/>
                <w:sz w:val="22"/>
              </w:rPr>
              <w:t>MW</w:t>
            </w:r>
          </w:p>
        </w:tc>
        <w:tc>
          <w:tcPr>
            <w:tcW w:w="1826" w:type="dxa"/>
            <w:vAlign w:val="center"/>
          </w:tcPr>
          <w:p w:rsidR="001567E5" w:rsidRPr="00327E01" w:rsidRDefault="001567E5" w:rsidP="001567E5">
            <w:pPr>
              <w:spacing w:after="0"/>
              <w:jc w:val="center"/>
              <w:rPr>
                <w:rFonts w:cs="Arial"/>
                <w:b/>
                <w:sz w:val="22"/>
              </w:rPr>
            </w:pPr>
            <w:r w:rsidRPr="00327E01">
              <w:rPr>
                <w:rFonts w:cs="Arial"/>
                <w:b/>
                <w:sz w:val="22"/>
              </w:rPr>
              <w:t>%</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sz w:val="22"/>
              </w:rPr>
            </w:pPr>
            <w:r w:rsidRPr="00AD62A0">
              <w:rPr>
                <w:rFonts w:cs="Arial"/>
                <w:sz w:val="22"/>
              </w:rPr>
              <w:t>Photovoltaic</w:t>
            </w:r>
          </w:p>
        </w:tc>
        <w:tc>
          <w:tcPr>
            <w:tcW w:w="1393" w:type="dxa"/>
            <w:vAlign w:val="center"/>
          </w:tcPr>
          <w:p w:rsidR="001567E5" w:rsidRPr="00AD62A0" w:rsidRDefault="001567E5" w:rsidP="001567E5">
            <w:pPr>
              <w:spacing w:after="0"/>
              <w:jc w:val="center"/>
              <w:rPr>
                <w:rFonts w:cs="Arial"/>
                <w:sz w:val="22"/>
              </w:rPr>
            </w:pPr>
            <w:r>
              <w:rPr>
                <w:rFonts w:cs="Arial"/>
                <w:sz w:val="22"/>
              </w:rPr>
              <w:t>144,567</w:t>
            </w:r>
          </w:p>
        </w:tc>
        <w:tc>
          <w:tcPr>
            <w:tcW w:w="1826" w:type="dxa"/>
            <w:vAlign w:val="center"/>
          </w:tcPr>
          <w:p w:rsidR="001567E5" w:rsidRPr="00AD62A0" w:rsidRDefault="001567E5" w:rsidP="001567E5">
            <w:pPr>
              <w:spacing w:after="0"/>
              <w:jc w:val="center"/>
              <w:rPr>
                <w:rFonts w:cs="Arial"/>
                <w:sz w:val="22"/>
              </w:rPr>
            </w:pPr>
            <w:r>
              <w:rPr>
                <w:rFonts w:cs="Arial"/>
                <w:sz w:val="22"/>
              </w:rPr>
              <w:t>98.2%</w:t>
            </w:r>
          </w:p>
        </w:tc>
        <w:tc>
          <w:tcPr>
            <w:tcW w:w="1962" w:type="dxa"/>
            <w:vAlign w:val="center"/>
          </w:tcPr>
          <w:p w:rsidR="001567E5" w:rsidRPr="00AD62A0" w:rsidRDefault="001567E5" w:rsidP="001567E5">
            <w:pPr>
              <w:spacing w:after="0"/>
              <w:jc w:val="center"/>
              <w:rPr>
                <w:rFonts w:cs="Arial"/>
                <w:sz w:val="22"/>
              </w:rPr>
            </w:pPr>
            <w:r w:rsidRPr="001040C7">
              <w:rPr>
                <w:rFonts w:cs="Arial"/>
                <w:sz w:val="22"/>
              </w:rPr>
              <w:t>596</w:t>
            </w:r>
            <w:r>
              <w:rPr>
                <w:rFonts w:cs="Arial"/>
                <w:sz w:val="22"/>
              </w:rPr>
              <w:t>.</w:t>
            </w:r>
            <w:r w:rsidRPr="001040C7">
              <w:rPr>
                <w:rFonts w:cs="Arial"/>
                <w:sz w:val="22"/>
              </w:rPr>
              <w:t>6</w:t>
            </w:r>
          </w:p>
        </w:tc>
        <w:tc>
          <w:tcPr>
            <w:tcW w:w="1826" w:type="dxa"/>
            <w:vAlign w:val="center"/>
          </w:tcPr>
          <w:p w:rsidR="001567E5" w:rsidRPr="00327E01" w:rsidRDefault="001567E5" w:rsidP="001567E5">
            <w:pPr>
              <w:spacing w:after="0"/>
              <w:jc w:val="center"/>
              <w:rPr>
                <w:rFonts w:cs="Arial"/>
                <w:sz w:val="22"/>
              </w:rPr>
            </w:pPr>
            <w:r>
              <w:rPr>
                <w:rFonts w:cs="Arial"/>
                <w:sz w:val="22"/>
              </w:rPr>
              <w:t>90.2%</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sz w:val="22"/>
              </w:rPr>
            </w:pPr>
            <w:r w:rsidRPr="00AD62A0">
              <w:rPr>
                <w:rFonts w:cs="Arial"/>
                <w:sz w:val="22"/>
              </w:rPr>
              <w:t>Hydro</w:t>
            </w:r>
          </w:p>
        </w:tc>
        <w:tc>
          <w:tcPr>
            <w:tcW w:w="1393" w:type="dxa"/>
            <w:vAlign w:val="center"/>
          </w:tcPr>
          <w:p w:rsidR="001567E5" w:rsidRPr="00AD62A0" w:rsidRDefault="001567E5" w:rsidP="001567E5">
            <w:pPr>
              <w:spacing w:after="0"/>
              <w:jc w:val="center"/>
              <w:rPr>
                <w:rFonts w:cs="Arial"/>
                <w:sz w:val="22"/>
              </w:rPr>
            </w:pPr>
            <w:r>
              <w:rPr>
                <w:rFonts w:cs="Arial"/>
                <w:sz w:val="22"/>
              </w:rPr>
              <w:t>255</w:t>
            </w:r>
          </w:p>
        </w:tc>
        <w:tc>
          <w:tcPr>
            <w:tcW w:w="1826" w:type="dxa"/>
            <w:vAlign w:val="center"/>
          </w:tcPr>
          <w:p w:rsidR="001567E5" w:rsidRPr="00AD62A0" w:rsidRDefault="001567E5" w:rsidP="001567E5">
            <w:pPr>
              <w:spacing w:after="0"/>
              <w:jc w:val="center"/>
              <w:rPr>
                <w:rFonts w:cs="Arial"/>
                <w:sz w:val="22"/>
              </w:rPr>
            </w:pPr>
            <w:r>
              <w:rPr>
                <w:rFonts w:cs="Arial"/>
                <w:sz w:val="22"/>
              </w:rPr>
              <w:t>0.2%</w:t>
            </w:r>
          </w:p>
        </w:tc>
        <w:tc>
          <w:tcPr>
            <w:tcW w:w="1962" w:type="dxa"/>
            <w:vAlign w:val="center"/>
          </w:tcPr>
          <w:p w:rsidR="001567E5" w:rsidRPr="00AD62A0" w:rsidRDefault="001567E5" w:rsidP="001567E5">
            <w:pPr>
              <w:spacing w:after="0"/>
              <w:jc w:val="center"/>
              <w:rPr>
                <w:rFonts w:cs="Arial"/>
                <w:sz w:val="22"/>
              </w:rPr>
            </w:pPr>
            <w:r>
              <w:rPr>
                <w:rFonts w:cs="Arial"/>
                <w:sz w:val="22"/>
              </w:rPr>
              <w:t>18.2</w:t>
            </w:r>
          </w:p>
        </w:tc>
        <w:tc>
          <w:tcPr>
            <w:tcW w:w="1826" w:type="dxa"/>
            <w:vAlign w:val="center"/>
          </w:tcPr>
          <w:p w:rsidR="001567E5" w:rsidRPr="00327E01" w:rsidRDefault="001567E5" w:rsidP="001567E5">
            <w:pPr>
              <w:spacing w:after="0"/>
              <w:jc w:val="center"/>
              <w:rPr>
                <w:rFonts w:cs="Arial"/>
                <w:sz w:val="22"/>
              </w:rPr>
            </w:pPr>
            <w:r>
              <w:rPr>
                <w:rFonts w:cs="Arial"/>
                <w:sz w:val="22"/>
              </w:rPr>
              <w:t>2.7%</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sz w:val="22"/>
              </w:rPr>
            </w:pPr>
            <w:r w:rsidRPr="00AD62A0">
              <w:rPr>
                <w:rFonts w:cs="Arial"/>
                <w:sz w:val="22"/>
              </w:rPr>
              <w:t>Wind</w:t>
            </w:r>
          </w:p>
        </w:tc>
        <w:tc>
          <w:tcPr>
            <w:tcW w:w="1393" w:type="dxa"/>
            <w:vAlign w:val="center"/>
          </w:tcPr>
          <w:p w:rsidR="001567E5" w:rsidRPr="00AD62A0" w:rsidRDefault="001567E5" w:rsidP="001567E5">
            <w:pPr>
              <w:spacing w:after="0"/>
              <w:jc w:val="center"/>
              <w:rPr>
                <w:rFonts w:cs="Arial"/>
                <w:sz w:val="22"/>
              </w:rPr>
            </w:pPr>
            <w:r>
              <w:rPr>
                <w:rFonts w:cs="Arial"/>
                <w:sz w:val="22"/>
              </w:rPr>
              <w:t>2,080</w:t>
            </w:r>
          </w:p>
        </w:tc>
        <w:tc>
          <w:tcPr>
            <w:tcW w:w="1826" w:type="dxa"/>
            <w:vAlign w:val="center"/>
          </w:tcPr>
          <w:p w:rsidR="001567E5" w:rsidRPr="00AD62A0" w:rsidRDefault="001567E5" w:rsidP="001567E5">
            <w:pPr>
              <w:spacing w:after="0"/>
              <w:jc w:val="center"/>
              <w:rPr>
                <w:rFonts w:cs="Arial"/>
                <w:sz w:val="22"/>
              </w:rPr>
            </w:pPr>
            <w:r>
              <w:rPr>
                <w:rFonts w:cs="Arial"/>
                <w:sz w:val="22"/>
              </w:rPr>
              <w:t>1.4%</w:t>
            </w:r>
          </w:p>
        </w:tc>
        <w:tc>
          <w:tcPr>
            <w:tcW w:w="1962" w:type="dxa"/>
            <w:vAlign w:val="center"/>
          </w:tcPr>
          <w:p w:rsidR="001567E5" w:rsidRPr="00AD62A0" w:rsidRDefault="001567E5" w:rsidP="001567E5">
            <w:pPr>
              <w:spacing w:after="0"/>
              <w:jc w:val="center"/>
              <w:rPr>
                <w:rFonts w:cs="Arial"/>
                <w:sz w:val="22"/>
              </w:rPr>
            </w:pPr>
            <w:r>
              <w:rPr>
                <w:rFonts w:cs="Arial"/>
                <w:sz w:val="22"/>
              </w:rPr>
              <w:t>34.7</w:t>
            </w:r>
          </w:p>
        </w:tc>
        <w:tc>
          <w:tcPr>
            <w:tcW w:w="1826" w:type="dxa"/>
            <w:vAlign w:val="center"/>
          </w:tcPr>
          <w:p w:rsidR="001567E5" w:rsidRPr="00327E01" w:rsidRDefault="001567E5" w:rsidP="001567E5">
            <w:pPr>
              <w:spacing w:after="0"/>
              <w:jc w:val="center"/>
              <w:rPr>
                <w:rFonts w:cs="Arial"/>
                <w:sz w:val="22"/>
              </w:rPr>
            </w:pPr>
            <w:r>
              <w:rPr>
                <w:rFonts w:cs="Arial"/>
                <w:sz w:val="22"/>
              </w:rPr>
              <w:t>5.2%</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sz w:val="22"/>
              </w:rPr>
            </w:pPr>
            <w:r w:rsidRPr="00AD62A0">
              <w:rPr>
                <w:rFonts w:cs="Arial"/>
                <w:sz w:val="22"/>
              </w:rPr>
              <w:t>Micro-CHP</w:t>
            </w:r>
          </w:p>
        </w:tc>
        <w:tc>
          <w:tcPr>
            <w:tcW w:w="1393" w:type="dxa"/>
            <w:vAlign w:val="center"/>
          </w:tcPr>
          <w:p w:rsidR="001567E5" w:rsidRPr="00AD62A0" w:rsidRDefault="001567E5" w:rsidP="001567E5">
            <w:pPr>
              <w:spacing w:after="0"/>
              <w:jc w:val="center"/>
              <w:rPr>
                <w:rFonts w:cs="Arial"/>
                <w:sz w:val="22"/>
              </w:rPr>
            </w:pPr>
            <w:r>
              <w:rPr>
                <w:rFonts w:cs="Arial"/>
                <w:sz w:val="22"/>
              </w:rPr>
              <w:t>315</w:t>
            </w:r>
          </w:p>
        </w:tc>
        <w:tc>
          <w:tcPr>
            <w:tcW w:w="1826" w:type="dxa"/>
            <w:vAlign w:val="center"/>
          </w:tcPr>
          <w:p w:rsidR="001567E5" w:rsidRPr="00AD62A0" w:rsidRDefault="001567E5" w:rsidP="001567E5">
            <w:pPr>
              <w:spacing w:after="0"/>
              <w:jc w:val="center"/>
              <w:rPr>
                <w:rFonts w:cs="Arial"/>
                <w:sz w:val="22"/>
              </w:rPr>
            </w:pPr>
            <w:r>
              <w:rPr>
                <w:rFonts w:cs="Arial"/>
                <w:sz w:val="22"/>
              </w:rPr>
              <w:t>0.2%</w:t>
            </w:r>
          </w:p>
        </w:tc>
        <w:tc>
          <w:tcPr>
            <w:tcW w:w="1962" w:type="dxa"/>
            <w:vAlign w:val="center"/>
          </w:tcPr>
          <w:p w:rsidR="001567E5" w:rsidRPr="00AD62A0" w:rsidRDefault="001567E5" w:rsidP="001567E5">
            <w:pPr>
              <w:spacing w:after="0"/>
              <w:jc w:val="center"/>
              <w:rPr>
                <w:rFonts w:cs="Arial"/>
                <w:sz w:val="22"/>
              </w:rPr>
            </w:pPr>
            <w:r>
              <w:rPr>
                <w:rFonts w:cs="Arial"/>
                <w:sz w:val="22"/>
              </w:rPr>
              <w:t>0.3</w:t>
            </w:r>
          </w:p>
        </w:tc>
        <w:tc>
          <w:tcPr>
            <w:tcW w:w="1826" w:type="dxa"/>
            <w:vAlign w:val="center"/>
          </w:tcPr>
          <w:p w:rsidR="001567E5" w:rsidRPr="00327E01" w:rsidRDefault="001567E5" w:rsidP="001567E5">
            <w:pPr>
              <w:spacing w:after="0"/>
              <w:jc w:val="center"/>
              <w:rPr>
                <w:rFonts w:cs="Arial"/>
                <w:sz w:val="22"/>
              </w:rPr>
            </w:pPr>
            <w:r>
              <w:rPr>
                <w:rFonts w:cs="Arial"/>
                <w:sz w:val="22"/>
              </w:rPr>
              <w:t>0%</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sz w:val="22"/>
              </w:rPr>
            </w:pPr>
            <w:r w:rsidRPr="00AD62A0">
              <w:rPr>
                <w:rFonts w:cs="Arial"/>
                <w:sz w:val="22"/>
              </w:rPr>
              <w:t>Anaerobic digestion</w:t>
            </w:r>
          </w:p>
        </w:tc>
        <w:tc>
          <w:tcPr>
            <w:tcW w:w="1393" w:type="dxa"/>
            <w:vAlign w:val="center"/>
          </w:tcPr>
          <w:p w:rsidR="001567E5" w:rsidRPr="00AD62A0" w:rsidRDefault="001567E5" w:rsidP="001567E5">
            <w:pPr>
              <w:spacing w:after="0"/>
              <w:jc w:val="center"/>
              <w:rPr>
                <w:rFonts w:cs="Arial"/>
                <w:sz w:val="22"/>
              </w:rPr>
            </w:pPr>
            <w:r>
              <w:rPr>
                <w:rFonts w:cs="Arial"/>
                <w:sz w:val="22"/>
              </w:rPr>
              <w:t>14</w:t>
            </w:r>
          </w:p>
        </w:tc>
        <w:tc>
          <w:tcPr>
            <w:tcW w:w="1826" w:type="dxa"/>
            <w:vAlign w:val="center"/>
          </w:tcPr>
          <w:p w:rsidR="001567E5" w:rsidRPr="00AD62A0" w:rsidRDefault="001567E5" w:rsidP="001567E5">
            <w:pPr>
              <w:spacing w:after="0"/>
              <w:jc w:val="center"/>
              <w:rPr>
                <w:rFonts w:cs="Arial"/>
                <w:sz w:val="22"/>
              </w:rPr>
            </w:pPr>
            <w:r>
              <w:rPr>
                <w:rFonts w:cs="Arial"/>
                <w:sz w:val="22"/>
              </w:rPr>
              <w:t>0%</w:t>
            </w:r>
          </w:p>
        </w:tc>
        <w:tc>
          <w:tcPr>
            <w:tcW w:w="1962" w:type="dxa"/>
            <w:vAlign w:val="center"/>
          </w:tcPr>
          <w:p w:rsidR="001567E5" w:rsidRPr="00AD62A0" w:rsidRDefault="001567E5" w:rsidP="001567E5">
            <w:pPr>
              <w:spacing w:after="0"/>
              <w:jc w:val="center"/>
              <w:rPr>
                <w:rFonts w:cs="Arial"/>
                <w:sz w:val="22"/>
              </w:rPr>
            </w:pPr>
            <w:r w:rsidRPr="001040C7">
              <w:rPr>
                <w:rFonts w:cs="Arial"/>
                <w:sz w:val="22"/>
              </w:rPr>
              <w:t>11</w:t>
            </w:r>
            <w:r>
              <w:rPr>
                <w:rFonts w:cs="Arial"/>
                <w:sz w:val="22"/>
              </w:rPr>
              <w:t>.</w:t>
            </w:r>
            <w:r w:rsidRPr="001040C7">
              <w:rPr>
                <w:rFonts w:cs="Arial"/>
                <w:sz w:val="22"/>
              </w:rPr>
              <w:t>6</w:t>
            </w:r>
          </w:p>
        </w:tc>
        <w:tc>
          <w:tcPr>
            <w:tcW w:w="1826" w:type="dxa"/>
            <w:vAlign w:val="center"/>
          </w:tcPr>
          <w:p w:rsidR="001567E5" w:rsidRPr="00327E01" w:rsidRDefault="001567E5" w:rsidP="001567E5">
            <w:pPr>
              <w:spacing w:after="0"/>
              <w:jc w:val="center"/>
              <w:rPr>
                <w:rFonts w:cs="Arial"/>
                <w:sz w:val="22"/>
              </w:rPr>
            </w:pPr>
            <w:r>
              <w:rPr>
                <w:rFonts w:cs="Arial"/>
                <w:sz w:val="22"/>
              </w:rPr>
              <w:t>1.8%</w:t>
            </w:r>
          </w:p>
        </w:tc>
      </w:tr>
      <w:tr w:rsidR="001567E5" w:rsidRPr="00DE7A53" w:rsidTr="001567E5">
        <w:trPr>
          <w:trHeight w:val="57"/>
        </w:trPr>
        <w:tc>
          <w:tcPr>
            <w:tcW w:w="2235" w:type="dxa"/>
            <w:vAlign w:val="center"/>
          </w:tcPr>
          <w:p w:rsidR="001567E5" w:rsidRPr="00AD62A0" w:rsidRDefault="001567E5" w:rsidP="001567E5">
            <w:pPr>
              <w:spacing w:after="0"/>
              <w:jc w:val="center"/>
              <w:rPr>
                <w:rFonts w:cs="Arial"/>
                <w:b/>
                <w:sz w:val="22"/>
              </w:rPr>
            </w:pPr>
            <w:r w:rsidRPr="00AD62A0">
              <w:rPr>
                <w:rFonts w:cs="Arial"/>
                <w:b/>
                <w:sz w:val="22"/>
              </w:rPr>
              <w:t>Total</w:t>
            </w:r>
          </w:p>
        </w:tc>
        <w:tc>
          <w:tcPr>
            <w:tcW w:w="1393" w:type="dxa"/>
            <w:vAlign w:val="center"/>
          </w:tcPr>
          <w:p w:rsidR="001567E5" w:rsidRPr="00AD62A0" w:rsidRDefault="001567E5" w:rsidP="001567E5">
            <w:pPr>
              <w:spacing w:after="0"/>
              <w:jc w:val="center"/>
              <w:rPr>
                <w:rFonts w:cs="Arial"/>
                <w:b/>
                <w:sz w:val="22"/>
              </w:rPr>
            </w:pPr>
            <w:r>
              <w:rPr>
                <w:rFonts w:cs="Arial"/>
                <w:b/>
                <w:sz w:val="22"/>
              </w:rPr>
              <w:t>147,231</w:t>
            </w:r>
          </w:p>
        </w:tc>
        <w:tc>
          <w:tcPr>
            <w:tcW w:w="1826" w:type="dxa"/>
            <w:vAlign w:val="center"/>
          </w:tcPr>
          <w:p w:rsidR="001567E5" w:rsidRPr="00AD62A0" w:rsidRDefault="001567E5" w:rsidP="001567E5">
            <w:pPr>
              <w:spacing w:after="0"/>
              <w:jc w:val="center"/>
              <w:rPr>
                <w:rFonts w:cs="Arial"/>
                <w:b/>
                <w:sz w:val="22"/>
              </w:rPr>
            </w:pPr>
            <w:r w:rsidRPr="00AD62A0">
              <w:rPr>
                <w:rFonts w:cs="Arial"/>
                <w:b/>
                <w:sz w:val="22"/>
              </w:rPr>
              <w:t>100%</w:t>
            </w:r>
          </w:p>
        </w:tc>
        <w:tc>
          <w:tcPr>
            <w:tcW w:w="1962" w:type="dxa"/>
            <w:vAlign w:val="center"/>
          </w:tcPr>
          <w:p w:rsidR="001567E5" w:rsidRPr="00327E01" w:rsidRDefault="001567E5" w:rsidP="001567E5">
            <w:pPr>
              <w:spacing w:after="0"/>
              <w:jc w:val="center"/>
              <w:rPr>
                <w:rFonts w:cs="Arial"/>
                <w:b/>
                <w:sz w:val="22"/>
              </w:rPr>
            </w:pPr>
            <w:r>
              <w:rPr>
                <w:rFonts w:cs="Arial"/>
                <w:b/>
                <w:sz w:val="22"/>
              </w:rPr>
              <w:t>661.4</w:t>
            </w:r>
          </w:p>
        </w:tc>
        <w:tc>
          <w:tcPr>
            <w:tcW w:w="1826" w:type="dxa"/>
            <w:vAlign w:val="center"/>
          </w:tcPr>
          <w:p w:rsidR="001567E5" w:rsidRPr="00327E01" w:rsidRDefault="001567E5" w:rsidP="001567E5">
            <w:pPr>
              <w:spacing w:after="0"/>
              <w:jc w:val="center"/>
              <w:rPr>
                <w:rFonts w:cs="Arial"/>
                <w:b/>
                <w:sz w:val="22"/>
              </w:rPr>
            </w:pPr>
            <w:r w:rsidRPr="00327E01">
              <w:rPr>
                <w:rFonts w:cs="Arial"/>
                <w:b/>
                <w:sz w:val="22"/>
              </w:rPr>
              <w:t>100%</w:t>
            </w:r>
          </w:p>
        </w:tc>
      </w:tr>
    </w:tbl>
    <w:p w:rsidR="00E354D4" w:rsidRDefault="00E354D4" w:rsidP="003A49D0">
      <w:pPr>
        <w:pStyle w:val="Caption"/>
        <w:jc w:val="center"/>
      </w:pPr>
    </w:p>
    <w:p w:rsidR="0075197B" w:rsidRPr="006F541D" w:rsidRDefault="005F1D47" w:rsidP="003A49D0">
      <w:pPr>
        <w:pStyle w:val="Caption"/>
        <w:jc w:val="center"/>
        <w:rPr>
          <w:sz w:val="20"/>
          <w:szCs w:val="20"/>
        </w:rPr>
      </w:pPr>
      <w:r w:rsidRPr="006F541D">
        <w:rPr>
          <w:sz w:val="20"/>
          <w:szCs w:val="20"/>
        </w:rPr>
        <w:t>Table 4: Lifetime CO</w:t>
      </w:r>
      <w:r w:rsidRPr="006F541D">
        <w:rPr>
          <w:sz w:val="20"/>
          <w:szCs w:val="20"/>
          <w:vertAlign w:val="subscript"/>
        </w:rPr>
        <w:t>2</w:t>
      </w:r>
      <w:r w:rsidRPr="006F541D">
        <w:rPr>
          <w:sz w:val="20"/>
          <w:szCs w:val="20"/>
        </w:rPr>
        <w:t xml:space="preserve"> </w:t>
      </w:r>
      <w:r w:rsidR="00992B51" w:rsidRPr="006F541D">
        <w:rPr>
          <w:sz w:val="20"/>
          <w:szCs w:val="20"/>
        </w:rPr>
        <w:t>emissions</w:t>
      </w:r>
      <w:r w:rsidRPr="006F541D">
        <w:rPr>
          <w:sz w:val="20"/>
          <w:szCs w:val="20"/>
        </w:rPr>
        <w:t xml:space="preserve"> s</w:t>
      </w:r>
      <w:r w:rsidR="0075197B" w:rsidRPr="006F541D">
        <w:rPr>
          <w:sz w:val="20"/>
          <w:szCs w:val="20"/>
        </w:rPr>
        <w:t>avings</w:t>
      </w:r>
      <w:r w:rsidR="0024542C" w:rsidRPr="006F541D">
        <w:rPr>
          <w:sz w:val="20"/>
          <w:szCs w:val="20"/>
        </w:rPr>
        <w:t xml:space="preserve"> of FITs installations </w:t>
      </w:r>
      <w:r w:rsidRPr="006F541D">
        <w:rPr>
          <w:sz w:val="20"/>
          <w:szCs w:val="20"/>
        </w:rPr>
        <w:t>accredited</w:t>
      </w:r>
      <w:r w:rsidR="0024542C" w:rsidRPr="006F541D">
        <w:rPr>
          <w:sz w:val="20"/>
          <w:szCs w:val="20"/>
        </w:rPr>
        <w:t xml:space="preserve"> to 31 December 2011</w:t>
      </w:r>
    </w:p>
    <w:p w:rsidR="0024542C" w:rsidRDefault="0024542C" w:rsidP="0024542C">
      <w:pPr>
        <w:spacing w:after="0"/>
        <w:rPr>
          <w:rFonts w:cs="Arial"/>
          <w:color w:val="1F497D"/>
        </w:rPr>
      </w:pPr>
    </w:p>
    <w:tbl>
      <w:tblPr>
        <w:tblW w:w="8980" w:type="dxa"/>
        <w:tblInd w:w="-23" w:type="dxa"/>
        <w:tblCellMar>
          <w:left w:w="0" w:type="dxa"/>
          <w:right w:w="0" w:type="dxa"/>
        </w:tblCellMar>
        <w:tblLook w:val="04A0"/>
      </w:tblPr>
      <w:tblGrid>
        <w:gridCol w:w="2680"/>
        <w:gridCol w:w="1660"/>
        <w:gridCol w:w="1480"/>
        <w:gridCol w:w="1500"/>
        <w:gridCol w:w="1660"/>
      </w:tblGrid>
      <w:tr w:rsidR="0024542C" w:rsidTr="0024542C">
        <w:trPr>
          <w:trHeight w:val="1020"/>
        </w:trPr>
        <w:tc>
          <w:tcPr>
            <w:tcW w:w="2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w:t>
            </w:r>
          </w:p>
        </w:tc>
        <w:tc>
          <w:tcPr>
            <w:tcW w:w="166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24542C" w:rsidRDefault="005F1D47" w:rsidP="005F1D47">
            <w:pPr>
              <w:spacing w:after="0"/>
              <w:jc w:val="center"/>
              <w:rPr>
                <w:rFonts w:eastAsia="Calibri" w:cs="Arial"/>
                <w:b/>
                <w:bCs/>
                <w:color w:val="FFFFFF"/>
                <w:sz w:val="20"/>
                <w:szCs w:val="20"/>
              </w:rPr>
            </w:pPr>
            <w:r>
              <w:rPr>
                <w:rFonts w:cs="Arial"/>
                <w:b/>
                <w:bCs/>
                <w:color w:val="FFFFFF"/>
                <w:sz w:val="20"/>
                <w:szCs w:val="20"/>
              </w:rPr>
              <w:t>Total installed c</w:t>
            </w:r>
            <w:r w:rsidR="0024542C">
              <w:rPr>
                <w:rFonts w:cs="Arial"/>
                <w:b/>
                <w:bCs/>
                <w:color w:val="FFFFFF"/>
                <w:sz w:val="20"/>
                <w:szCs w:val="20"/>
              </w:rPr>
              <w:t xml:space="preserve">apacity </w:t>
            </w:r>
            <w:r>
              <w:rPr>
                <w:rFonts w:cs="Arial"/>
                <w:b/>
                <w:bCs/>
                <w:color w:val="FFFFFF"/>
                <w:sz w:val="20"/>
                <w:szCs w:val="20"/>
              </w:rPr>
              <w:t>t</w:t>
            </w:r>
            <w:r w:rsidR="0024542C">
              <w:rPr>
                <w:rFonts w:cs="Arial"/>
                <w:b/>
                <w:bCs/>
                <w:color w:val="FFFFFF"/>
                <w:sz w:val="20"/>
                <w:szCs w:val="20"/>
              </w:rPr>
              <w:t xml:space="preserve">o Dec </w:t>
            </w:r>
            <w:r>
              <w:rPr>
                <w:rFonts w:cs="Arial"/>
                <w:b/>
                <w:bCs/>
                <w:color w:val="FFFFFF"/>
                <w:sz w:val="20"/>
                <w:szCs w:val="20"/>
              </w:rPr>
              <w:t>20</w:t>
            </w:r>
            <w:r w:rsidR="0024542C">
              <w:rPr>
                <w:rFonts w:cs="Arial"/>
                <w:b/>
                <w:bCs/>
                <w:color w:val="FFFFFF"/>
                <w:sz w:val="20"/>
                <w:szCs w:val="20"/>
              </w:rPr>
              <w:t>11 (kW)</w:t>
            </w:r>
          </w:p>
        </w:tc>
        <w:tc>
          <w:tcPr>
            <w:tcW w:w="148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24542C" w:rsidRDefault="005F1D47" w:rsidP="005F1D47">
            <w:pPr>
              <w:spacing w:after="0"/>
              <w:jc w:val="center"/>
              <w:rPr>
                <w:rFonts w:eastAsia="Calibri" w:cs="Arial"/>
                <w:b/>
                <w:bCs/>
                <w:color w:val="FFFFFF"/>
                <w:sz w:val="20"/>
                <w:szCs w:val="20"/>
              </w:rPr>
            </w:pPr>
            <w:r>
              <w:rPr>
                <w:rFonts w:cs="Arial"/>
                <w:b/>
                <w:bCs/>
                <w:color w:val="FFFFFF"/>
                <w:sz w:val="20"/>
                <w:szCs w:val="20"/>
              </w:rPr>
              <w:t>Expected o</w:t>
            </w:r>
            <w:r w:rsidR="0024542C">
              <w:rPr>
                <w:rFonts w:cs="Arial"/>
                <w:b/>
                <w:bCs/>
                <w:color w:val="FFFFFF"/>
                <w:sz w:val="20"/>
                <w:szCs w:val="20"/>
              </w:rPr>
              <w:t>utput</w:t>
            </w:r>
            <w:r>
              <w:rPr>
                <w:rFonts w:cs="Arial"/>
                <w:b/>
                <w:bCs/>
                <w:color w:val="FFFFFF"/>
                <w:sz w:val="20"/>
                <w:szCs w:val="20"/>
              </w:rPr>
              <w:t xml:space="preserve"> per year</w:t>
            </w:r>
            <w:r w:rsidR="0024542C">
              <w:rPr>
                <w:rFonts w:cs="Arial"/>
                <w:b/>
                <w:bCs/>
                <w:color w:val="FFFFFF"/>
                <w:sz w:val="20"/>
                <w:szCs w:val="20"/>
              </w:rPr>
              <w:t xml:space="preserve"> (MWh)</w:t>
            </w:r>
          </w:p>
        </w:tc>
        <w:tc>
          <w:tcPr>
            <w:tcW w:w="150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24542C" w:rsidRDefault="005F1D47" w:rsidP="0024542C">
            <w:pPr>
              <w:spacing w:after="0"/>
              <w:jc w:val="center"/>
              <w:rPr>
                <w:rFonts w:eastAsia="Calibri" w:cs="Arial"/>
                <w:b/>
                <w:bCs/>
                <w:color w:val="FFFFFF"/>
                <w:sz w:val="20"/>
                <w:szCs w:val="20"/>
              </w:rPr>
            </w:pPr>
            <w:r>
              <w:rPr>
                <w:rFonts w:cs="Arial"/>
                <w:b/>
                <w:bCs/>
                <w:color w:val="FFFFFF"/>
                <w:sz w:val="20"/>
                <w:szCs w:val="20"/>
              </w:rPr>
              <w:t>Expected o</w:t>
            </w:r>
            <w:r w:rsidR="0024542C">
              <w:rPr>
                <w:rFonts w:cs="Arial"/>
                <w:b/>
                <w:bCs/>
                <w:color w:val="FFFFFF"/>
                <w:sz w:val="20"/>
                <w:szCs w:val="20"/>
              </w:rPr>
              <w:t>utput over lifetime (MWh)</w:t>
            </w:r>
          </w:p>
        </w:tc>
        <w:tc>
          <w:tcPr>
            <w:tcW w:w="1660"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24542C" w:rsidRDefault="0024542C" w:rsidP="005F1D47">
            <w:pPr>
              <w:spacing w:after="0"/>
              <w:jc w:val="center"/>
              <w:rPr>
                <w:rFonts w:eastAsia="Calibri" w:cs="Arial"/>
                <w:b/>
                <w:bCs/>
                <w:color w:val="FFFFFF"/>
                <w:sz w:val="20"/>
                <w:szCs w:val="20"/>
              </w:rPr>
            </w:pPr>
            <w:r>
              <w:rPr>
                <w:rFonts w:cs="Arial"/>
                <w:b/>
                <w:bCs/>
                <w:color w:val="FFFFFF"/>
                <w:sz w:val="20"/>
                <w:szCs w:val="20"/>
              </w:rPr>
              <w:t>CO</w:t>
            </w:r>
            <w:r>
              <w:rPr>
                <w:rFonts w:cs="Arial"/>
                <w:b/>
                <w:bCs/>
                <w:color w:val="FFFFFF"/>
                <w:sz w:val="20"/>
                <w:szCs w:val="20"/>
                <w:vertAlign w:val="subscript"/>
              </w:rPr>
              <w:t>2</w:t>
            </w:r>
            <w:r>
              <w:rPr>
                <w:rFonts w:cs="Arial"/>
                <w:b/>
                <w:bCs/>
                <w:color w:val="FFFFFF"/>
                <w:sz w:val="20"/>
                <w:szCs w:val="20"/>
              </w:rPr>
              <w:t xml:space="preserve"> saving over lifetime (</w:t>
            </w:r>
            <w:r w:rsidR="005F1D47">
              <w:rPr>
                <w:rFonts w:cs="Arial"/>
                <w:b/>
                <w:bCs/>
                <w:color w:val="FFFFFF"/>
                <w:sz w:val="20"/>
                <w:szCs w:val="20"/>
              </w:rPr>
              <w:t>Mt</w:t>
            </w:r>
            <w:r>
              <w:rPr>
                <w:rFonts w:cs="Arial"/>
                <w:b/>
                <w:bCs/>
                <w:color w:val="FFFFFF"/>
                <w:sz w:val="20"/>
                <w:szCs w:val="20"/>
              </w:rPr>
              <w:t>C0</w:t>
            </w:r>
            <w:r w:rsidRPr="005F1D47">
              <w:rPr>
                <w:rFonts w:cs="Arial"/>
                <w:b/>
                <w:bCs/>
                <w:color w:val="FFFFFF"/>
                <w:sz w:val="20"/>
                <w:szCs w:val="20"/>
                <w:vertAlign w:val="subscript"/>
              </w:rPr>
              <w:t>2</w:t>
            </w:r>
            <w:r>
              <w:rPr>
                <w:rFonts w:cs="Arial"/>
                <w:b/>
                <w:bCs/>
                <w:color w:val="FFFFFF"/>
                <w:sz w:val="20"/>
                <w:szCs w:val="20"/>
              </w:rPr>
              <w:t>e)</w:t>
            </w:r>
          </w:p>
        </w:tc>
      </w:tr>
      <w:tr w:rsidR="0024542C" w:rsidTr="0024542C">
        <w:trPr>
          <w:trHeight w:val="255"/>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Anaerobic Digestion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11,631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 81,417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1,627,740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262C2" w:rsidP="002262C2">
            <w:pPr>
              <w:spacing w:after="0"/>
              <w:rPr>
                <w:rFonts w:eastAsia="Calibri" w:cs="Arial"/>
                <w:color w:val="000000"/>
                <w:sz w:val="20"/>
                <w:szCs w:val="20"/>
              </w:rPr>
            </w:pPr>
            <w:r>
              <w:rPr>
                <w:rFonts w:cs="Arial"/>
                <w:color w:val="000000"/>
                <w:sz w:val="20"/>
                <w:szCs w:val="20"/>
              </w:rPr>
              <w:t>0.</w:t>
            </w:r>
            <w:r w:rsidR="0024542C">
              <w:rPr>
                <w:rFonts w:cs="Arial"/>
                <w:color w:val="000000"/>
                <w:sz w:val="20"/>
                <w:szCs w:val="20"/>
              </w:rPr>
              <w:t>621</w:t>
            </w:r>
          </w:p>
        </w:tc>
      </w:tr>
      <w:tr w:rsidR="0024542C" w:rsidTr="0024542C">
        <w:trPr>
          <w:trHeight w:val="255"/>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Hydro</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16,399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43,047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859,839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262C2" w:rsidP="002262C2">
            <w:pPr>
              <w:spacing w:after="0"/>
              <w:rPr>
                <w:rFonts w:eastAsia="Calibri" w:cs="Arial"/>
                <w:color w:val="000000"/>
                <w:sz w:val="20"/>
                <w:szCs w:val="20"/>
              </w:rPr>
            </w:pPr>
            <w:r>
              <w:rPr>
                <w:rFonts w:cs="Arial"/>
                <w:color w:val="000000"/>
                <w:sz w:val="20"/>
                <w:szCs w:val="20"/>
              </w:rPr>
              <w:t>0.</w:t>
            </w:r>
            <w:r w:rsidR="0024542C">
              <w:rPr>
                <w:rFonts w:cs="Arial"/>
                <w:color w:val="000000"/>
                <w:sz w:val="20"/>
                <w:szCs w:val="20"/>
              </w:rPr>
              <w:t>328</w:t>
            </w:r>
          </w:p>
        </w:tc>
      </w:tr>
      <w:tr w:rsidR="0024542C" w:rsidTr="0024542C">
        <w:trPr>
          <w:trHeight w:val="255"/>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proofErr w:type="spellStart"/>
            <w:r>
              <w:rPr>
                <w:rFonts w:cs="Arial"/>
                <w:b/>
                <w:bCs/>
                <w:color w:val="000000"/>
                <w:sz w:val="20"/>
                <w:szCs w:val="20"/>
              </w:rPr>
              <w:t>MicroCHP</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317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1,794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17,435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262C2" w:rsidP="002262C2">
            <w:pPr>
              <w:spacing w:after="0"/>
              <w:rPr>
                <w:rFonts w:eastAsia="Calibri" w:cs="Arial"/>
                <w:color w:val="000000"/>
                <w:sz w:val="20"/>
                <w:szCs w:val="20"/>
              </w:rPr>
            </w:pPr>
            <w:r>
              <w:rPr>
                <w:rFonts w:cs="Arial"/>
                <w:color w:val="000000"/>
                <w:sz w:val="20"/>
                <w:szCs w:val="20"/>
              </w:rPr>
              <w:t>0.001</w:t>
            </w:r>
            <w:r w:rsidR="0024542C">
              <w:rPr>
                <w:rFonts w:cs="Arial"/>
                <w:color w:val="000000"/>
                <w:sz w:val="20"/>
                <w:szCs w:val="20"/>
              </w:rPr>
              <w:t xml:space="preserve"> </w:t>
            </w:r>
          </w:p>
        </w:tc>
      </w:tr>
      <w:tr w:rsidR="0024542C" w:rsidTr="0024542C">
        <w:trPr>
          <w:trHeight w:val="255"/>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PV</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588,359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500,020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12,501,504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262C2">
            <w:pPr>
              <w:spacing w:after="0"/>
              <w:rPr>
                <w:rFonts w:eastAsia="Calibri" w:cs="Arial"/>
                <w:color w:val="000000"/>
                <w:sz w:val="20"/>
                <w:szCs w:val="20"/>
              </w:rPr>
            </w:pPr>
            <w:r>
              <w:rPr>
                <w:rFonts w:cs="Arial"/>
                <w:color w:val="000000"/>
                <w:sz w:val="20"/>
                <w:szCs w:val="20"/>
              </w:rPr>
              <w:t>4</w:t>
            </w:r>
            <w:r w:rsidR="002262C2">
              <w:rPr>
                <w:rFonts w:cs="Arial"/>
                <w:color w:val="000000"/>
                <w:sz w:val="20"/>
                <w:szCs w:val="20"/>
              </w:rPr>
              <w:t>.389</w:t>
            </w:r>
          </w:p>
        </w:tc>
      </w:tr>
      <w:tr w:rsidR="0024542C" w:rsidTr="0024542C">
        <w:trPr>
          <w:trHeight w:val="255"/>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 xml:space="preserve">Wind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29,581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46,366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925,415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262C2" w:rsidP="002262C2">
            <w:pPr>
              <w:spacing w:after="0"/>
              <w:rPr>
                <w:rFonts w:eastAsia="Calibri" w:cs="Arial"/>
                <w:color w:val="000000"/>
                <w:sz w:val="20"/>
                <w:szCs w:val="20"/>
              </w:rPr>
            </w:pPr>
            <w:r>
              <w:rPr>
                <w:rFonts w:cs="Arial"/>
                <w:color w:val="000000"/>
                <w:sz w:val="20"/>
                <w:szCs w:val="20"/>
              </w:rPr>
              <w:t>0.</w:t>
            </w:r>
            <w:r w:rsidR="0024542C">
              <w:rPr>
                <w:rFonts w:cs="Arial"/>
                <w:color w:val="000000"/>
                <w:sz w:val="20"/>
                <w:szCs w:val="20"/>
              </w:rPr>
              <w:t>353</w:t>
            </w:r>
          </w:p>
        </w:tc>
      </w:tr>
      <w:tr w:rsidR="0024542C" w:rsidTr="0024542C">
        <w:trPr>
          <w:trHeight w:val="510"/>
        </w:trPr>
        <w:tc>
          <w:tcPr>
            <w:tcW w:w="2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Existing (Transfer from RO)</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15,327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19,185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color w:val="000000"/>
                <w:sz w:val="20"/>
                <w:szCs w:val="20"/>
              </w:rPr>
            </w:pPr>
            <w:r>
              <w:rPr>
                <w:rFonts w:cs="Arial"/>
                <w:color w:val="000000"/>
                <w:sz w:val="20"/>
                <w:szCs w:val="20"/>
              </w:rPr>
              <w:t xml:space="preserve">306,953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262C2" w:rsidP="002262C2">
            <w:pPr>
              <w:spacing w:after="0"/>
              <w:rPr>
                <w:rFonts w:eastAsia="Calibri" w:cs="Arial"/>
                <w:color w:val="000000"/>
                <w:sz w:val="20"/>
                <w:szCs w:val="20"/>
              </w:rPr>
            </w:pPr>
            <w:r>
              <w:rPr>
                <w:rFonts w:cs="Arial"/>
                <w:color w:val="000000"/>
                <w:sz w:val="20"/>
                <w:szCs w:val="20"/>
              </w:rPr>
              <w:t>0.</w:t>
            </w:r>
            <w:r w:rsidR="0024542C">
              <w:rPr>
                <w:rFonts w:cs="Arial"/>
                <w:color w:val="000000"/>
                <w:sz w:val="20"/>
                <w:szCs w:val="20"/>
              </w:rPr>
              <w:t>174</w:t>
            </w:r>
          </w:p>
        </w:tc>
      </w:tr>
      <w:tr w:rsidR="0024542C" w:rsidTr="0024542C">
        <w:trPr>
          <w:trHeight w:val="255"/>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jc w:val="right"/>
              <w:rPr>
                <w:rFonts w:eastAsia="Calibri" w:cs="Arial"/>
                <w:b/>
                <w:bCs/>
                <w:color w:val="000000"/>
                <w:sz w:val="20"/>
                <w:szCs w:val="20"/>
              </w:rPr>
            </w:pPr>
            <w:r>
              <w:rPr>
                <w:rFonts w:cs="Arial"/>
                <w:b/>
                <w:bCs/>
                <w:color w:val="000000"/>
                <w:sz w:val="20"/>
                <w:szCs w:val="20"/>
              </w:rPr>
              <w:t>TOTAL</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 xml:space="preserve">661,614 </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 xml:space="preserve">691,828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4542C">
            <w:pPr>
              <w:spacing w:after="0"/>
              <w:rPr>
                <w:rFonts w:eastAsia="Calibri" w:cs="Arial"/>
                <w:b/>
                <w:bCs/>
                <w:color w:val="000000"/>
                <w:sz w:val="20"/>
                <w:szCs w:val="20"/>
              </w:rPr>
            </w:pPr>
            <w:r>
              <w:rPr>
                <w:rFonts w:cs="Arial"/>
                <w:b/>
                <w:bCs/>
                <w:color w:val="000000"/>
                <w:sz w:val="20"/>
                <w:szCs w:val="20"/>
              </w:rPr>
              <w:t xml:space="preserve">16,238,886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4542C" w:rsidRDefault="0024542C" w:rsidP="002262C2">
            <w:pPr>
              <w:spacing w:after="0"/>
              <w:rPr>
                <w:rFonts w:eastAsia="Calibri" w:cs="Arial"/>
                <w:b/>
                <w:bCs/>
                <w:color w:val="000000"/>
                <w:sz w:val="20"/>
                <w:szCs w:val="20"/>
              </w:rPr>
            </w:pPr>
            <w:r>
              <w:rPr>
                <w:rFonts w:cs="Arial"/>
                <w:b/>
                <w:bCs/>
                <w:color w:val="000000"/>
                <w:sz w:val="20"/>
                <w:szCs w:val="20"/>
              </w:rPr>
              <w:t>5</w:t>
            </w:r>
            <w:r w:rsidR="002262C2">
              <w:rPr>
                <w:rFonts w:cs="Arial"/>
                <w:b/>
                <w:bCs/>
                <w:color w:val="000000"/>
                <w:sz w:val="20"/>
                <w:szCs w:val="20"/>
              </w:rPr>
              <w:t>.</w:t>
            </w:r>
            <w:r>
              <w:rPr>
                <w:rFonts w:cs="Arial"/>
                <w:b/>
                <w:bCs/>
                <w:color w:val="000000"/>
                <w:sz w:val="20"/>
                <w:szCs w:val="20"/>
              </w:rPr>
              <w:t xml:space="preserve">867 </w:t>
            </w:r>
          </w:p>
        </w:tc>
      </w:tr>
    </w:tbl>
    <w:p w:rsidR="00B121DD" w:rsidRDefault="00B121DD" w:rsidP="0015126F">
      <w:pPr>
        <w:spacing w:after="0"/>
        <w:ind w:left="0"/>
        <w:rPr>
          <w:color w:val="FFFFFF"/>
          <w:sz w:val="48"/>
          <w:szCs w:val="48"/>
        </w:rPr>
      </w:pPr>
    </w:p>
    <w:p w:rsidR="00BA407B" w:rsidRPr="008D7092" w:rsidRDefault="00B121DD" w:rsidP="0015126F">
      <w:pPr>
        <w:spacing w:after="0"/>
        <w:ind w:left="0"/>
        <w:rPr>
          <w:color w:val="FFFFFF"/>
          <w:sz w:val="48"/>
          <w:szCs w:val="48"/>
        </w:rPr>
      </w:pPr>
      <w:r>
        <w:rPr>
          <w:color w:val="FFFFFF"/>
          <w:sz w:val="48"/>
          <w:szCs w:val="48"/>
        </w:rPr>
        <w:br w:type="page"/>
      </w:r>
    </w:p>
    <w:tbl>
      <w:tblPr>
        <w:tblpPr w:leftFromText="181" w:rightFromText="181" w:vertAnchor="text" w:horzAnchor="margin" w:tblpY="-39"/>
        <w:tblW w:w="4835" w:type="pct"/>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2489"/>
        <w:gridCol w:w="6407"/>
      </w:tblGrid>
      <w:tr w:rsidR="00BA407B" w:rsidRPr="0028755F" w:rsidTr="00BA407B">
        <w:trPr>
          <w:trHeight w:val="165"/>
          <w:tblHeader/>
        </w:trPr>
        <w:tc>
          <w:tcPr>
            <w:tcW w:w="1399" w:type="pct"/>
            <w:shd w:val="clear" w:color="auto" w:fill="009EE3"/>
            <w:tcMar>
              <w:top w:w="113" w:type="dxa"/>
              <w:bottom w:w="113" w:type="dxa"/>
            </w:tcMar>
          </w:tcPr>
          <w:p w:rsidR="00BA407B" w:rsidRPr="00AC6BC1" w:rsidRDefault="00BA407B" w:rsidP="00553F55">
            <w:pPr>
              <w:pStyle w:val="Caption"/>
              <w:jc w:val="both"/>
              <w:rPr>
                <w:color w:val="FFFFFF"/>
                <w:sz w:val="44"/>
                <w:szCs w:val="44"/>
              </w:rPr>
            </w:pPr>
            <w:r w:rsidRPr="00AC6BC1">
              <w:rPr>
                <w:color w:val="FFFFFF"/>
                <w:sz w:val="44"/>
                <w:szCs w:val="44"/>
              </w:rPr>
              <w:lastRenderedPageBreak/>
              <w:t xml:space="preserve">Chapter </w:t>
            </w:r>
            <w:r w:rsidR="00D41689" w:rsidRPr="00AC6BC1">
              <w:rPr>
                <w:color w:val="FFFFFF"/>
                <w:sz w:val="44"/>
                <w:szCs w:val="44"/>
              </w:rPr>
              <w:t>2</w:t>
            </w:r>
            <w:r w:rsidRPr="00AC6BC1">
              <w:rPr>
                <w:color w:val="FFFFFF"/>
                <w:sz w:val="44"/>
                <w:szCs w:val="44"/>
              </w:rPr>
              <w:t>.</w:t>
            </w:r>
          </w:p>
          <w:p w:rsidR="00BA407B" w:rsidRPr="00AC6BC1" w:rsidRDefault="00BA407B" w:rsidP="00553F55">
            <w:pPr>
              <w:jc w:val="both"/>
              <w:rPr>
                <w:sz w:val="44"/>
                <w:szCs w:val="44"/>
              </w:rPr>
            </w:pPr>
          </w:p>
        </w:tc>
        <w:tc>
          <w:tcPr>
            <w:tcW w:w="3601" w:type="pct"/>
            <w:shd w:val="clear" w:color="auto" w:fill="009EE3"/>
            <w:tcMar>
              <w:top w:w="113" w:type="dxa"/>
              <w:bottom w:w="113" w:type="dxa"/>
            </w:tcMar>
          </w:tcPr>
          <w:p w:rsidR="00BA407B" w:rsidRPr="00AC6BC1" w:rsidRDefault="00BA407B" w:rsidP="001D3275">
            <w:pPr>
              <w:pStyle w:val="Heading1"/>
              <w:rPr>
                <w:color w:val="FFFFFF"/>
                <w:sz w:val="44"/>
                <w:szCs w:val="44"/>
              </w:rPr>
            </w:pPr>
            <w:bookmarkStart w:id="505" w:name="_Toc316544902"/>
            <w:r w:rsidRPr="00AC6BC1">
              <w:rPr>
                <w:color w:val="FFFFFF"/>
                <w:sz w:val="44"/>
                <w:szCs w:val="44"/>
              </w:rPr>
              <w:t xml:space="preserve">The </w:t>
            </w:r>
            <w:r w:rsidR="00FA62B6" w:rsidRPr="00AC6BC1">
              <w:rPr>
                <w:color w:val="FFFFFF"/>
                <w:sz w:val="44"/>
                <w:szCs w:val="44"/>
              </w:rPr>
              <w:t>Financial Aspects of the Scheme</w:t>
            </w:r>
            <w:bookmarkEnd w:id="505"/>
          </w:p>
        </w:tc>
      </w:tr>
      <w:tr w:rsidR="00BA407B" w:rsidRPr="00015C4E" w:rsidTr="0015126F">
        <w:trPr>
          <w:trHeight w:val="20"/>
        </w:trPr>
        <w:tc>
          <w:tcPr>
            <w:tcW w:w="1399" w:type="pct"/>
            <w:shd w:val="clear" w:color="auto" w:fill="auto"/>
            <w:tcMar>
              <w:top w:w="113" w:type="dxa"/>
              <w:bottom w:w="113" w:type="dxa"/>
            </w:tcMar>
          </w:tcPr>
          <w:p w:rsidR="00BA407B" w:rsidRPr="001B5BC3" w:rsidRDefault="00BA407B" w:rsidP="00553F55">
            <w:pPr>
              <w:jc w:val="both"/>
              <w:rPr>
                <w:rFonts w:cs="Arial"/>
                <w:b/>
              </w:rPr>
            </w:pPr>
            <w:r w:rsidRPr="001B5BC3">
              <w:rPr>
                <w:rFonts w:cs="Arial"/>
                <w:b/>
              </w:rPr>
              <w:t xml:space="preserve">Summary </w:t>
            </w:r>
          </w:p>
          <w:p w:rsidR="00BA407B" w:rsidRPr="003654E6" w:rsidRDefault="00BA407B" w:rsidP="00553F55">
            <w:pPr>
              <w:pStyle w:val="TableText"/>
              <w:jc w:val="both"/>
            </w:pPr>
          </w:p>
        </w:tc>
        <w:tc>
          <w:tcPr>
            <w:tcW w:w="3601" w:type="pct"/>
            <w:shd w:val="clear" w:color="auto" w:fill="auto"/>
            <w:tcMar>
              <w:top w:w="113" w:type="dxa"/>
              <w:bottom w:w="113" w:type="dxa"/>
            </w:tcMar>
          </w:tcPr>
          <w:p w:rsidR="00CE0784" w:rsidRPr="00CE0784" w:rsidRDefault="00CE0784" w:rsidP="00846AA3">
            <w:pPr>
              <w:numPr>
                <w:ilvl w:val="0"/>
                <w:numId w:val="6"/>
              </w:numPr>
              <w:ind w:right="113"/>
              <w:jc w:val="both"/>
            </w:pPr>
            <w:r w:rsidRPr="00CE0784">
              <w:t>Sets out proposed tariffs for non-PV technologies</w:t>
            </w:r>
          </w:p>
          <w:p w:rsidR="00846AA3" w:rsidRPr="00846AA3" w:rsidRDefault="008A56C3" w:rsidP="00846AA3">
            <w:pPr>
              <w:numPr>
                <w:ilvl w:val="0"/>
                <w:numId w:val="6"/>
              </w:numPr>
              <w:ind w:right="113"/>
              <w:jc w:val="both"/>
              <w:rPr>
                <w:sz w:val="22"/>
                <w:szCs w:val="22"/>
              </w:rPr>
            </w:pPr>
            <w:r>
              <w:t xml:space="preserve">Sets </w:t>
            </w:r>
            <w:r w:rsidR="00846AA3">
              <w:t xml:space="preserve">out </w:t>
            </w:r>
            <w:r w:rsidR="00757D64">
              <w:t xml:space="preserve">proposed </w:t>
            </w:r>
            <w:r w:rsidR="00846AA3">
              <w:t>future way of setting tariffs and cost control measures.</w:t>
            </w:r>
          </w:p>
          <w:p w:rsidR="00BA407B" w:rsidRPr="00846AA3" w:rsidRDefault="00BA407B" w:rsidP="00CE0784">
            <w:pPr>
              <w:ind w:left="420" w:right="113"/>
              <w:jc w:val="both"/>
              <w:rPr>
                <w:sz w:val="22"/>
                <w:szCs w:val="22"/>
              </w:rPr>
            </w:pPr>
          </w:p>
        </w:tc>
      </w:tr>
    </w:tbl>
    <w:p w:rsidR="00BE248B" w:rsidRPr="00BD5AE9" w:rsidRDefault="00BE248B" w:rsidP="00BE248B">
      <w:pPr>
        <w:pStyle w:val="Heading2"/>
        <w:spacing w:after="240"/>
        <w:rPr>
          <w:color w:val="00B0F0"/>
        </w:rPr>
      </w:pPr>
      <w:bookmarkStart w:id="506" w:name="_Toc316544903"/>
      <w:r w:rsidRPr="00BD5AE9">
        <w:rPr>
          <w:color w:val="00B0F0"/>
        </w:rPr>
        <w:t xml:space="preserve">Tariff Proposals for </w:t>
      </w:r>
      <w:r w:rsidR="008C7CC0" w:rsidRPr="00BD5AE9">
        <w:rPr>
          <w:color w:val="00B0F0"/>
        </w:rPr>
        <w:t xml:space="preserve">AD, hydro, wind and </w:t>
      </w:r>
      <w:proofErr w:type="spellStart"/>
      <w:r w:rsidR="008C7CC0" w:rsidRPr="00BD5AE9">
        <w:rPr>
          <w:color w:val="00B0F0"/>
        </w:rPr>
        <w:t>microCHP</w:t>
      </w:r>
      <w:bookmarkEnd w:id="506"/>
      <w:proofErr w:type="spellEnd"/>
    </w:p>
    <w:p w:rsidR="003F72AA" w:rsidRDefault="00BE248B" w:rsidP="00986EAF">
      <w:pPr>
        <w:pStyle w:val="DECCnumberingBold"/>
      </w:pPr>
      <w:r>
        <w:t xml:space="preserve">Over the course of the comprehensive review we have commissioned research to re-assess the costs and other issues affecting all technologies eligible for FITs. This research is reported in </w:t>
      </w:r>
      <w:r w:rsidR="0022474C">
        <w:t xml:space="preserve">a </w:t>
      </w:r>
      <w:r w:rsidR="001B42D7">
        <w:t>report</w:t>
      </w:r>
      <w:r w:rsidR="0022474C">
        <w:rPr>
          <w:rStyle w:val="FootnoteReference"/>
        </w:rPr>
        <w:t xml:space="preserve"> </w:t>
      </w:r>
      <w:r w:rsidR="0022474C">
        <w:t xml:space="preserve"> </w:t>
      </w:r>
      <w:r w:rsidR="00C2183F">
        <w:t>that</w:t>
      </w:r>
      <w:r w:rsidR="0022474C">
        <w:t xml:space="preserve"> will be published shortly</w:t>
      </w:r>
      <w:r>
        <w:t xml:space="preserve">. </w:t>
      </w:r>
      <w:r w:rsidR="0022474C">
        <w:t>W</w:t>
      </w:r>
      <w:r>
        <w:t xml:space="preserve">e have also maintained regular contact with a range of industry representatives across all technologies. </w:t>
      </w:r>
      <w:r w:rsidR="0022474C">
        <w:t>We are seeking views on the rese</w:t>
      </w:r>
      <w:r w:rsidR="00757D64">
        <w:t>a</w:t>
      </w:r>
      <w:r w:rsidR="0022474C">
        <w:t xml:space="preserve">rch provided in this report. </w:t>
      </w:r>
      <w:r>
        <w:t>On the basis of this work, w</w:t>
      </w:r>
      <w:r w:rsidRPr="002B4381">
        <w:t xml:space="preserve">e propose </w:t>
      </w:r>
      <w:r>
        <w:t xml:space="preserve">to introduce new FIT rates </w:t>
      </w:r>
      <w:r w:rsidRPr="007F34B4">
        <w:t>to take effect from 1 October 2012</w:t>
      </w:r>
      <w:r w:rsidRPr="002B4381">
        <w:t xml:space="preserve">. </w:t>
      </w:r>
      <w:r>
        <w:t>We are seeking your views on this timing</w:t>
      </w:r>
      <w:r w:rsidR="00757D64">
        <w:t xml:space="preserve"> and on the levels proposed</w:t>
      </w:r>
      <w:r>
        <w:t>.</w:t>
      </w:r>
      <w:r w:rsidRPr="002B4381">
        <w:t xml:space="preserve"> </w:t>
      </w:r>
    </w:p>
    <w:p w:rsidR="0022474C" w:rsidRDefault="0022474C" w:rsidP="00986EAF">
      <w:pPr>
        <w:pStyle w:val="DECCnumberingBold"/>
      </w:pPr>
      <w:r>
        <w:t>Some stakeholders have suggested that we consider a more flexible approach to the banding of tariffs. We do not propose to take these proposals forward at this time, but we will keep the issue under consideration</w:t>
      </w:r>
    </w:p>
    <w:p w:rsidR="003F72AA" w:rsidRDefault="003F72AA" w:rsidP="00986EAF">
      <w:pPr>
        <w:pStyle w:val="DECCnumberingBold"/>
      </w:pPr>
      <w:r>
        <w:t>We propose th</w:t>
      </w:r>
      <w:r w:rsidR="0007059F">
        <w:t xml:space="preserve">at </w:t>
      </w:r>
      <w:r w:rsidR="00757D64">
        <w:t xml:space="preserve">tariffs for </w:t>
      </w:r>
      <w:r w:rsidR="0007059F">
        <w:t>all technologies should confo</w:t>
      </w:r>
      <w:r>
        <w:t>rm with key principles that ensure that they deliver value for money. These are set out below</w:t>
      </w:r>
      <w:r w:rsidR="00757D64">
        <w:t>, along with</w:t>
      </w:r>
      <w:r>
        <w:t xml:space="preserve"> the specific proposals for each</w:t>
      </w:r>
      <w:r w:rsidR="005E2273">
        <w:t xml:space="preserve"> technology.</w:t>
      </w:r>
    </w:p>
    <w:p w:rsidR="0075197B" w:rsidRPr="00BD5AE9" w:rsidRDefault="003F72AA" w:rsidP="00E726A7">
      <w:pPr>
        <w:pStyle w:val="Heading3"/>
      </w:pPr>
      <w:bookmarkStart w:id="507" w:name="_Toc316544904"/>
      <w:r w:rsidRPr="00BD5AE9">
        <w:t>Value for money</w:t>
      </w:r>
      <w:bookmarkEnd w:id="507"/>
    </w:p>
    <w:p w:rsidR="00BD5AE9" w:rsidRDefault="00BD5AE9" w:rsidP="00BD5AE9">
      <w:pPr>
        <w:pStyle w:val="NoSpacing"/>
      </w:pPr>
    </w:p>
    <w:p w:rsidR="00757D64" w:rsidRDefault="005E2273" w:rsidP="00986EAF">
      <w:pPr>
        <w:pStyle w:val="DECCnumberingBold"/>
      </w:pPr>
      <w:r>
        <w:t>The comprehensive review is being undertaken within the context of</w:t>
      </w:r>
      <w:r w:rsidR="00C2183F">
        <w:t xml:space="preserve"> a</w:t>
      </w:r>
      <w:r>
        <w:t xml:space="preserve"> greater focus on fiscal responsibility across </w:t>
      </w:r>
      <w:r w:rsidR="00757D64">
        <w:t>G</w:t>
      </w:r>
      <w:r>
        <w:t>overnment. We need to ensure that we deliver value for money for energy consumers, who pay for the scheme</w:t>
      </w:r>
      <w:r w:rsidR="00757D64">
        <w:t>,</w:t>
      </w:r>
      <w:r>
        <w:t xml:space="preserve"> and to move to a consistent approach across all renewable </w:t>
      </w:r>
      <w:r w:rsidR="00757D64">
        <w:t xml:space="preserve">energy </w:t>
      </w:r>
      <w:r>
        <w:t>support schemes. W</w:t>
      </w:r>
      <w:r w:rsidRPr="007358DB">
        <w:t>e propose that</w:t>
      </w:r>
      <w:r w:rsidR="00C2183F">
        <w:t>,</w:t>
      </w:r>
      <w:r w:rsidRPr="007358DB">
        <w:t xml:space="preserve"> in order to emphasise the Government’s commitment to cost-effectiveness and the overriding need to ensure affordable energy for consumers, there should be a general move towards </w:t>
      </w:r>
      <w:r w:rsidR="00E5108F">
        <w:t xml:space="preserve">fiscal restraint </w:t>
      </w:r>
      <w:r w:rsidRPr="007358DB">
        <w:t xml:space="preserve">across the board. </w:t>
      </w:r>
    </w:p>
    <w:p w:rsidR="0075197B" w:rsidRDefault="005E2273" w:rsidP="00986EAF">
      <w:pPr>
        <w:pStyle w:val="DECCnumberingBold"/>
      </w:pPr>
      <w:r w:rsidRPr="007358DB">
        <w:t xml:space="preserve">Long-term value for money in delivering a low carbon economy also depends on continuing improvement in the costs of all technologies. This is a theme that runs across the Renewables Roadmap, the </w:t>
      </w:r>
      <w:r w:rsidR="00757D64">
        <w:t>Renewables Obligation (</w:t>
      </w:r>
      <w:r w:rsidRPr="007358DB">
        <w:t>RO</w:t>
      </w:r>
      <w:r w:rsidR="00757D64">
        <w:t>)</w:t>
      </w:r>
      <w:r w:rsidRPr="007358DB">
        <w:t xml:space="preserve"> banding Review, and the </w:t>
      </w:r>
      <w:r w:rsidR="009C3C3C">
        <w:t>Electricity Market Reform (</w:t>
      </w:r>
      <w:r w:rsidRPr="007358DB">
        <w:t>EMR</w:t>
      </w:r>
      <w:r w:rsidR="009C3C3C">
        <w:t>) process</w:t>
      </w:r>
      <w:r w:rsidRPr="007358DB">
        <w:t xml:space="preserve">. </w:t>
      </w:r>
      <w:r>
        <w:t>W</w:t>
      </w:r>
      <w:r w:rsidR="00E5108F">
        <w:t xml:space="preserve">e are proposing </w:t>
      </w:r>
      <w:r>
        <w:t xml:space="preserve">therefore </w:t>
      </w:r>
      <w:r w:rsidR="00E5108F">
        <w:t xml:space="preserve">to set an upper limit to support provided under FITs </w:t>
      </w:r>
      <w:r w:rsidR="00BE7000">
        <w:t>of</w:t>
      </w:r>
      <w:r w:rsidR="00E5108F">
        <w:t xml:space="preserve"> 21p/kWh for </w:t>
      </w:r>
      <w:r w:rsidR="00E5108F">
        <w:lastRenderedPageBreak/>
        <w:t>generation tariffs. This is based on the highest level of tariffs proposed</w:t>
      </w:r>
      <w:r w:rsidR="00BE7000">
        <w:t xml:space="preserve"> for solar PV</w:t>
      </w:r>
      <w:r w:rsidR="00E5108F">
        <w:t xml:space="preserve"> that have been introduced in the Phase 1 review. </w:t>
      </w:r>
    </w:p>
    <w:p w:rsidR="0075197B" w:rsidRDefault="00BE248B" w:rsidP="00986EAF">
      <w:pPr>
        <w:pStyle w:val="DECCnumberingBold"/>
      </w:pPr>
      <w:r>
        <w:t xml:space="preserve">We are proposing that </w:t>
      </w:r>
      <w:r w:rsidRPr="00BE248B">
        <w:t xml:space="preserve">all technologies should be subject to a </w:t>
      </w:r>
      <w:r w:rsidR="00BE7000">
        <w:t xml:space="preserve">tailored </w:t>
      </w:r>
      <w:r w:rsidRPr="00BE248B">
        <w:t>version of the cost control regime</w:t>
      </w:r>
      <w:r w:rsidRPr="003E1755">
        <w:t xml:space="preserve"> that is being put in place for PV technologies</w:t>
      </w:r>
      <w:r>
        <w:t>,</w:t>
      </w:r>
      <w:r w:rsidRPr="003E1755">
        <w:t xml:space="preserve"> </w:t>
      </w:r>
      <w:r>
        <w:t>including a</w:t>
      </w:r>
      <w:r w:rsidRPr="003E1755">
        <w:t xml:space="preserve">nnual automatic </w:t>
      </w:r>
      <w:proofErr w:type="spellStart"/>
      <w:r w:rsidRPr="003E1755">
        <w:t>d</w:t>
      </w:r>
      <w:r>
        <w:t>egression</w:t>
      </w:r>
      <w:proofErr w:type="spellEnd"/>
      <w:r>
        <w:t xml:space="preserve"> and capacity triggers (this is set out in detail in </w:t>
      </w:r>
      <w:r w:rsidR="00C2183F">
        <w:t>the following section</w:t>
      </w:r>
      <w:r>
        <w:t>);</w:t>
      </w:r>
    </w:p>
    <w:p w:rsidR="0075197B" w:rsidRDefault="00BE248B" w:rsidP="00986EAF">
      <w:pPr>
        <w:pStyle w:val="DECCnumberingBold"/>
      </w:pPr>
      <w:r w:rsidRPr="00F87299">
        <w:t>We are seeking views on how to ensure that</w:t>
      </w:r>
      <w:r w:rsidR="0061588F" w:rsidRPr="00F87299">
        <w:t xml:space="preserve"> </w:t>
      </w:r>
      <w:r w:rsidR="00F87299">
        <w:t>(</w:t>
      </w:r>
      <w:r w:rsidR="0061588F" w:rsidRPr="00F87299">
        <w:t>a</w:t>
      </w:r>
      <w:r w:rsidR="00F87299">
        <w:t>s</w:t>
      </w:r>
      <w:r w:rsidR="0061588F" w:rsidRPr="00F87299">
        <w:t xml:space="preserve"> for PV</w:t>
      </w:r>
      <w:r w:rsidR="00F87299">
        <w:t>)</w:t>
      </w:r>
      <w:r w:rsidR="0061588F" w:rsidRPr="00F87299">
        <w:t xml:space="preserve"> all small scale generation is considered as part of a holistic </w:t>
      </w:r>
      <w:r w:rsidR="00336CB3" w:rsidRPr="00F87299">
        <w:t>approach</w:t>
      </w:r>
      <w:r w:rsidR="0061588F" w:rsidRPr="00F87299">
        <w:t xml:space="preserve"> to carbon reductions in buildings that prioritises energy efficiency see paragraphs </w:t>
      </w:r>
      <w:r w:rsidR="00C2183F">
        <w:t>44-47</w:t>
      </w:r>
      <w:r w:rsidR="006C26EB">
        <w:t xml:space="preserve"> </w:t>
      </w:r>
      <w:r w:rsidR="0061588F" w:rsidRPr="00F87299">
        <w:t xml:space="preserve">below. </w:t>
      </w:r>
    </w:p>
    <w:p w:rsidR="0075197B" w:rsidRDefault="00EE1963" w:rsidP="00986EAF">
      <w:pPr>
        <w:pStyle w:val="DECCnumberingBold"/>
      </w:pPr>
      <w:r>
        <w:t xml:space="preserve">We will continue to ensure that there is a smooth transition in support levels between FITs and the RO. At the crossover point (5 MW) it is important that there are not perverse incentives to choose one instrument over the </w:t>
      </w:r>
      <w:r w:rsidR="002616D9">
        <w:t>other</w:t>
      </w:r>
      <w:r>
        <w:t xml:space="preserve"> – or to inefficiently undersize projects so that they are eligible for FITs rather than the RO. This </w:t>
      </w:r>
      <w:r w:rsidR="002616D9">
        <w:t>applies</w:t>
      </w:r>
      <w:r>
        <w:t xml:space="preserve"> to all of the renewable technologies included here.</w:t>
      </w:r>
    </w:p>
    <w:p w:rsidR="00BE248B" w:rsidRPr="00BD5AE9" w:rsidRDefault="00BE248B" w:rsidP="00E726A7">
      <w:pPr>
        <w:pStyle w:val="Heading3"/>
      </w:pPr>
      <w:bookmarkStart w:id="508" w:name="_Toc316544905"/>
      <w:r w:rsidRPr="00BD5AE9">
        <w:t>Anaerobic Digestion</w:t>
      </w:r>
      <w:bookmarkEnd w:id="508"/>
    </w:p>
    <w:p w:rsidR="00BF3868" w:rsidRDefault="00BE248B" w:rsidP="00986EAF">
      <w:pPr>
        <w:pStyle w:val="DECCnumberingBold"/>
      </w:pPr>
      <w:r w:rsidRPr="005367C9">
        <w:t xml:space="preserve">We are proposing </w:t>
      </w:r>
      <w:r w:rsidRPr="00BF3868">
        <w:t>to freeze tariffs for AD</w:t>
      </w:r>
      <w:r w:rsidR="00212578">
        <w:t xml:space="preserve"> of up to 500kW</w:t>
      </w:r>
      <w:r w:rsidRPr="005367C9">
        <w:t xml:space="preserve">, consistent with the constraint that no tariffs are increased from their current levels. They will however increase by RPI from 1 April 2012. </w:t>
      </w:r>
      <w:r w:rsidR="00212578">
        <w:t>Tariffs for AD above 500kW will continue to be set at the 2ROC equivalent level i.e. 9.0p/kWh.</w:t>
      </w:r>
    </w:p>
    <w:p w:rsidR="00BE248B" w:rsidRPr="005367C9" w:rsidRDefault="00BE248B" w:rsidP="00986EAF">
      <w:pPr>
        <w:pStyle w:val="DECCnumberingBold"/>
      </w:pPr>
      <w:r w:rsidRPr="005367C9">
        <w:t xml:space="preserve">There is a high degree of uncertainty on all aspects of AD, including cost assumptions and load factors as well as non-financial drivers of uptake such as planning. </w:t>
      </w:r>
      <w:r w:rsidR="00BE7000">
        <w:t xml:space="preserve">Reflecting this uncertainty, </w:t>
      </w:r>
      <w:r w:rsidR="00BF3868">
        <w:t xml:space="preserve">FITs were increased for farm-scale AD in September 2011 </w:t>
      </w:r>
      <w:r w:rsidR="00807813">
        <w:t xml:space="preserve">as a result of </w:t>
      </w:r>
      <w:r w:rsidR="00BF3868">
        <w:t>the fast-track review. Following t</w:t>
      </w:r>
      <w:r w:rsidR="009C3C3C">
        <w:t>hat there has been an increase i</w:t>
      </w:r>
      <w:r w:rsidR="00BF3868">
        <w:t xml:space="preserve">n deployment, which is </w:t>
      </w:r>
      <w:r w:rsidR="00336CB3">
        <w:t>evidence</w:t>
      </w:r>
      <w:r w:rsidR="00BF3868">
        <w:t xml:space="preserve"> that the current tariffs are providing a </w:t>
      </w:r>
      <w:r w:rsidR="00336CB3">
        <w:t>reasonable</w:t>
      </w:r>
      <w:r w:rsidR="00BF3868">
        <w:t xml:space="preserve"> return for at least some investors and</w:t>
      </w:r>
      <w:r w:rsidRPr="005367C9">
        <w:t xml:space="preserve"> that maintaining tariffs at current levels </w:t>
      </w:r>
      <w:r w:rsidR="00BE7000">
        <w:t>should support</w:t>
      </w:r>
      <w:r w:rsidRPr="005367C9">
        <w:t xml:space="preserve"> further uptake. </w:t>
      </w:r>
    </w:p>
    <w:p w:rsidR="00BE248B" w:rsidRDefault="00BE248B" w:rsidP="00986EAF">
      <w:pPr>
        <w:pStyle w:val="DECCnumberingBold"/>
      </w:pPr>
      <w:r w:rsidRPr="005367C9">
        <w:t xml:space="preserve">There also continues to be debate around </w:t>
      </w:r>
      <w:r w:rsidR="00BE7000">
        <w:t xml:space="preserve">the use of </w:t>
      </w:r>
      <w:r w:rsidR="009C3C3C">
        <w:t>purpose-grown</w:t>
      </w:r>
      <w:r w:rsidRPr="005367C9">
        <w:t xml:space="preserve"> crops </w:t>
      </w:r>
      <w:r w:rsidR="009C3C3C">
        <w:t>for</w:t>
      </w:r>
      <w:r w:rsidRPr="005367C9">
        <w:t xml:space="preserve"> AD</w:t>
      </w:r>
      <w:r w:rsidR="002202D6">
        <w:t xml:space="preserve"> and for this reason, we are proposing a cautious approach to tariff changes (see </w:t>
      </w:r>
      <w:r w:rsidR="009336E7">
        <w:t>Chapter 3</w:t>
      </w:r>
      <w:r w:rsidR="007F34B4">
        <w:t>)</w:t>
      </w:r>
      <w:r w:rsidR="002202D6">
        <w:t>.</w:t>
      </w:r>
    </w:p>
    <w:p w:rsidR="00BE248B" w:rsidRPr="00BD5AE9" w:rsidRDefault="00BE248B" w:rsidP="00E726A7">
      <w:pPr>
        <w:pStyle w:val="Heading3"/>
      </w:pPr>
      <w:bookmarkStart w:id="509" w:name="_Toc316544906"/>
      <w:r w:rsidRPr="00BD5AE9">
        <w:t>Wind</w:t>
      </w:r>
      <w:bookmarkEnd w:id="509"/>
    </w:p>
    <w:p w:rsidR="00BE248B" w:rsidRPr="0032161E" w:rsidRDefault="00BE248B" w:rsidP="00986EAF">
      <w:pPr>
        <w:pStyle w:val="DECCnumberingBold"/>
      </w:pPr>
      <w:r>
        <w:t>Tariffs for wind have been re-based as a result of our updated analysis of costs and performance. I</w:t>
      </w:r>
      <w:r w:rsidRPr="0032161E">
        <w:t xml:space="preserve">nformation on the capital costs has been updated to reflect recent price data. Other adjustments have been made including changes to load factors and export fractions compared to </w:t>
      </w:r>
      <w:r>
        <w:t xml:space="preserve">the assumptions underpinning the 2010 tariffs. </w:t>
      </w:r>
    </w:p>
    <w:p w:rsidR="00BE248B" w:rsidRDefault="00BE248B" w:rsidP="00986EAF">
      <w:pPr>
        <w:pStyle w:val="DECCnumberingBold"/>
      </w:pPr>
      <w:r w:rsidRPr="0058010D">
        <w:t>Capital costs for &lt;1.5kW building-mounted wind are significantly lower than in the previous version of the model, based on actual market prices for turbines of this type and size. Costs for larger installations are somewhat higher than the previous model, particularly for mid-sized projects, again reflecting actual market prices.</w:t>
      </w:r>
      <w:r>
        <w:t xml:space="preserve"> </w:t>
      </w:r>
    </w:p>
    <w:p w:rsidR="00BE248B" w:rsidRPr="0058010D" w:rsidRDefault="00BE248B" w:rsidP="00986EAF">
      <w:pPr>
        <w:pStyle w:val="DECCnumberingBold"/>
      </w:pPr>
      <w:r w:rsidRPr="0058010D">
        <w:lastRenderedPageBreak/>
        <w:t>Operating costs for the &lt;1.5kW and 1.5-15kW bands are lower than the previous assumptions on the basis that servicing may be less frequent and more likely to be based on the need to repair faults rather than a regular annual service.</w:t>
      </w:r>
      <w:r>
        <w:t xml:space="preserve"> </w:t>
      </w:r>
      <w:r w:rsidR="00342430">
        <w:t>O</w:t>
      </w:r>
      <w:r w:rsidR="00992B51">
        <w:t>perating expenditure</w:t>
      </w:r>
      <w:r w:rsidRPr="0058010D">
        <w:t xml:space="preserve"> for larger installations is in line with the previous model.</w:t>
      </w:r>
    </w:p>
    <w:p w:rsidR="00AE6DBB" w:rsidRDefault="005F0735" w:rsidP="00986EAF">
      <w:pPr>
        <w:pStyle w:val="DECCnumberingBold"/>
      </w:pPr>
      <w:r>
        <w:t>Assumed l</w:t>
      </w:r>
      <w:r w:rsidR="00BE248B" w:rsidRPr="0032161E">
        <w:t>oad factors are generally higher than those in the previous model, based on modelling representative turbine power curves for the different wind speed bands, and on the view that projects will</w:t>
      </w:r>
      <w:r>
        <w:t xml:space="preserve">, and should, </w:t>
      </w:r>
      <w:r w:rsidR="00BE248B" w:rsidRPr="0032161E">
        <w:t>tend towards better sites with higher wind speeds.</w:t>
      </w:r>
    </w:p>
    <w:p w:rsidR="00BE248B" w:rsidRDefault="00BE248B" w:rsidP="00986EAF">
      <w:pPr>
        <w:pStyle w:val="DECCnumberingBold"/>
      </w:pPr>
      <w:r w:rsidRPr="00C93249">
        <w:t xml:space="preserve">Tariffs for 1.5kW to 1.5MW wind installations are set to provide an approximate </w:t>
      </w:r>
      <w:r>
        <w:t>8</w:t>
      </w:r>
      <w:r w:rsidRPr="00C93249">
        <w:t>% rate of return for reference wind installations located at sites with a</w:t>
      </w:r>
      <w:r>
        <w:t>n average</w:t>
      </w:r>
      <w:r w:rsidRPr="00C93249">
        <w:t xml:space="preserve"> 6 m/s wind speed. This target rate of return </w:t>
      </w:r>
      <w:r>
        <w:t xml:space="preserve">at the high end of the 5-8% target rate of return is justified because of the portfolio risks experienced by wind developers. </w:t>
      </w:r>
    </w:p>
    <w:p w:rsidR="00BE248B" w:rsidRPr="00C93249" w:rsidRDefault="00BE248B" w:rsidP="00986EAF">
      <w:pPr>
        <w:pStyle w:val="DECCnumberingBold"/>
      </w:pPr>
      <w:r>
        <w:t xml:space="preserve">Final tariffs recommendations have been capped at 21p/kWh, the rate proposed for smallest scale PV from 1 April </w:t>
      </w:r>
      <w:r w:rsidR="0015683C">
        <w:t>2012</w:t>
      </w:r>
      <w:r w:rsidR="005F0735">
        <w:t>,</w:t>
      </w:r>
      <w:r w:rsidR="0015683C">
        <w:t xml:space="preserve"> </w:t>
      </w:r>
      <w:r>
        <w:t xml:space="preserve">in order to emphasise the need for fiscal discipline and cost effectiveness. This capping of tariffs affects </w:t>
      </w:r>
      <w:r w:rsidR="005F0735">
        <w:t xml:space="preserve">the levels proposed for </w:t>
      </w:r>
      <w:r w:rsidR="0015683C">
        <w:t xml:space="preserve">wind </w:t>
      </w:r>
      <w:r>
        <w:t xml:space="preserve">installations up to 100 kW. </w:t>
      </w:r>
      <w:r w:rsidR="00930332">
        <w:t>We propose that tariffs for wind installations above 1.5 MW will continue to be set at the 1 ROC equivalent (4.5p/kWh)</w:t>
      </w:r>
      <w:r w:rsidR="008443F8">
        <w:t>. The RO banding review, which is currently open for consultation, has however proposed reducing support for wind to 0.9 ROCs, equivalent to approximately 4.1p/kWh from April 2013. Subject to the final outcome of the RO banding review, we propose to adjust the tariffs accordingly.</w:t>
      </w:r>
    </w:p>
    <w:p w:rsidR="00BE248B" w:rsidRPr="00BD5AE9" w:rsidRDefault="00BE248B" w:rsidP="00E726A7">
      <w:pPr>
        <w:pStyle w:val="Heading3"/>
      </w:pPr>
      <w:bookmarkStart w:id="510" w:name="_Toc316544907"/>
      <w:r w:rsidRPr="00BD5AE9">
        <w:t>Hydro</w:t>
      </w:r>
      <w:bookmarkEnd w:id="510"/>
    </w:p>
    <w:p w:rsidR="00BE248B" w:rsidRDefault="00BE248B" w:rsidP="00986EAF">
      <w:pPr>
        <w:pStyle w:val="DECCnumberingBold"/>
      </w:pPr>
      <w:r>
        <w:t xml:space="preserve">Under the re-calibration of hydro costs, </w:t>
      </w:r>
      <w:r w:rsidRPr="00975707">
        <w:t xml:space="preserve">capital costs are slightly higher </w:t>
      </w:r>
      <w:r>
        <w:t>than those in the previous assumptions</w:t>
      </w:r>
      <w:r w:rsidRPr="00975707">
        <w:t>, reflect</w:t>
      </w:r>
      <w:r>
        <w:t>ing</w:t>
      </w:r>
      <w:r w:rsidRPr="00975707">
        <w:t xml:space="preserve"> industry reports of increases in raw material and project costs. </w:t>
      </w:r>
      <w:r w:rsidRPr="00AE16AA">
        <w:t>Operating costs are in line with those from the previo</w:t>
      </w:r>
      <w:r>
        <w:t xml:space="preserve">us estimates. </w:t>
      </w:r>
      <w:r w:rsidRPr="00AE16AA">
        <w:t>Load factors are slightly higher than those in the previous model to reflect typical values for UK hydro sites, on the assumption that projects will</w:t>
      </w:r>
      <w:r w:rsidR="00BE512D">
        <w:t>, and should,</w:t>
      </w:r>
      <w:r w:rsidRPr="00AE16AA">
        <w:t xml:space="preserve"> tend to favour sites with reasonable load factors.</w:t>
      </w:r>
    </w:p>
    <w:p w:rsidR="00BE248B" w:rsidRDefault="00BE248B" w:rsidP="00986EAF">
      <w:pPr>
        <w:pStyle w:val="DECCnumberingBold"/>
      </w:pPr>
      <w:r>
        <w:t>Recalculation of tariffs using the revised estimates based on an 8% rate of return would result in a profile of tariffs that was very similar to the existing tariffs. The recent RO consultation has highlighted the considerable debate regarding technology assumptions for hydro, particularly in regard to the expected load factors for install</w:t>
      </w:r>
      <w:r w:rsidR="002D1EC1">
        <w:t xml:space="preserve">ations that are expected to be built </w:t>
      </w:r>
      <w:r>
        <w:t xml:space="preserve">in the future. It is therefore proposed </w:t>
      </w:r>
      <w:r w:rsidRPr="005367C9">
        <w:t>not to change tariffs for hydro</w:t>
      </w:r>
      <w:r w:rsidR="002D1EC1">
        <w:t xml:space="preserve"> in the short term</w:t>
      </w:r>
      <w:r w:rsidRPr="005367C9">
        <w:t>, other than to apply the 21p cap</w:t>
      </w:r>
      <w:r w:rsidR="002202D6">
        <w:t>, and to continu</w:t>
      </w:r>
      <w:r w:rsidR="0015683C">
        <w:t>e</w:t>
      </w:r>
      <w:r w:rsidR="002202D6">
        <w:t xml:space="preserve"> the tapering of tariffs to RO levels.</w:t>
      </w:r>
    </w:p>
    <w:p w:rsidR="00BE248B" w:rsidRDefault="00930332" w:rsidP="00986EAF">
      <w:pPr>
        <w:pStyle w:val="DECCnumberingBold"/>
      </w:pPr>
      <w:r>
        <w:t xml:space="preserve">We propose that </w:t>
      </w:r>
      <w:r w:rsidR="00BE248B">
        <w:t xml:space="preserve">hydro installations in the range of 2–5 MW </w:t>
      </w:r>
      <w:r>
        <w:t xml:space="preserve">will continue to receive </w:t>
      </w:r>
      <w:r w:rsidR="00BE248B">
        <w:t>the equivalent of 1 ROC/MWh</w:t>
      </w:r>
      <w:r w:rsidR="002D1EC1">
        <w:t xml:space="preserve"> </w:t>
      </w:r>
      <w:r>
        <w:t>i.e. 4.5p/kWh</w:t>
      </w:r>
      <w:r w:rsidR="00BE248B">
        <w:t xml:space="preserve">. </w:t>
      </w:r>
      <w:r w:rsidR="00A679EA">
        <w:t xml:space="preserve">The RO banding review, which is currently open </w:t>
      </w:r>
      <w:r w:rsidR="001946F0">
        <w:t>for consul</w:t>
      </w:r>
      <w:r w:rsidR="00A679EA">
        <w:t>tation</w:t>
      </w:r>
      <w:r w:rsidR="00BE512D">
        <w:t>,</w:t>
      </w:r>
      <w:r w:rsidR="00A679EA">
        <w:t xml:space="preserve"> has however proposed reducing support for hydro stations to 0.5 ROCs, equivalent to approximately 2.3p/kWh</w:t>
      </w:r>
      <w:r>
        <w:t xml:space="preserve"> from April 2013. Subject to the final outcome of the RO banding review, we propose to adjust the tariffs accordingly</w:t>
      </w:r>
      <w:r w:rsidR="00A679EA">
        <w:t>.</w:t>
      </w:r>
      <w:r w:rsidR="001946F0" w:rsidRPr="001946F0">
        <w:t xml:space="preserve"> Further evidence on costs of hydro in this range has been submitted to the Depart</w:t>
      </w:r>
      <w:r w:rsidR="001946F0">
        <w:t>ment</w:t>
      </w:r>
      <w:r w:rsidR="001946F0" w:rsidRPr="001946F0">
        <w:t xml:space="preserve"> as part of the RO consultation and is being </w:t>
      </w:r>
      <w:r w:rsidR="001946F0" w:rsidRPr="001946F0">
        <w:lastRenderedPageBreak/>
        <w:t>considered. The analysis of this data will also be taken into account when</w:t>
      </w:r>
      <w:r w:rsidR="001946F0">
        <w:t xml:space="preserve"> considering responses to the FI</w:t>
      </w:r>
      <w:r w:rsidR="001946F0" w:rsidRPr="001946F0">
        <w:t>Ts consultation</w:t>
      </w:r>
      <w:r w:rsidR="001D3C33">
        <w:t xml:space="preserve"> and considering final FI</w:t>
      </w:r>
      <w:r w:rsidR="001946F0" w:rsidRPr="001946F0">
        <w:t>T levels</w:t>
      </w:r>
      <w:r w:rsidR="001946F0">
        <w:t>.</w:t>
      </w:r>
    </w:p>
    <w:p w:rsidR="0075197B" w:rsidRPr="00BD5AE9" w:rsidRDefault="00BE248B" w:rsidP="00E726A7">
      <w:pPr>
        <w:pStyle w:val="Heading3"/>
      </w:pPr>
      <w:bookmarkStart w:id="511" w:name="_Toc316544908"/>
      <w:proofErr w:type="spellStart"/>
      <w:r w:rsidRPr="00BD5AE9">
        <w:t>MicroCHP</w:t>
      </w:r>
      <w:bookmarkEnd w:id="511"/>
      <w:proofErr w:type="spellEnd"/>
    </w:p>
    <w:p w:rsidR="00BD5AE9" w:rsidRPr="00BD5AE9" w:rsidRDefault="00BD5AE9" w:rsidP="00BD5AE9">
      <w:pPr>
        <w:pStyle w:val="NoSpacing"/>
      </w:pPr>
    </w:p>
    <w:p w:rsidR="00BE248B" w:rsidRPr="00A352EB" w:rsidRDefault="001946F0" w:rsidP="00986EAF">
      <w:pPr>
        <w:pStyle w:val="DECCnumberingBold"/>
      </w:pPr>
      <w:r>
        <w:t xml:space="preserve">The Government considers that </w:t>
      </w:r>
      <w:proofErr w:type="spellStart"/>
      <w:r>
        <w:t>micro</w:t>
      </w:r>
      <w:r w:rsidR="00BE248B" w:rsidRPr="00A352EB">
        <w:t>CHP</w:t>
      </w:r>
      <w:proofErr w:type="spellEnd"/>
      <w:r w:rsidR="00BE248B" w:rsidRPr="00A352EB">
        <w:t xml:space="preserve"> could play a useful part in a portfolio approach to supporting lower-carbon technologies</w:t>
      </w:r>
      <w:r>
        <w:t xml:space="preserve"> in the domestic context. </w:t>
      </w:r>
      <w:r w:rsidR="00BE248B" w:rsidRPr="00A352EB">
        <w:t xml:space="preserve">Specifically, </w:t>
      </w:r>
      <w:r>
        <w:t>it</w:t>
      </w:r>
      <w:r w:rsidR="00BE248B" w:rsidRPr="00A352EB">
        <w:t xml:space="preserve"> may be a useful transitional alternative to gas boilers</w:t>
      </w:r>
      <w:r w:rsidR="00BE512D">
        <w:t>,</w:t>
      </w:r>
      <w:r w:rsidR="00BE248B" w:rsidRPr="00A352EB">
        <w:t xml:space="preserve"> particularly in urban areas where there are significant barriers to heat pumps, and which are not yet covered by district heat</w:t>
      </w:r>
      <w:r w:rsidR="004D08B3">
        <w:t>.</w:t>
      </w:r>
      <w:r w:rsidR="00BE248B" w:rsidRPr="00A352EB">
        <w:t xml:space="preserve"> </w:t>
      </w:r>
    </w:p>
    <w:p w:rsidR="00BE248B" w:rsidRPr="00A352EB" w:rsidRDefault="00BE248B" w:rsidP="00986EAF">
      <w:pPr>
        <w:pStyle w:val="DECCnumberingBold"/>
      </w:pPr>
      <w:r w:rsidRPr="00A352EB">
        <w:t>Given the low production volumes, manufacturing costs are still high and look unlikely to come down in the short term</w:t>
      </w:r>
      <w:r w:rsidR="001946F0">
        <w:t>.</w:t>
      </w:r>
      <w:r w:rsidRPr="00A352EB">
        <w:t xml:space="preserve"> Given the</w:t>
      </w:r>
      <w:r>
        <w:t>se</w:t>
      </w:r>
      <w:r w:rsidRPr="00A352EB">
        <w:t xml:space="preserve"> small numbers</w:t>
      </w:r>
      <w:r>
        <w:t>,</w:t>
      </w:r>
      <w:r w:rsidRPr="00A352EB">
        <w:t xml:space="preserve"> </w:t>
      </w:r>
      <w:r w:rsidR="00BE512D">
        <w:t>we</w:t>
      </w:r>
      <w:r>
        <w:t xml:space="preserve"> propose </w:t>
      </w:r>
      <w:r w:rsidRPr="00A352EB">
        <w:t>to raise the support level to 12.5p</w:t>
      </w:r>
      <w:r w:rsidR="00807813">
        <w:t xml:space="preserve">. This increase will allow a rate of return for </w:t>
      </w:r>
      <w:r w:rsidR="00BE512D">
        <w:t>µCHP</w:t>
      </w:r>
      <w:r w:rsidR="00807813">
        <w:t xml:space="preserve"> comparable to other low carbon domestic technologies. We propose</w:t>
      </w:r>
      <w:r w:rsidR="00BE512D">
        <w:t>,</w:t>
      </w:r>
      <w:r w:rsidR="00807813">
        <w:t xml:space="preserve"> however</w:t>
      </w:r>
      <w:r w:rsidR="00BE512D">
        <w:t>,</w:t>
      </w:r>
      <w:r w:rsidR="00807813">
        <w:t xml:space="preserve"> because of the uncertainties regarding future costs, that the </w:t>
      </w:r>
      <w:r w:rsidRPr="00A352EB">
        <w:t>existing cap of 30,000 installations</w:t>
      </w:r>
      <w:r w:rsidR="00807813">
        <w:t xml:space="preserve"> should be retain</w:t>
      </w:r>
      <w:r w:rsidR="00557E49">
        <w:t xml:space="preserve">ed in order to provide </w:t>
      </w:r>
      <w:r w:rsidR="002616D9">
        <w:t>budget</w:t>
      </w:r>
      <w:r w:rsidR="00557E49">
        <w:t xml:space="preserve"> security. We do not </w:t>
      </w:r>
      <w:r w:rsidR="00BE512D">
        <w:t>intend</w:t>
      </w:r>
      <w:r w:rsidR="00557E49">
        <w:t xml:space="preserve"> that this should limit the total deployment of the industry and the review of tariff and deployment levels triggered at the point of 12,000 installations will be </w:t>
      </w:r>
      <w:r w:rsidR="002616D9">
        <w:t>retained</w:t>
      </w:r>
      <w:r w:rsidR="00557E49">
        <w:t>,</w:t>
      </w:r>
    </w:p>
    <w:p w:rsidR="00BE248B" w:rsidRDefault="00BE248B" w:rsidP="00986EAF">
      <w:pPr>
        <w:pStyle w:val="DECCnumberingBold"/>
      </w:pPr>
      <w:r w:rsidRPr="00A352EB">
        <w:t xml:space="preserve">We will keep the situation under close review as our </w:t>
      </w:r>
      <w:r w:rsidR="00BE512D">
        <w:t xml:space="preserve">overall </w:t>
      </w:r>
      <w:r w:rsidRPr="00A352EB">
        <w:t xml:space="preserve">heat strategy </w:t>
      </w:r>
      <w:r w:rsidR="00557E49">
        <w:t xml:space="preserve">and the technology </w:t>
      </w:r>
      <w:r w:rsidRPr="00A352EB">
        <w:t>evolves</w:t>
      </w:r>
      <w:r w:rsidR="00557E49">
        <w:t>.</w:t>
      </w:r>
    </w:p>
    <w:tbl>
      <w:tblPr>
        <w:tblW w:w="4857"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2860A0" w:rsidRPr="00015C4E" w:rsidTr="002860A0">
        <w:tc>
          <w:tcPr>
            <w:tcW w:w="5000" w:type="pct"/>
            <w:gridSpan w:val="2"/>
            <w:shd w:val="clear" w:color="auto" w:fill="CCECF9"/>
            <w:tcMar>
              <w:top w:w="113" w:type="dxa"/>
              <w:bottom w:w="113" w:type="dxa"/>
            </w:tcMar>
          </w:tcPr>
          <w:p w:rsidR="002860A0" w:rsidRPr="00226F71" w:rsidRDefault="002860A0" w:rsidP="002860A0">
            <w:pPr>
              <w:pStyle w:val="TableTitle"/>
              <w:rPr>
                <w:rStyle w:val="PantoneCyan"/>
                <w:b/>
              </w:rPr>
            </w:pPr>
            <w:r w:rsidRPr="00226F71">
              <w:rPr>
                <w:rStyle w:val="PantoneCyan"/>
                <w:b/>
              </w:rPr>
              <w:t>Consultation Question</w:t>
            </w:r>
            <w:r>
              <w:rPr>
                <w:rStyle w:val="PantoneCyan"/>
                <w:b/>
              </w:rPr>
              <w:t xml:space="preserve">s: </w:t>
            </w:r>
            <w:r>
              <w:rPr>
                <w:rStyle w:val="PantoneCyan"/>
                <w:b/>
                <w:i/>
              </w:rPr>
              <w:t xml:space="preserve">Please support your response with arguments </w:t>
            </w:r>
            <w:bookmarkStart w:id="512" w:name="OLE_LINK17"/>
            <w:bookmarkStart w:id="513" w:name="OLE_LINK19"/>
            <w:r>
              <w:rPr>
                <w:rStyle w:val="PantoneCyan"/>
                <w:b/>
                <w:i/>
              </w:rPr>
              <w:t>and evidence</w:t>
            </w:r>
            <w:bookmarkEnd w:id="512"/>
            <w:bookmarkEnd w:id="513"/>
          </w:p>
        </w:tc>
      </w:tr>
      <w:tr w:rsidR="002860A0" w:rsidRPr="00015C4E" w:rsidTr="002860A0">
        <w:tc>
          <w:tcPr>
            <w:tcW w:w="355" w:type="pct"/>
            <w:shd w:val="clear" w:color="auto" w:fill="CCECF9"/>
            <w:tcMar>
              <w:top w:w="113" w:type="dxa"/>
              <w:bottom w:w="113" w:type="dxa"/>
            </w:tcMar>
          </w:tcPr>
          <w:p w:rsidR="002860A0" w:rsidRDefault="002860A0" w:rsidP="002860A0">
            <w:pPr>
              <w:pStyle w:val="TableText"/>
            </w:pPr>
            <w:r>
              <w:t>1.</w:t>
            </w:r>
          </w:p>
        </w:tc>
        <w:tc>
          <w:tcPr>
            <w:tcW w:w="4645" w:type="pct"/>
            <w:shd w:val="clear" w:color="auto" w:fill="CCECF9"/>
            <w:tcMar>
              <w:top w:w="113" w:type="dxa"/>
              <w:bottom w:w="113" w:type="dxa"/>
            </w:tcMar>
          </w:tcPr>
          <w:p w:rsidR="002860A0" w:rsidRPr="00BD5AE9" w:rsidRDefault="002860A0" w:rsidP="002860A0">
            <w:pPr>
              <w:pStyle w:val="ListParagraph1"/>
              <w:spacing w:after="0" w:line="240" w:lineRule="auto"/>
              <w:ind w:left="0"/>
              <w:jc w:val="both"/>
              <w:rPr>
                <w:rFonts w:ascii="Arial" w:hAnsi="Arial" w:cs="Arial"/>
                <w:color w:val="000000"/>
                <w:sz w:val="24"/>
                <w:szCs w:val="24"/>
              </w:rPr>
            </w:pPr>
            <w:bookmarkStart w:id="514" w:name="OLE_LINK20"/>
            <w:bookmarkStart w:id="515" w:name="OLE_LINK28"/>
            <w:r w:rsidRPr="00BD5AE9">
              <w:rPr>
                <w:rFonts w:ascii="Arial" w:hAnsi="Arial" w:cs="Arial"/>
                <w:color w:val="000000"/>
                <w:sz w:val="24"/>
                <w:szCs w:val="24"/>
              </w:rPr>
              <w:t>Do you have any comments on the data used to develop these tariffs?</w:t>
            </w:r>
            <w:bookmarkEnd w:id="514"/>
            <w:bookmarkEnd w:id="515"/>
          </w:p>
        </w:tc>
      </w:tr>
      <w:tr w:rsidR="002860A0" w:rsidRPr="00015C4E" w:rsidTr="002860A0">
        <w:tc>
          <w:tcPr>
            <w:tcW w:w="355" w:type="pct"/>
            <w:shd w:val="clear" w:color="auto" w:fill="CCECF9"/>
            <w:tcMar>
              <w:top w:w="113" w:type="dxa"/>
              <w:bottom w:w="113" w:type="dxa"/>
            </w:tcMar>
          </w:tcPr>
          <w:p w:rsidR="002860A0" w:rsidRPr="00015C4E" w:rsidRDefault="002860A0" w:rsidP="002860A0">
            <w:pPr>
              <w:pStyle w:val="TableText"/>
            </w:pPr>
            <w:r>
              <w:t>2.</w:t>
            </w:r>
          </w:p>
        </w:tc>
        <w:tc>
          <w:tcPr>
            <w:tcW w:w="4645" w:type="pct"/>
            <w:shd w:val="clear" w:color="auto" w:fill="CCECF9"/>
            <w:tcMar>
              <w:top w:w="113" w:type="dxa"/>
              <w:bottom w:w="113" w:type="dxa"/>
            </w:tcMar>
          </w:tcPr>
          <w:p w:rsidR="002860A0" w:rsidRPr="00BD5AE9" w:rsidRDefault="002860A0" w:rsidP="002860A0">
            <w:pPr>
              <w:pStyle w:val="ListParagraph1"/>
              <w:spacing w:after="0" w:line="240" w:lineRule="auto"/>
              <w:ind w:left="0"/>
              <w:jc w:val="both"/>
              <w:rPr>
                <w:rFonts w:ascii="Arial" w:hAnsi="Arial" w:cs="Arial"/>
                <w:color w:val="000000"/>
                <w:sz w:val="24"/>
                <w:szCs w:val="24"/>
              </w:rPr>
            </w:pPr>
            <w:r w:rsidRPr="00BD5AE9">
              <w:rPr>
                <w:rFonts w:ascii="Arial" w:hAnsi="Arial" w:cs="Arial"/>
                <w:color w:val="000000"/>
                <w:sz w:val="24"/>
                <w:szCs w:val="24"/>
              </w:rPr>
              <w:t>Do you agree with the proposed tariffs?</w:t>
            </w:r>
          </w:p>
        </w:tc>
      </w:tr>
      <w:tr w:rsidR="002860A0" w:rsidRPr="00015C4E" w:rsidTr="002860A0">
        <w:tc>
          <w:tcPr>
            <w:tcW w:w="355" w:type="pct"/>
            <w:shd w:val="clear" w:color="auto" w:fill="CCECF9"/>
            <w:tcMar>
              <w:top w:w="113" w:type="dxa"/>
              <w:bottom w:w="113" w:type="dxa"/>
            </w:tcMar>
          </w:tcPr>
          <w:p w:rsidR="002860A0" w:rsidRDefault="002860A0" w:rsidP="002860A0">
            <w:pPr>
              <w:pStyle w:val="TableText"/>
            </w:pPr>
            <w:r>
              <w:t>3.</w:t>
            </w:r>
          </w:p>
        </w:tc>
        <w:tc>
          <w:tcPr>
            <w:tcW w:w="4645" w:type="pct"/>
            <w:shd w:val="clear" w:color="auto" w:fill="CCECF9"/>
            <w:tcMar>
              <w:top w:w="113" w:type="dxa"/>
              <w:bottom w:w="113" w:type="dxa"/>
            </w:tcMar>
          </w:tcPr>
          <w:p w:rsidR="002860A0" w:rsidRPr="00BD5AE9" w:rsidRDefault="002860A0" w:rsidP="002860A0">
            <w:pPr>
              <w:pStyle w:val="ListParagraph1"/>
              <w:spacing w:after="0" w:line="240" w:lineRule="auto"/>
              <w:ind w:left="0"/>
              <w:jc w:val="both"/>
              <w:rPr>
                <w:rFonts w:ascii="Arial" w:hAnsi="Arial" w:cs="Arial"/>
                <w:color w:val="000000"/>
                <w:sz w:val="24"/>
                <w:szCs w:val="24"/>
              </w:rPr>
            </w:pPr>
            <w:r w:rsidRPr="00BD5AE9">
              <w:rPr>
                <w:rFonts w:ascii="Arial" w:hAnsi="Arial" w:cs="Arial"/>
                <w:color w:val="000000"/>
                <w:sz w:val="24"/>
                <w:szCs w:val="24"/>
              </w:rPr>
              <w:t>Do you agree with the proposed timing for implementation?</w:t>
            </w:r>
          </w:p>
        </w:tc>
      </w:tr>
    </w:tbl>
    <w:p w:rsidR="002860A0" w:rsidRDefault="002860A0" w:rsidP="0068678B">
      <w:pPr>
        <w:pStyle w:val="DECCnumberingBold"/>
        <w:numPr>
          <w:ilvl w:val="0"/>
          <w:numId w:val="0"/>
        </w:numPr>
        <w:ind w:left="426"/>
      </w:pPr>
    </w:p>
    <w:p w:rsidR="0075197B" w:rsidRPr="00BD5AE9" w:rsidRDefault="002860A0" w:rsidP="00E726A7">
      <w:pPr>
        <w:pStyle w:val="Heading3"/>
      </w:pPr>
      <w:r>
        <w:br w:type="page"/>
      </w:r>
      <w:bookmarkStart w:id="516" w:name="_Toc316544909"/>
      <w:r w:rsidR="00BE248B" w:rsidRPr="00BD5AE9">
        <w:lastRenderedPageBreak/>
        <w:t>Summary of 2012 tariff</w:t>
      </w:r>
      <w:r w:rsidR="003C2EA9">
        <w:t xml:space="preserve"> proposals</w:t>
      </w:r>
      <w:bookmarkEnd w:id="516"/>
    </w:p>
    <w:p w:rsidR="00BD5AE9" w:rsidRDefault="00BD5AE9" w:rsidP="00BD5AE9">
      <w:pPr>
        <w:pStyle w:val="NoSpacing"/>
      </w:pPr>
    </w:p>
    <w:p w:rsidR="00BE248B" w:rsidRDefault="00BE248B" w:rsidP="00986EAF">
      <w:pPr>
        <w:pStyle w:val="DECCnumberingBold"/>
      </w:pPr>
      <w:r w:rsidRPr="00CF7C83">
        <w:t xml:space="preserve">The starting tariffs </w:t>
      </w:r>
      <w:r w:rsidR="008B1809" w:rsidRPr="00CF7C83">
        <w:t xml:space="preserve">from </w:t>
      </w:r>
      <w:r w:rsidR="008B1809">
        <w:t>which</w:t>
      </w:r>
      <w:r w:rsidRPr="00CF7C83">
        <w:t xml:space="preserve"> the proposals apply is shown in Table </w:t>
      </w:r>
      <w:r w:rsidR="00BE5FB6">
        <w:t>4</w:t>
      </w:r>
      <w:r w:rsidRPr="00CF7C83">
        <w:t xml:space="preserve"> below.</w:t>
      </w:r>
    </w:p>
    <w:p w:rsidR="00D45983" w:rsidRPr="00D71692" w:rsidRDefault="00BE248B" w:rsidP="00876190">
      <w:pPr>
        <w:pStyle w:val="Caption"/>
        <w:jc w:val="center"/>
        <w:rPr>
          <w:sz w:val="20"/>
          <w:szCs w:val="20"/>
          <w:u w:val="single"/>
        </w:rPr>
      </w:pPr>
      <w:bookmarkStart w:id="517" w:name="OLE_LINK29"/>
      <w:bookmarkStart w:id="518" w:name="OLE_LINK30"/>
      <w:r w:rsidRPr="00D71692">
        <w:rPr>
          <w:sz w:val="20"/>
          <w:szCs w:val="20"/>
        </w:rPr>
        <w:t xml:space="preserve">Table </w:t>
      </w:r>
      <w:r w:rsidR="00BE5FB6" w:rsidRPr="00D71692">
        <w:rPr>
          <w:sz w:val="20"/>
          <w:szCs w:val="20"/>
        </w:rPr>
        <w:t>4:</w:t>
      </w:r>
      <w:r w:rsidR="00DE421F" w:rsidRPr="00D71692">
        <w:rPr>
          <w:sz w:val="20"/>
          <w:szCs w:val="20"/>
        </w:rPr>
        <w:t xml:space="preserve"> </w:t>
      </w:r>
      <w:r w:rsidR="00876190">
        <w:rPr>
          <w:sz w:val="20"/>
          <w:szCs w:val="20"/>
        </w:rPr>
        <w:t>P</w:t>
      </w:r>
      <w:r w:rsidR="00D45983" w:rsidRPr="00D71692">
        <w:rPr>
          <w:sz w:val="20"/>
          <w:szCs w:val="20"/>
        </w:rPr>
        <w:t xml:space="preserve">roposed </w:t>
      </w:r>
      <w:r w:rsidR="001E768A">
        <w:rPr>
          <w:sz w:val="20"/>
          <w:szCs w:val="20"/>
        </w:rPr>
        <w:t>generation</w:t>
      </w:r>
      <w:r w:rsidR="002860A0">
        <w:rPr>
          <w:sz w:val="20"/>
          <w:szCs w:val="20"/>
        </w:rPr>
        <w:t xml:space="preserve"> </w:t>
      </w:r>
      <w:r w:rsidR="00D45983" w:rsidRPr="00D71692">
        <w:rPr>
          <w:sz w:val="20"/>
          <w:szCs w:val="20"/>
        </w:rPr>
        <w:t>tariffs for October 201</w:t>
      </w:r>
      <w:r w:rsidR="00876190">
        <w:rPr>
          <w:sz w:val="20"/>
          <w:szCs w:val="20"/>
        </w:rPr>
        <w:t>2</w:t>
      </w:r>
    </w:p>
    <w:tbl>
      <w:tblPr>
        <w:tblW w:w="7796" w:type="dxa"/>
        <w:jc w:val="center"/>
        <w:tblInd w:w="392" w:type="dxa"/>
        <w:tblLook w:val="04A0"/>
      </w:tblPr>
      <w:tblGrid>
        <w:gridCol w:w="1559"/>
        <w:gridCol w:w="1860"/>
        <w:gridCol w:w="2393"/>
        <w:gridCol w:w="1984"/>
      </w:tblGrid>
      <w:tr w:rsidR="00D45983" w:rsidRPr="00D45983" w:rsidTr="00D71692">
        <w:trPr>
          <w:trHeight w:val="600"/>
          <w:jc w:val="center"/>
        </w:trPr>
        <w:tc>
          <w:tcPr>
            <w:tcW w:w="1559" w:type="dxa"/>
            <w:tcBorders>
              <w:top w:val="single" w:sz="8" w:space="0" w:color="auto"/>
              <w:left w:val="single" w:sz="8" w:space="0" w:color="auto"/>
              <w:bottom w:val="single" w:sz="8" w:space="0" w:color="auto"/>
              <w:right w:val="nil"/>
            </w:tcBorders>
            <w:shd w:val="clear" w:color="auto" w:fill="auto"/>
            <w:vAlign w:val="center"/>
            <w:hideMark/>
          </w:tcPr>
          <w:p w:rsidR="00D45983" w:rsidRPr="00D71692" w:rsidRDefault="00D45983" w:rsidP="00D71692">
            <w:pPr>
              <w:spacing w:after="0"/>
              <w:jc w:val="both"/>
              <w:rPr>
                <w:rFonts w:cs="Arial"/>
                <w:color w:val="000000"/>
                <w:sz w:val="20"/>
                <w:szCs w:val="20"/>
                <w:lang w:eastAsia="en-GB"/>
              </w:rPr>
            </w:pPr>
            <w:r w:rsidRPr="00D71692">
              <w:rPr>
                <w:rFonts w:cs="Arial"/>
                <w:color w:val="000000"/>
                <w:sz w:val="20"/>
                <w:szCs w:val="20"/>
                <w:lang w:eastAsia="en-GB"/>
              </w:rPr>
              <w:t>Technology</w:t>
            </w:r>
          </w:p>
        </w:tc>
        <w:tc>
          <w:tcPr>
            <w:tcW w:w="1860" w:type="dxa"/>
            <w:tcBorders>
              <w:top w:val="single" w:sz="8" w:space="0" w:color="auto"/>
              <w:left w:val="single" w:sz="8" w:space="0" w:color="auto"/>
              <w:bottom w:val="single" w:sz="8" w:space="0" w:color="auto"/>
              <w:right w:val="nil"/>
            </w:tcBorders>
            <w:shd w:val="clear" w:color="auto" w:fill="auto"/>
            <w:vAlign w:val="center"/>
            <w:hideMark/>
          </w:tcPr>
          <w:p w:rsidR="00D71692" w:rsidRDefault="00D45983" w:rsidP="00D71692">
            <w:pPr>
              <w:spacing w:after="0"/>
              <w:ind w:left="0"/>
              <w:jc w:val="both"/>
              <w:rPr>
                <w:rFonts w:cs="Arial"/>
                <w:color w:val="000000"/>
                <w:sz w:val="20"/>
                <w:szCs w:val="20"/>
                <w:lang w:eastAsia="en-GB"/>
              </w:rPr>
            </w:pPr>
            <w:r w:rsidRPr="00D71692">
              <w:rPr>
                <w:rFonts w:cs="Arial"/>
                <w:color w:val="000000"/>
                <w:sz w:val="20"/>
                <w:szCs w:val="20"/>
                <w:lang w:eastAsia="en-GB"/>
              </w:rPr>
              <w:t xml:space="preserve">Tariff band </w:t>
            </w:r>
          </w:p>
          <w:p w:rsidR="00D45983" w:rsidRPr="00D71692" w:rsidRDefault="00D45983" w:rsidP="00D71692">
            <w:pPr>
              <w:spacing w:after="0"/>
              <w:ind w:left="0"/>
              <w:jc w:val="both"/>
              <w:rPr>
                <w:rFonts w:cs="Arial"/>
                <w:color w:val="000000"/>
                <w:sz w:val="20"/>
                <w:szCs w:val="20"/>
                <w:lang w:eastAsia="en-GB"/>
              </w:rPr>
            </w:pPr>
            <w:r w:rsidRPr="00D71692">
              <w:rPr>
                <w:rFonts w:cs="Arial"/>
                <w:color w:val="000000"/>
                <w:sz w:val="20"/>
                <w:szCs w:val="20"/>
                <w:lang w:eastAsia="en-GB"/>
              </w:rPr>
              <w:t>(kW capacity)</w:t>
            </w:r>
          </w:p>
        </w:tc>
        <w:tc>
          <w:tcPr>
            <w:tcW w:w="2393" w:type="dxa"/>
            <w:tcBorders>
              <w:top w:val="single" w:sz="8" w:space="0" w:color="auto"/>
              <w:left w:val="single" w:sz="8" w:space="0" w:color="auto"/>
              <w:bottom w:val="nil"/>
              <w:right w:val="single" w:sz="8" w:space="0" w:color="auto"/>
            </w:tcBorders>
            <w:shd w:val="clear" w:color="auto" w:fill="auto"/>
            <w:vAlign w:val="center"/>
            <w:hideMark/>
          </w:tcPr>
          <w:p w:rsidR="00D71692" w:rsidRDefault="00D45983" w:rsidP="00D71692">
            <w:pPr>
              <w:spacing w:after="0"/>
              <w:rPr>
                <w:rFonts w:cs="Arial"/>
                <w:color w:val="000000"/>
                <w:sz w:val="20"/>
                <w:szCs w:val="20"/>
                <w:lang w:eastAsia="en-GB"/>
              </w:rPr>
            </w:pPr>
            <w:r w:rsidRPr="00D71692">
              <w:rPr>
                <w:rFonts w:cs="Arial"/>
                <w:b/>
                <w:bCs/>
                <w:color w:val="000000"/>
                <w:sz w:val="20"/>
                <w:szCs w:val="20"/>
                <w:lang w:eastAsia="en-GB"/>
              </w:rPr>
              <w:t>Current tariffs</w:t>
            </w:r>
            <w:r w:rsidRPr="00D71692">
              <w:rPr>
                <w:rFonts w:cs="Arial"/>
                <w:color w:val="000000"/>
                <w:sz w:val="20"/>
                <w:szCs w:val="20"/>
                <w:lang w:eastAsia="en-GB"/>
              </w:rPr>
              <w:t xml:space="preserve"> </w:t>
            </w:r>
          </w:p>
          <w:p w:rsidR="00D45983" w:rsidRPr="00D71692" w:rsidRDefault="00D45983" w:rsidP="00D71692">
            <w:pPr>
              <w:spacing w:after="0"/>
              <w:rPr>
                <w:rFonts w:cs="Arial"/>
                <w:b/>
                <w:bCs/>
                <w:color w:val="000000"/>
                <w:sz w:val="20"/>
                <w:szCs w:val="20"/>
                <w:lang w:eastAsia="en-GB"/>
              </w:rPr>
            </w:pPr>
            <w:r w:rsidRPr="00D71692">
              <w:rPr>
                <w:rFonts w:cs="Arial"/>
                <w:color w:val="000000"/>
                <w:sz w:val="20"/>
                <w:szCs w:val="20"/>
                <w:lang w:eastAsia="en-GB"/>
              </w:rPr>
              <w:t>(i.e. no change to current policy)</w:t>
            </w:r>
          </w:p>
        </w:tc>
        <w:tc>
          <w:tcPr>
            <w:tcW w:w="1984" w:type="dxa"/>
            <w:tcBorders>
              <w:top w:val="single" w:sz="8" w:space="0" w:color="auto"/>
              <w:left w:val="nil"/>
              <w:bottom w:val="single" w:sz="8" w:space="0" w:color="auto"/>
              <w:right w:val="single" w:sz="8" w:space="0" w:color="auto"/>
            </w:tcBorders>
            <w:shd w:val="clear" w:color="000000" w:fill="D6E3BC"/>
            <w:vAlign w:val="center"/>
            <w:hideMark/>
          </w:tcPr>
          <w:p w:rsidR="00D45983" w:rsidRPr="00D71692" w:rsidRDefault="00D45983" w:rsidP="00D71692">
            <w:pPr>
              <w:spacing w:after="0"/>
              <w:rPr>
                <w:rFonts w:cs="Arial"/>
                <w:bCs/>
                <w:color w:val="000000"/>
                <w:sz w:val="20"/>
                <w:szCs w:val="20"/>
                <w:lang w:eastAsia="en-GB"/>
              </w:rPr>
            </w:pPr>
            <w:r w:rsidRPr="00D71692">
              <w:rPr>
                <w:rFonts w:cs="Arial"/>
                <w:b/>
                <w:bCs/>
                <w:color w:val="000000"/>
                <w:sz w:val="20"/>
                <w:szCs w:val="20"/>
                <w:lang w:eastAsia="en-GB"/>
              </w:rPr>
              <w:t xml:space="preserve">Proposed tariffs </w:t>
            </w:r>
            <w:r w:rsidRPr="00D71692">
              <w:rPr>
                <w:rFonts w:cs="Arial"/>
                <w:bCs/>
                <w:color w:val="000000"/>
                <w:sz w:val="20"/>
                <w:szCs w:val="20"/>
                <w:lang w:eastAsia="en-GB"/>
              </w:rPr>
              <w:t>from Oct 2012</w:t>
            </w:r>
          </w:p>
        </w:tc>
      </w:tr>
      <w:tr w:rsidR="00D45983" w:rsidRPr="00D45983" w:rsidTr="00BD5AE9">
        <w:trPr>
          <w:trHeight w:val="285"/>
          <w:jc w:val="center"/>
        </w:trPr>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45983" w:rsidRPr="00D71692" w:rsidRDefault="00D45983" w:rsidP="00D71692">
            <w:pPr>
              <w:spacing w:after="0"/>
              <w:jc w:val="both"/>
              <w:rPr>
                <w:rFonts w:cs="Arial"/>
                <w:color w:val="000000"/>
                <w:sz w:val="20"/>
                <w:szCs w:val="20"/>
                <w:lang w:eastAsia="en-GB"/>
              </w:rPr>
            </w:pPr>
            <w:r w:rsidRPr="00D71692">
              <w:rPr>
                <w:rFonts w:cs="Arial"/>
                <w:color w:val="000000"/>
                <w:sz w:val="20"/>
                <w:szCs w:val="20"/>
                <w:lang w:eastAsia="en-GB"/>
              </w:rPr>
              <w:t>Hydro</w:t>
            </w:r>
          </w:p>
        </w:tc>
        <w:tc>
          <w:tcPr>
            <w:tcW w:w="1860" w:type="dxa"/>
            <w:tcBorders>
              <w:top w:val="nil"/>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≤15</w:t>
            </w:r>
          </w:p>
        </w:tc>
        <w:tc>
          <w:tcPr>
            <w:tcW w:w="2393" w:type="dxa"/>
            <w:tcBorders>
              <w:top w:val="single" w:sz="8"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22.0</w:t>
            </w:r>
          </w:p>
        </w:tc>
        <w:tc>
          <w:tcPr>
            <w:tcW w:w="1984" w:type="dxa"/>
            <w:tcBorders>
              <w:top w:val="nil"/>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21.0</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&gt;15-≤100</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19.7</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19.7</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&gt;100-≤2000</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12.1</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12.1</w:t>
            </w:r>
          </w:p>
        </w:tc>
      </w:tr>
      <w:tr w:rsidR="00D45983" w:rsidRPr="00D45983" w:rsidTr="00BD5AE9">
        <w:trPr>
          <w:trHeight w:val="300"/>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single" w:sz="8"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&gt;2000-≤5000</w:t>
            </w:r>
          </w:p>
        </w:tc>
        <w:tc>
          <w:tcPr>
            <w:tcW w:w="2393" w:type="dxa"/>
            <w:tcBorders>
              <w:top w:val="dashSmallGap" w:sz="4" w:space="0" w:color="auto"/>
              <w:left w:val="single" w:sz="8" w:space="0" w:color="auto"/>
              <w:bottom w:val="single" w:sz="8"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4.9</w:t>
            </w:r>
          </w:p>
        </w:tc>
        <w:tc>
          <w:tcPr>
            <w:tcW w:w="1984" w:type="dxa"/>
            <w:tcBorders>
              <w:top w:val="dashSmallGap" w:sz="4" w:space="0" w:color="auto"/>
              <w:left w:val="nil"/>
              <w:bottom w:val="single" w:sz="8"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4.5</w:t>
            </w:r>
          </w:p>
        </w:tc>
      </w:tr>
      <w:tr w:rsidR="00D45983" w:rsidRPr="00D45983" w:rsidTr="00BD5AE9">
        <w:trPr>
          <w:trHeight w:val="285"/>
          <w:jc w:val="center"/>
        </w:trPr>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45983" w:rsidRPr="00D71692" w:rsidRDefault="00D45983" w:rsidP="00D71692">
            <w:pPr>
              <w:spacing w:after="0"/>
              <w:jc w:val="both"/>
              <w:rPr>
                <w:rFonts w:cs="Arial"/>
                <w:color w:val="000000"/>
                <w:sz w:val="20"/>
                <w:szCs w:val="20"/>
                <w:lang w:eastAsia="en-GB"/>
              </w:rPr>
            </w:pPr>
            <w:r w:rsidRPr="00D71692">
              <w:rPr>
                <w:rFonts w:cs="Arial"/>
                <w:color w:val="000000"/>
                <w:sz w:val="20"/>
                <w:szCs w:val="20"/>
                <w:lang w:eastAsia="en-GB"/>
              </w:rPr>
              <w:t>Wind</w:t>
            </w:r>
          </w:p>
        </w:tc>
        <w:tc>
          <w:tcPr>
            <w:tcW w:w="1860" w:type="dxa"/>
            <w:tcBorders>
              <w:top w:val="single" w:sz="8"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≤1.5</w:t>
            </w:r>
          </w:p>
        </w:tc>
        <w:tc>
          <w:tcPr>
            <w:tcW w:w="2393" w:type="dxa"/>
            <w:tcBorders>
              <w:top w:val="single" w:sz="8"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35.9</w:t>
            </w:r>
          </w:p>
        </w:tc>
        <w:tc>
          <w:tcPr>
            <w:tcW w:w="1984" w:type="dxa"/>
            <w:tcBorders>
              <w:top w:val="single" w:sz="8"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21.0</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&gt;1.5-≤15</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28.1</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21.0</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&gt;15-≤100</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25.4</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21.0</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&gt;100-≤500</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20.7</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17.5</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&gt;500-≤1500</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10.4</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9.5</w:t>
            </w:r>
          </w:p>
        </w:tc>
      </w:tr>
      <w:tr w:rsidR="00D45983" w:rsidRPr="00D45983" w:rsidTr="00BD5AE9">
        <w:trPr>
          <w:trHeight w:val="300"/>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single" w:sz="8"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&gt;1500-≤5000</w:t>
            </w:r>
          </w:p>
        </w:tc>
        <w:tc>
          <w:tcPr>
            <w:tcW w:w="2393" w:type="dxa"/>
            <w:tcBorders>
              <w:top w:val="dashSmallGap" w:sz="4" w:space="0" w:color="auto"/>
              <w:left w:val="single" w:sz="8" w:space="0" w:color="auto"/>
              <w:bottom w:val="single" w:sz="8"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4.9</w:t>
            </w:r>
          </w:p>
        </w:tc>
        <w:tc>
          <w:tcPr>
            <w:tcW w:w="1984" w:type="dxa"/>
            <w:tcBorders>
              <w:top w:val="dashSmallGap" w:sz="4" w:space="0" w:color="auto"/>
              <w:left w:val="nil"/>
              <w:bottom w:val="single" w:sz="8"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4.5</w:t>
            </w:r>
          </w:p>
        </w:tc>
      </w:tr>
      <w:tr w:rsidR="00D45983" w:rsidRPr="00D45983" w:rsidTr="00BD5AE9">
        <w:trPr>
          <w:trHeight w:val="285"/>
          <w:jc w:val="center"/>
        </w:trPr>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45983" w:rsidRPr="00D71692" w:rsidRDefault="00D45983" w:rsidP="00D71692">
            <w:pPr>
              <w:spacing w:after="0"/>
              <w:jc w:val="both"/>
              <w:rPr>
                <w:rFonts w:cs="Arial"/>
                <w:color w:val="000000"/>
                <w:sz w:val="20"/>
                <w:szCs w:val="20"/>
                <w:lang w:eastAsia="en-GB"/>
              </w:rPr>
            </w:pPr>
            <w:r w:rsidRPr="00D71692">
              <w:rPr>
                <w:rFonts w:cs="Arial"/>
                <w:color w:val="000000"/>
                <w:sz w:val="20"/>
                <w:szCs w:val="20"/>
                <w:lang w:eastAsia="en-GB"/>
              </w:rPr>
              <w:t>AD</w:t>
            </w:r>
          </w:p>
        </w:tc>
        <w:tc>
          <w:tcPr>
            <w:tcW w:w="1860" w:type="dxa"/>
            <w:tcBorders>
              <w:top w:val="single" w:sz="8"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≤250</w:t>
            </w:r>
          </w:p>
        </w:tc>
        <w:tc>
          <w:tcPr>
            <w:tcW w:w="2393" w:type="dxa"/>
            <w:tcBorders>
              <w:top w:val="single" w:sz="8"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14.7</w:t>
            </w:r>
          </w:p>
        </w:tc>
        <w:tc>
          <w:tcPr>
            <w:tcW w:w="1984" w:type="dxa"/>
            <w:tcBorders>
              <w:top w:val="single" w:sz="8"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14.7</w:t>
            </w:r>
          </w:p>
        </w:tc>
      </w:tr>
      <w:tr w:rsidR="00D45983" w:rsidRPr="00D45983" w:rsidTr="00BD5AE9">
        <w:trPr>
          <w:trHeight w:val="285"/>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dashSmallGap" w:sz="4"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&gt;250-≤500</w:t>
            </w:r>
          </w:p>
        </w:tc>
        <w:tc>
          <w:tcPr>
            <w:tcW w:w="2393" w:type="dxa"/>
            <w:tcBorders>
              <w:top w:val="dashSmallGap" w:sz="4" w:space="0" w:color="auto"/>
              <w:left w:val="single" w:sz="8" w:space="0" w:color="auto"/>
              <w:bottom w:val="dashSmallGap" w:sz="4"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13.7</w:t>
            </w:r>
          </w:p>
        </w:tc>
        <w:tc>
          <w:tcPr>
            <w:tcW w:w="1984" w:type="dxa"/>
            <w:tcBorders>
              <w:top w:val="dashSmallGap" w:sz="4" w:space="0" w:color="auto"/>
              <w:left w:val="nil"/>
              <w:bottom w:val="dashSmallGap" w:sz="4"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13.7</w:t>
            </w:r>
          </w:p>
        </w:tc>
      </w:tr>
      <w:tr w:rsidR="00D45983" w:rsidRPr="00D45983" w:rsidTr="00BD5AE9">
        <w:trPr>
          <w:trHeight w:val="300"/>
          <w:jc w:val="center"/>
        </w:trPr>
        <w:tc>
          <w:tcPr>
            <w:tcW w:w="1559" w:type="dxa"/>
            <w:vMerge/>
            <w:tcBorders>
              <w:top w:val="nil"/>
              <w:left w:val="single" w:sz="8" w:space="0" w:color="auto"/>
              <w:bottom w:val="single" w:sz="8" w:space="0" w:color="000000"/>
              <w:right w:val="single" w:sz="8" w:space="0" w:color="auto"/>
            </w:tcBorders>
            <w:vAlign w:val="center"/>
            <w:hideMark/>
          </w:tcPr>
          <w:p w:rsidR="00D45983" w:rsidRPr="00D71692" w:rsidRDefault="00D45983" w:rsidP="00D71692">
            <w:pPr>
              <w:spacing w:after="0"/>
              <w:jc w:val="both"/>
              <w:rPr>
                <w:rFonts w:cs="Arial"/>
                <w:color w:val="000000"/>
                <w:sz w:val="20"/>
                <w:szCs w:val="20"/>
                <w:lang w:eastAsia="en-GB"/>
              </w:rPr>
            </w:pPr>
          </w:p>
        </w:tc>
        <w:tc>
          <w:tcPr>
            <w:tcW w:w="1860" w:type="dxa"/>
            <w:tcBorders>
              <w:top w:val="dashSmallGap" w:sz="4" w:space="0" w:color="auto"/>
              <w:left w:val="nil"/>
              <w:bottom w:val="single" w:sz="8"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&gt;500-≤5000</w:t>
            </w:r>
          </w:p>
        </w:tc>
        <w:tc>
          <w:tcPr>
            <w:tcW w:w="2393" w:type="dxa"/>
            <w:tcBorders>
              <w:top w:val="dashSmallGap" w:sz="4" w:space="0" w:color="auto"/>
              <w:left w:val="single" w:sz="8" w:space="0" w:color="auto"/>
              <w:bottom w:val="single" w:sz="8"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9.9</w:t>
            </w:r>
          </w:p>
        </w:tc>
        <w:tc>
          <w:tcPr>
            <w:tcW w:w="1984" w:type="dxa"/>
            <w:tcBorders>
              <w:top w:val="dashSmallGap" w:sz="4" w:space="0" w:color="auto"/>
              <w:left w:val="nil"/>
              <w:bottom w:val="single" w:sz="8"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sz w:val="20"/>
                <w:szCs w:val="20"/>
              </w:rPr>
            </w:pPr>
            <w:r w:rsidRPr="00D71692">
              <w:rPr>
                <w:rFonts w:cs="Arial"/>
                <w:sz w:val="20"/>
                <w:szCs w:val="20"/>
              </w:rPr>
              <w:t>9.0</w:t>
            </w:r>
          </w:p>
        </w:tc>
      </w:tr>
      <w:tr w:rsidR="00D45983" w:rsidRPr="00D45983" w:rsidTr="00BD5AE9">
        <w:trPr>
          <w:trHeight w:val="300"/>
          <w:jc w:val="center"/>
        </w:trPr>
        <w:tc>
          <w:tcPr>
            <w:tcW w:w="1559" w:type="dxa"/>
            <w:tcBorders>
              <w:top w:val="nil"/>
              <w:left w:val="single" w:sz="8" w:space="0" w:color="auto"/>
              <w:bottom w:val="single" w:sz="8" w:space="0" w:color="000000"/>
              <w:right w:val="single" w:sz="8" w:space="0" w:color="auto"/>
            </w:tcBorders>
            <w:shd w:val="clear" w:color="auto" w:fill="auto"/>
            <w:vAlign w:val="center"/>
            <w:hideMark/>
          </w:tcPr>
          <w:p w:rsidR="00D45983" w:rsidRPr="00D71692" w:rsidRDefault="00D45983" w:rsidP="00D71692">
            <w:pPr>
              <w:spacing w:after="0"/>
              <w:jc w:val="both"/>
              <w:rPr>
                <w:rFonts w:cs="Arial"/>
                <w:color w:val="000000"/>
                <w:sz w:val="20"/>
                <w:szCs w:val="20"/>
                <w:lang w:eastAsia="en-GB"/>
              </w:rPr>
            </w:pPr>
            <w:r w:rsidRPr="00D71692">
              <w:rPr>
                <w:rFonts w:cs="Arial"/>
                <w:color w:val="000000"/>
                <w:sz w:val="20"/>
                <w:szCs w:val="20"/>
                <w:lang w:eastAsia="en-GB"/>
              </w:rPr>
              <w:t>Micro-CHP</w:t>
            </w:r>
          </w:p>
        </w:tc>
        <w:tc>
          <w:tcPr>
            <w:tcW w:w="1860" w:type="dxa"/>
            <w:tcBorders>
              <w:top w:val="nil"/>
              <w:left w:val="nil"/>
              <w:bottom w:val="single" w:sz="8" w:space="0" w:color="auto"/>
              <w:right w:val="nil"/>
            </w:tcBorders>
            <w:shd w:val="clear" w:color="auto" w:fill="auto"/>
            <w:noWrap/>
            <w:vAlign w:val="center"/>
            <w:hideMark/>
          </w:tcPr>
          <w:p w:rsidR="00D45983" w:rsidRPr="00D71692" w:rsidRDefault="00D45983" w:rsidP="00D71692">
            <w:pPr>
              <w:spacing w:after="0"/>
              <w:rPr>
                <w:rFonts w:cs="Arial"/>
                <w:color w:val="000000"/>
                <w:sz w:val="20"/>
                <w:szCs w:val="20"/>
                <w:lang w:eastAsia="en-GB"/>
              </w:rPr>
            </w:pPr>
            <w:r w:rsidRPr="00D71692">
              <w:rPr>
                <w:rFonts w:cs="Arial"/>
                <w:color w:val="000000"/>
                <w:sz w:val="20"/>
                <w:szCs w:val="20"/>
                <w:lang w:eastAsia="en-GB"/>
              </w:rPr>
              <w:t>≤2 kW</w:t>
            </w:r>
          </w:p>
        </w:tc>
        <w:tc>
          <w:tcPr>
            <w:tcW w:w="2393" w:type="dxa"/>
            <w:tcBorders>
              <w:top w:val="nil"/>
              <w:left w:val="single" w:sz="8" w:space="0" w:color="auto"/>
              <w:bottom w:val="single" w:sz="8" w:space="0" w:color="auto"/>
              <w:right w:val="single" w:sz="8" w:space="0" w:color="auto"/>
            </w:tcBorders>
            <w:shd w:val="clear" w:color="auto" w:fill="auto"/>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11.0</w:t>
            </w:r>
          </w:p>
        </w:tc>
        <w:tc>
          <w:tcPr>
            <w:tcW w:w="1984" w:type="dxa"/>
            <w:tcBorders>
              <w:top w:val="nil"/>
              <w:left w:val="nil"/>
              <w:bottom w:val="single" w:sz="8" w:space="0" w:color="auto"/>
              <w:right w:val="single" w:sz="8" w:space="0" w:color="auto"/>
            </w:tcBorders>
            <w:shd w:val="clear" w:color="000000" w:fill="D6E3BC"/>
            <w:noWrap/>
            <w:vAlign w:val="center"/>
            <w:hideMark/>
          </w:tcPr>
          <w:p w:rsidR="00D45983" w:rsidRPr="00D71692" w:rsidRDefault="00D45983" w:rsidP="00D71692">
            <w:pPr>
              <w:spacing w:after="0"/>
              <w:jc w:val="center"/>
              <w:rPr>
                <w:rFonts w:cs="Arial"/>
                <w:color w:val="000000"/>
                <w:sz w:val="20"/>
                <w:szCs w:val="20"/>
                <w:lang w:eastAsia="en-GB"/>
              </w:rPr>
            </w:pPr>
            <w:r w:rsidRPr="00D71692">
              <w:rPr>
                <w:rFonts w:cs="Arial"/>
                <w:color w:val="000000"/>
                <w:sz w:val="20"/>
                <w:szCs w:val="20"/>
                <w:lang w:eastAsia="en-GB"/>
              </w:rPr>
              <w:t>12.5</w:t>
            </w:r>
          </w:p>
        </w:tc>
      </w:tr>
    </w:tbl>
    <w:p w:rsidR="00D45983" w:rsidRDefault="00D45983" w:rsidP="00D45983">
      <w:pPr>
        <w:pStyle w:val="Default"/>
        <w:ind w:left="360"/>
        <w:rPr>
          <w:sz w:val="20"/>
          <w:szCs w:val="20"/>
        </w:rPr>
      </w:pPr>
      <w:r>
        <w:rPr>
          <w:sz w:val="20"/>
          <w:szCs w:val="20"/>
        </w:rPr>
        <w:t xml:space="preserve">*Current tariff levels are </w:t>
      </w:r>
      <w:r w:rsidRPr="00750EB4">
        <w:rPr>
          <w:sz w:val="20"/>
          <w:szCs w:val="20"/>
          <w:u w:val="single"/>
        </w:rPr>
        <w:t>indicative</w:t>
      </w:r>
      <w:r>
        <w:rPr>
          <w:sz w:val="20"/>
          <w:szCs w:val="20"/>
        </w:rPr>
        <w:t xml:space="preserve"> only. Official tariff rates for 2012/13 will be calculated and published by Ofgem by 1 March 2012. </w:t>
      </w:r>
    </w:p>
    <w:p w:rsidR="00BA407B" w:rsidRPr="00754BD1" w:rsidRDefault="00FA62B6" w:rsidP="00FA62B6">
      <w:pPr>
        <w:pStyle w:val="Heading2"/>
        <w:spacing w:after="240"/>
      </w:pPr>
      <w:bookmarkStart w:id="519" w:name="_Toc316544910"/>
      <w:bookmarkEnd w:id="517"/>
      <w:bookmarkEnd w:id="518"/>
      <w:r>
        <w:t>Future Tariff-setting and cost control</w:t>
      </w:r>
      <w:bookmarkEnd w:id="519"/>
    </w:p>
    <w:p w:rsidR="009075CD" w:rsidRDefault="00A97E51" w:rsidP="00986EAF">
      <w:pPr>
        <w:pStyle w:val="DECCnumberingBold"/>
      </w:pPr>
      <w:r w:rsidRPr="00A97E51">
        <w:t xml:space="preserve">As announced at the launch of this review, ensuring that FITs spending stays within </w:t>
      </w:r>
      <w:r w:rsidR="00E4537A" w:rsidRPr="00A97E51">
        <w:t>the</w:t>
      </w:r>
      <w:r w:rsidR="00E4537A">
        <w:t xml:space="preserve"> Levies Control Framework (</w:t>
      </w:r>
      <w:r w:rsidRPr="00A97E51">
        <w:t>LCF</w:t>
      </w:r>
      <w:r w:rsidR="00E4537A">
        <w:t>)</w:t>
      </w:r>
      <w:r w:rsidRPr="00A97E51">
        <w:t xml:space="preserve"> is a major priority for the comprehensive review – and was the main driver of the urgent action on PV in the fast-track review. It is also important that the scheme delivers value for money in the longer term. </w:t>
      </w:r>
    </w:p>
    <w:p w:rsidR="00C83968" w:rsidRDefault="00C83968" w:rsidP="00986EAF">
      <w:pPr>
        <w:pStyle w:val="DECCnumberingBold"/>
      </w:pPr>
      <w:r>
        <w:t xml:space="preserve">The Phase </w:t>
      </w:r>
      <w:r w:rsidR="00C46706">
        <w:t xml:space="preserve">2A </w:t>
      </w:r>
      <w:r>
        <w:t>con</w:t>
      </w:r>
      <w:r w:rsidR="00C46706">
        <w:t xml:space="preserve">sultation </w:t>
      </w:r>
      <w:r>
        <w:t>doc</w:t>
      </w:r>
      <w:r w:rsidR="00C46706">
        <w:t>ument</w:t>
      </w:r>
      <w:r w:rsidR="00A47D04">
        <w:t xml:space="preserve"> on PV Cost Control</w:t>
      </w:r>
      <w:r>
        <w:t xml:space="preserve"> sets out detailed proposals for the future setting of </w:t>
      </w:r>
      <w:r w:rsidR="00F34EB5">
        <w:t xml:space="preserve">FITs for solar </w:t>
      </w:r>
      <w:r w:rsidR="00516AA8">
        <w:t xml:space="preserve">PV </w:t>
      </w:r>
      <w:r w:rsidR="00F34EB5">
        <w:t xml:space="preserve">installations and for minimising the risk of breaching the LCF. In this consultation we are seeking views on how these principles for cost control should apply to technologies other than solar PV. </w:t>
      </w:r>
    </w:p>
    <w:p w:rsidR="004F4CC0" w:rsidRDefault="00A97E51" w:rsidP="00986EAF">
      <w:pPr>
        <w:pStyle w:val="DECCnumberingBold"/>
      </w:pPr>
      <w:r w:rsidRPr="00A97E51">
        <w:t>Based on the experience of the fast track review, and Phase 1 of the comprehensive review, the main focus of cost control is the risk to the LCF of solar PV deployment. However</w:t>
      </w:r>
      <w:r w:rsidR="00204951">
        <w:t>,</w:t>
      </w:r>
      <w:r w:rsidRPr="00A97E51">
        <w:t xml:space="preserve"> there may be some</w:t>
      </w:r>
      <w:r w:rsidR="004F4CC0">
        <w:t xml:space="preserve"> budgetary</w:t>
      </w:r>
      <w:r w:rsidRPr="00A97E51">
        <w:t xml:space="preserve"> risk from other technologies that can be deployed quickly such as micro-wind installations. </w:t>
      </w:r>
    </w:p>
    <w:p w:rsidR="005E7763" w:rsidRDefault="00557E49" w:rsidP="00986EAF">
      <w:pPr>
        <w:pStyle w:val="DECCnumberingBold"/>
      </w:pPr>
      <w:r>
        <w:t>All technologies need to be able to demonstrate that they can deliver a cost-effective contribution to meeting our targets in the longer term</w:t>
      </w:r>
      <w:r w:rsidR="00D033E5">
        <w:t xml:space="preserve"> and eventually </w:t>
      </w:r>
      <w:r w:rsidR="004F4CC0">
        <w:t xml:space="preserve">to </w:t>
      </w:r>
      <w:r w:rsidR="00D033E5">
        <w:t xml:space="preserve">survive without assistance. </w:t>
      </w:r>
      <w:r w:rsidR="000C38F6">
        <w:t>W</w:t>
      </w:r>
      <w:r w:rsidR="005E7763" w:rsidRPr="000178F6">
        <w:t xml:space="preserve">e are </w:t>
      </w:r>
      <w:r w:rsidR="005E7763">
        <w:t xml:space="preserve">therefore proposing </w:t>
      </w:r>
      <w:r w:rsidR="00F34EB5">
        <w:t xml:space="preserve">that the principles for </w:t>
      </w:r>
      <w:r w:rsidR="00D033E5">
        <w:t xml:space="preserve">the </w:t>
      </w:r>
      <w:r w:rsidR="005E7763">
        <w:t xml:space="preserve">cost-control </w:t>
      </w:r>
      <w:r w:rsidR="005E7763" w:rsidRPr="000178F6">
        <w:t xml:space="preserve">model </w:t>
      </w:r>
      <w:r w:rsidR="00D033E5">
        <w:t xml:space="preserve">to be applied to PV </w:t>
      </w:r>
      <w:r w:rsidR="00F34EB5">
        <w:t xml:space="preserve">should </w:t>
      </w:r>
      <w:r w:rsidR="005E7763" w:rsidRPr="000178F6">
        <w:t xml:space="preserve">be applied flexibly across the board to all </w:t>
      </w:r>
      <w:r w:rsidR="00D033E5">
        <w:t xml:space="preserve">other </w:t>
      </w:r>
      <w:r w:rsidR="005E7763" w:rsidRPr="000178F6">
        <w:t>technologies</w:t>
      </w:r>
      <w:r w:rsidR="00D033E5">
        <w:t xml:space="preserve"> as well</w:t>
      </w:r>
      <w:r w:rsidR="005E7763">
        <w:t xml:space="preserve">. This includes a baseline rate of </w:t>
      </w:r>
      <w:proofErr w:type="spellStart"/>
      <w:r w:rsidR="005E7763">
        <w:t>degression</w:t>
      </w:r>
      <w:proofErr w:type="spellEnd"/>
      <w:r w:rsidR="005E7763">
        <w:t xml:space="preserve"> going </w:t>
      </w:r>
      <w:r w:rsidR="005E7763">
        <w:lastRenderedPageBreak/>
        <w:t xml:space="preserve">forward as well as capacity based triggers that may result in the acceleration of the </w:t>
      </w:r>
      <w:proofErr w:type="spellStart"/>
      <w:r w:rsidR="005E7763">
        <w:t>degression</w:t>
      </w:r>
      <w:proofErr w:type="spellEnd"/>
      <w:r w:rsidR="005E7763">
        <w:t xml:space="preserve"> timetable.</w:t>
      </w:r>
    </w:p>
    <w:p w:rsidR="00986EAF" w:rsidRDefault="005E7763" w:rsidP="00986EAF">
      <w:pPr>
        <w:pStyle w:val="DECCnumberingBold"/>
      </w:pPr>
      <w:r w:rsidRPr="007358DB">
        <w:t xml:space="preserve">We propose that from </w:t>
      </w:r>
      <w:r w:rsidR="00F34EB5">
        <w:t>April 2014</w:t>
      </w:r>
      <w:r>
        <w:t xml:space="preserve">, </w:t>
      </w:r>
      <w:r w:rsidRPr="007358DB">
        <w:t xml:space="preserve">all tariffs </w:t>
      </w:r>
      <w:r w:rsidR="00F34EB5">
        <w:t>should</w:t>
      </w:r>
      <w:r w:rsidRPr="007358DB">
        <w:t xml:space="preserve"> be subject to a minimum </w:t>
      </w:r>
      <w:proofErr w:type="spellStart"/>
      <w:r w:rsidRPr="007358DB">
        <w:t>degression</w:t>
      </w:r>
      <w:proofErr w:type="spellEnd"/>
      <w:r w:rsidRPr="007358DB">
        <w:t xml:space="preserve"> rate of 5% per year. This </w:t>
      </w:r>
      <w:r w:rsidR="00005832">
        <w:t xml:space="preserve">makes clear the Government’s position </w:t>
      </w:r>
      <w:r w:rsidRPr="007358DB">
        <w:t>that support for any technology above</w:t>
      </w:r>
      <w:r w:rsidR="00650EF6">
        <w:t xml:space="preserve"> the</w:t>
      </w:r>
      <w:r w:rsidRPr="007358DB">
        <w:t xml:space="preserve"> marginal cost</w:t>
      </w:r>
      <w:r w:rsidR="00005832">
        <w:t xml:space="preserve"> of meeting the renewables target</w:t>
      </w:r>
      <w:r w:rsidRPr="007358DB">
        <w:t xml:space="preserve"> is a transitional measure, albeit with different transition periods for different technologies.</w:t>
      </w:r>
      <w:r w:rsidR="002860A0">
        <w:t xml:space="preserve"> </w:t>
      </w:r>
      <w:r>
        <w:t xml:space="preserve">Table </w:t>
      </w:r>
      <w:r w:rsidR="00BE5FB6">
        <w:t>5</w:t>
      </w:r>
      <w:r>
        <w:t xml:space="preserve"> shows the trajectories for all of the proposed tariffs to </w:t>
      </w:r>
      <w:r w:rsidR="00F25F66">
        <w:t>2020</w:t>
      </w:r>
      <w:r w:rsidR="002860A0">
        <w:t>/</w:t>
      </w:r>
      <w:r w:rsidR="00A03749">
        <w:t>21. It should be noted however, that</w:t>
      </w:r>
      <w:r w:rsidR="002860A0">
        <w:t xml:space="preserve"> these tariffs will be subject to review </w:t>
      </w:r>
      <w:r w:rsidR="00650EF6">
        <w:t>with</w:t>
      </w:r>
      <w:r w:rsidR="002860A0">
        <w:t>in that time.</w:t>
      </w:r>
    </w:p>
    <w:p w:rsidR="00FB04C9" w:rsidRPr="00D71692" w:rsidRDefault="006B5A2B" w:rsidP="00986EAF">
      <w:pPr>
        <w:pStyle w:val="Caption"/>
        <w:jc w:val="center"/>
        <w:rPr>
          <w:sz w:val="20"/>
          <w:szCs w:val="20"/>
        </w:rPr>
      </w:pPr>
      <w:r w:rsidRPr="00D71692">
        <w:rPr>
          <w:sz w:val="20"/>
          <w:szCs w:val="20"/>
        </w:rPr>
        <w:t xml:space="preserve">Table </w:t>
      </w:r>
      <w:r w:rsidR="00BE5FB6" w:rsidRPr="00D71692">
        <w:rPr>
          <w:sz w:val="20"/>
          <w:szCs w:val="20"/>
        </w:rPr>
        <w:t>5:</w:t>
      </w:r>
      <w:r w:rsidR="004F4CC0" w:rsidRPr="00D71692">
        <w:rPr>
          <w:sz w:val="20"/>
          <w:szCs w:val="20"/>
        </w:rPr>
        <w:t xml:space="preserve"> </w:t>
      </w:r>
      <w:r w:rsidR="00B01F07" w:rsidRPr="00D71692">
        <w:rPr>
          <w:sz w:val="20"/>
          <w:szCs w:val="20"/>
        </w:rPr>
        <w:t xml:space="preserve">Baseline tariff profile to </w:t>
      </w:r>
      <w:r w:rsidR="00D4175F" w:rsidRPr="00D71692">
        <w:rPr>
          <w:sz w:val="20"/>
          <w:szCs w:val="20"/>
        </w:rPr>
        <w:t>2020</w:t>
      </w:r>
      <w:r w:rsidR="00986EAF" w:rsidRPr="00D71692">
        <w:rPr>
          <w:sz w:val="20"/>
          <w:szCs w:val="20"/>
        </w:rPr>
        <w:t>/21</w:t>
      </w:r>
    </w:p>
    <w:tbl>
      <w:tblPr>
        <w:tblW w:w="10064" w:type="dxa"/>
        <w:jc w:val="center"/>
        <w:tblInd w:w="-34" w:type="dxa"/>
        <w:tblLayout w:type="fixed"/>
        <w:tblLook w:val="04A0"/>
      </w:tblPr>
      <w:tblGrid>
        <w:gridCol w:w="851"/>
        <w:gridCol w:w="1275"/>
        <w:gridCol w:w="851"/>
        <w:gridCol w:w="850"/>
        <w:gridCol w:w="851"/>
        <w:gridCol w:w="851"/>
        <w:gridCol w:w="850"/>
        <w:gridCol w:w="850"/>
        <w:gridCol w:w="993"/>
        <w:gridCol w:w="992"/>
        <w:gridCol w:w="850"/>
      </w:tblGrid>
      <w:tr w:rsidR="00B01F07" w:rsidRPr="004C0A19" w:rsidTr="00BD5AE9">
        <w:trPr>
          <w:trHeight w:val="270"/>
          <w:jc w:val="center"/>
        </w:trPr>
        <w:tc>
          <w:tcPr>
            <w:tcW w:w="851" w:type="dxa"/>
            <w:tcBorders>
              <w:top w:val="nil"/>
              <w:left w:val="nil"/>
              <w:bottom w:val="single" w:sz="8" w:space="0" w:color="auto"/>
              <w:right w:val="nil"/>
            </w:tcBorders>
            <w:shd w:val="clear" w:color="auto" w:fill="auto"/>
            <w:noWrap/>
            <w:vAlign w:val="bottom"/>
          </w:tcPr>
          <w:p w:rsidR="00B01F07" w:rsidRPr="004C0A19" w:rsidRDefault="00B01F07" w:rsidP="00B01F07">
            <w:pPr>
              <w:spacing w:after="0"/>
              <w:rPr>
                <w:rFonts w:cs="Arial"/>
                <w:color w:val="000000"/>
                <w:sz w:val="20"/>
                <w:szCs w:val="20"/>
                <w:lang w:eastAsia="en-GB"/>
              </w:rPr>
            </w:pPr>
          </w:p>
        </w:tc>
        <w:tc>
          <w:tcPr>
            <w:tcW w:w="1275" w:type="dxa"/>
            <w:tcBorders>
              <w:top w:val="nil"/>
              <w:left w:val="nil"/>
              <w:bottom w:val="single" w:sz="8" w:space="0" w:color="auto"/>
              <w:right w:val="nil"/>
            </w:tcBorders>
            <w:shd w:val="clear" w:color="auto" w:fill="auto"/>
            <w:noWrap/>
            <w:vAlign w:val="bottom"/>
          </w:tcPr>
          <w:p w:rsidR="00B01F07" w:rsidRPr="004C0A19" w:rsidRDefault="00B01F07" w:rsidP="00B01F07">
            <w:pPr>
              <w:spacing w:after="0"/>
              <w:rPr>
                <w:rFonts w:cs="Arial"/>
                <w:color w:val="000000"/>
                <w:sz w:val="20"/>
                <w:szCs w:val="20"/>
                <w:lang w:eastAsia="en-GB"/>
              </w:rPr>
            </w:pPr>
          </w:p>
        </w:tc>
        <w:tc>
          <w:tcPr>
            <w:tcW w:w="7938" w:type="dxa"/>
            <w:gridSpan w:val="9"/>
            <w:tcBorders>
              <w:top w:val="single" w:sz="8" w:space="0" w:color="auto"/>
              <w:left w:val="single" w:sz="8" w:space="0" w:color="auto"/>
              <w:bottom w:val="single" w:sz="8" w:space="0" w:color="auto"/>
              <w:right w:val="single" w:sz="8" w:space="0" w:color="000000"/>
            </w:tcBorders>
            <w:shd w:val="clear" w:color="auto" w:fill="auto"/>
            <w:vAlign w:val="bottom"/>
          </w:tcPr>
          <w:p w:rsidR="00B01F07" w:rsidRPr="004C0A19" w:rsidRDefault="00B01F07" w:rsidP="00B01F07">
            <w:pPr>
              <w:spacing w:after="0"/>
              <w:jc w:val="center"/>
              <w:rPr>
                <w:rFonts w:cs="Arial"/>
                <w:color w:val="000000"/>
                <w:sz w:val="20"/>
                <w:szCs w:val="20"/>
                <w:lang w:eastAsia="en-GB"/>
              </w:rPr>
            </w:pPr>
            <w:r w:rsidRPr="004C0A19">
              <w:rPr>
                <w:rFonts w:cs="Arial"/>
                <w:color w:val="000000"/>
                <w:sz w:val="20"/>
                <w:szCs w:val="20"/>
                <w:lang w:eastAsia="en-GB"/>
              </w:rPr>
              <w:t>Generation tariff for new installations (p/kWh, 2012 prices)</w:t>
            </w:r>
          </w:p>
        </w:tc>
      </w:tr>
      <w:tr w:rsidR="000C38F6" w:rsidRPr="00D4175F" w:rsidTr="00BD5AE9">
        <w:trPr>
          <w:trHeight w:val="525"/>
          <w:jc w:val="center"/>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B01F07" w:rsidRPr="00D4175F" w:rsidRDefault="00B01F07" w:rsidP="009B7B5F">
            <w:pPr>
              <w:spacing w:after="0"/>
              <w:ind w:left="0"/>
              <w:jc w:val="center"/>
              <w:rPr>
                <w:rFonts w:cs="Arial"/>
                <w:color w:val="000000"/>
                <w:sz w:val="20"/>
                <w:szCs w:val="20"/>
                <w:lang w:eastAsia="en-GB"/>
              </w:rPr>
            </w:pPr>
            <w:r w:rsidRPr="00D4175F">
              <w:rPr>
                <w:rFonts w:cs="Arial"/>
                <w:color w:val="000000"/>
                <w:sz w:val="20"/>
                <w:szCs w:val="20"/>
                <w:lang w:eastAsia="en-GB"/>
              </w:rPr>
              <w:t>Technology</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B01F07" w:rsidRPr="00D4175F" w:rsidRDefault="00B01F07" w:rsidP="009B7B5F">
            <w:pPr>
              <w:spacing w:after="0"/>
              <w:ind w:left="0"/>
              <w:jc w:val="center"/>
              <w:rPr>
                <w:rFonts w:cs="Arial"/>
                <w:color w:val="000000"/>
                <w:sz w:val="20"/>
                <w:szCs w:val="20"/>
                <w:lang w:eastAsia="en-GB"/>
              </w:rPr>
            </w:pPr>
            <w:r w:rsidRPr="00D4175F">
              <w:rPr>
                <w:rFonts w:cs="Arial"/>
                <w:color w:val="000000"/>
                <w:sz w:val="20"/>
                <w:szCs w:val="20"/>
                <w:lang w:eastAsia="en-GB"/>
              </w:rPr>
              <w:t>Tariff band   (kW</w:t>
            </w:r>
            <w:r w:rsidR="00386C08" w:rsidRPr="00D4175F">
              <w:rPr>
                <w:rFonts w:cs="Arial"/>
                <w:color w:val="000000"/>
                <w:sz w:val="20"/>
                <w:szCs w:val="20"/>
                <w:lang w:eastAsia="en-GB"/>
              </w:rPr>
              <w:t xml:space="preserve"> TIC</w:t>
            </w:r>
            <w:r w:rsidRPr="00D4175F">
              <w:rPr>
                <w:rFonts w:cs="Arial"/>
                <w:color w:val="000000"/>
                <w:sz w:val="20"/>
                <w:szCs w:val="20"/>
                <w:lang w:eastAsia="en-GB"/>
              </w:rPr>
              <w: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E65A5" w:rsidP="003E65A5">
            <w:pPr>
              <w:spacing w:after="0"/>
              <w:ind w:left="0"/>
              <w:rPr>
                <w:rFonts w:cs="Arial"/>
                <w:color w:val="000000"/>
                <w:sz w:val="20"/>
                <w:szCs w:val="20"/>
                <w:lang w:eastAsia="en-GB"/>
              </w:rPr>
            </w:pPr>
            <w:r w:rsidRPr="00D4175F">
              <w:rPr>
                <w:rFonts w:cs="Arial"/>
                <w:color w:val="000000"/>
                <w:sz w:val="20"/>
                <w:szCs w:val="20"/>
                <w:lang w:eastAsia="en-GB"/>
              </w:rPr>
              <w:t xml:space="preserve">Oct </w:t>
            </w:r>
            <w:r w:rsidR="00B01F07" w:rsidRPr="00D4175F">
              <w:rPr>
                <w:rFonts w:cs="Arial"/>
                <w:color w:val="000000"/>
                <w:sz w:val="20"/>
                <w:szCs w:val="20"/>
                <w:lang w:eastAsia="en-GB"/>
              </w:rPr>
              <w:t>12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E65A5" w:rsidP="003E65A5">
            <w:pPr>
              <w:spacing w:after="0"/>
              <w:ind w:left="0"/>
              <w:rPr>
                <w:rFonts w:cs="Arial"/>
                <w:color w:val="000000"/>
                <w:sz w:val="20"/>
                <w:szCs w:val="20"/>
                <w:lang w:eastAsia="en-GB"/>
              </w:rPr>
            </w:pPr>
            <w:r w:rsidRPr="00D4175F">
              <w:rPr>
                <w:rFonts w:cs="Arial"/>
                <w:color w:val="000000"/>
                <w:sz w:val="20"/>
                <w:szCs w:val="20"/>
                <w:lang w:eastAsia="en-GB"/>
              </w:rPr>
              <w:t xml:space="preserve">Apr </w:t>
            </w:r>
            <w:r w:rsidR="00B01F07" w:rsidRPr="00D4175F">
              <w:rPr>
                <w:rFonts w:cs="Arial"/>
                <w:color w:val="000000"/>
                <w:sz w:val="20"/>
                <w:szCs w:val="20"/>
                <w:lang w:eastAsia="en-GB"/>
              </w:rPr>
              <w:t>13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E65A5" w:rsidP="003E65A5">
            <w:pPr>
              <w:spacing w:after="0"/>
              <w:ind w:left="0"/>
              <w:rPr>
                <w:rFonts w:cs="Arial"/>
                <w:color w:val="000000"/>
                <w:sz w:val="20"/>
                <w:szCs w:val="20"/>
                <w:lang w:eastAsia="en-GB"/>
              </w:rPr>
            </w:pPr>
            <w:r w:rsidRPr="00D4175F">
              <w:rPr>
                <w:rFonts w:cs="Arial"/>
                <w:color w:val="000000"/>
                <w:sz w:val="20"/>
                <w:szCs w:val="20"/>
                <w:lang w:eastAsia="en-GB"/>
              </w:rPr>
              <w:t xml:space="preserve">Apr </w:t>
            </w:r>
            <w:r w:rsidR="00B01F07" w:rsidRPr="00D4175F">
              <w:rPr>
                <w:rFonts w:cs="Arial"/>
                <w:color w:val="000000"/>
                <w:sz w:val="20"/>
                <w:szCs w:val="20"/>
                <w:lang w:eastAsia="en-GB"/>
              </w:rPr>
              <w:t>14</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E65A5" w:rsidP="003E65A5">
            <w:pPr>
              <w:spacing w:after="0"/>
              <w:ind w:left="0"/>
              <w:rPr>
                <w:rFonts w:cs="Arial"/>
                <w:color w:val="000000"/>
                <w:sz w:val="20"/>
                <w:szCs w:val="20"/>
                <w:lang w:eastAsia="en-GB"/>
              </w:rPr>
            </w:pPr>
            <w:r w:rsidRPr="00D4175F">
              <w:rPr>
                <w:rFonts w:cs="Arial"/>
                <w:color w:val="000000"/>
                <w:sz w:val="20"/>
                <w:szCs w:val="20"/>
                <w:lang w:eastAsia="en-GB"/>
              </w:rPr>
              <w:t xml:space="preserve">Apr </w:t>
            </w:r>
            <w:r w:rsidR="00B01F07" w:rsidRPr="00D4175F">
              <w:rPr>
                <w:rFonts w:cs="Arial"/>
                <w:color w:val="000000"/>
                <w:sz w:val="20"/>
                <w:szCs w:val="20"/>
                <w:lang w:eastAsia="en-GB"/>
              </w:rPr>
              <w:t>15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E65A5" w:rsidP="003E65A5">
            <w:pPr>
              <w:spacing w:after="0"/>
              <w:ind w:left="0"/>
              <w:rPr>
                <w:rFonts w:cs="Arial"/>
                <w:color w:val="000000"/>
                <w:sz w:val="20"/>
                <w:szCs w:val="20"/>
                <w:lang w:eastAsia="en-GB"/>
              </w:rPr>
            </w:pPr>
            <w:r w:rsidRPr="00D4175F">
              <w:rPr>
                <w:rFonts w:cs="Arial"/>
                <w:color w:val="000000"/>
                <w:sz w:val="20"/>
                <w:szCs w:val="20"/>
                <w:lang w:eastAsia="en-GB"/>
              </w:rPr>
              <w:t xml:space="preserve">Apr </w:t>
            </w:r>
            <w:r w:rsidR="00B01F07" w:rsidRPr="00D4175F">
              <w:rPr>
                <w:rFonts w:cs="Arial"/>
                <w:color w:val="000000"/>
                <w:sz w:val="20"/>
                <w:szCs w:val="20"/>
                <w:lang w:eastAsia="en-GB"/>
              </w:rPr>
              <w:t>16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7170C" w:rsidP="009B7B5F">
            <w:pPr>
              <w:spacing w:after="0"/>
              <w:ind w:left="0"/>
              <w:rPr>
                <w:rFonts w:cs="Arial"/>
                <w:color w:val="000000"/>
                <w:sz w:val="20"/>
                <w:szCs w:val="20"/>
                <w:lang w:eastAsia="en-GB"/>
              </w:rPr>
            </w:pPr>
            <w:r w:rsidRPr="00D4175F">
              <w:rPr>
                <w:rFonts w:cs="Arial"/>
                <w:color w:val="000000"/>
                <w:sz w:val="20"/>
                <w:szCs w:val="20"/>
                <w:lang w:eastAsia="en-GB"/>
              </w:rPr>
              <w:t>17/18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7170C" w:rsidP="009B7B5F">
            <w:pPr>
              <w:spacing w:after="0"/>
              <w:ind w:left="0"/>
              <w:rPr>
                <w:rFonts w:cs="Arial"/>
                <w:color w:val="000000"/>
                <w:sz w:val="20"/>
                <w:szCs w:val="20"/>
                <w:lang w:eastAsia="en-GB"/>
              </w:rPr>
            </w:pPr>
            <w:r w:rsidRPr="00D4175F">
              <w:rPr>
                <w:rFonts w:cs="Arial"/>
                <w:color w:val="000000"/>
                <w:sz w:val="20"/>
                <w:szCs w:val="20"/>
                <w:lang w:eastAsia="en-GB"/>
              </w:rPr>
              <w:t>18/19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7170C" w:rsidP="009B7B5F">
            <w:pPr>
              <w:spacing w:after="0"/>
              <w:ind w:left="0"/>
              <w:rPr>
                <w:rFonts w:cs="Arial"/>
                <w:color w:val="000000"/>
                <w:sz w:val="20"/>
                <w:szCs w:val="20"/>
                <w:lang w:eastAsia="en-GB"/>
              </w:rPr>
            </w:pPr>
            <w:r w:rsidRPr="00D4175F">
              <w:rPr>
                <w:rFonts w:cs="Arial"/>
                <w:color w:val="000000"/>
                <w:sz w:val="20"/>
                <w:szCs w:val="20"/>
                <w:lang w:eastAsia="en-GB"/>
              </w:rPr>
              <w:t>19/20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37170C" w:rsidP="009B7B5F">
            <w:pPr>
              <w:spacing w:after="0"/>
              <w:ind w:left="0"/>
              <w:rPr>
                <w:rFonts w:cs="Arial"/>
                <w:color w:val="000000"/>
                <w:sz w:val="20"/>
                <w:szCs w:val="20"/>
                <w:lang w:eastAsia="en-GB"/>
              </w:rPr>
            </w:pPr>
            <w:r w:rsidRPr="00D4175F">
              <w:rPr>
                <w:rFonts w:cs="Arial"/>
                <w:color w:val="000000"/>
                <w:sz w:val="20"/>
                <w:szCs w:val="20"/>
                <w:lang w:eastAsia="en-GB"/>
              </w:rPr>
              <w:t>20/21</w:t>
            </w:r>
          </w:p>
        </w:tc>
      </w:tr>
      <w:tr w:rsidR="000C38F6" w:rsidRPr="00D4175F" w:rsidTr="00BD5AE9">
        <w:trPr>
          <w:trHeight w:val="255"/>
          <w:jc w:val="center"/>
        </w:trPr>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B01F07" w:rsidP="009B7B5F">
            <w:pPr>
              <w:spacing w:after="0"/>
              <w:ind w:left="0"/>
              <w:jc w:val="center"/>
              <w:rPr>
                <w:rFonts w:cs="Arial"/>
                <w:color w:val="000000"/>
                <w:sz w:val="20"/>
                <w:szCs w:val="20"/>
                <w:lang w:eastAsia="en-GB"/>
              </w:rPr>
            </w:pPr>
            <w:r w:rsidRPr="00D4175F">
              <w:rPr>
                <w:rFonts w:cs="Arial"/>
                <w:color w:val="000000"/>
                <w:sz w:val="20"/>
                <w:szCs w:val="20"/>
                <w:lang w:eastAsia="en-GB"/>
              </w:rPr>
              <w:t>Hydro</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86C08" w:rsidP="009B7B5F">
            <w:pPr>
              <w:spacing w:after="0"/>
              <w:ind w:left="0"/>
              <w:rPr>
                <w:rFonts w:cs="Arial"/>
                <w:color w:val="000000"/>
                <w:sz w:val="20"/>
                <w:szCs w:val="20"/>
                <w:lang w:eastAsia="en-GB"/>
              </w:rPr>
            </w:pPr>
            <w:r w:rsidRPr="00D4175F">
              <w:rPr>
                <w:rFonts w:cs="Arial"/>
                <w:color w:val="000000"/>
                <w:sz w:val="20"/>
                <w:szCs w:val="20"/>
                <w:lang w:eastAsia="en-GB"/>
              </w:rPr>
              <w:t>≤</w:t>
            </w:r>
            <w:r w:rsidR="00B01F07" w:rsidRPr="00D4175F">
              <w:rPr>
                <w:rFonts w:cs="Arial"/>
                <w:color w:val="000000"/>
                <w:sz w:val="20"/>
                <w:szCs w:val="20"/>
                <w:lang w:eastAsia="en-GB"/>
              </w:rPr>
              <w:t>15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center"/>
              <w:rPr>
                <w:rFonts w:cs="Arial"/>
                <w:color w:val="000000"/>
                <w:sz w:val="20"/>
                <w:szCs w:val="20"/>
              </w:rPr>
            </w:pPr>
            <w:r w:rsidRPr="00D4175F">
              <w:rPr>
                <w:rFonts w:cs="Arial"/>
                <w:color w:val="000000"/>
                <w:sz w:val="20"/>
                <w:szCs w:val="20"/>
              </w:rPr>
              <w:t>21.0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FE2337">
            <w:pPr>
              <w:spacing w:after="0"/>
              <w:ind w:left="0"/>
              <w:jc w:val="right"/>
              <w:rPr>
                <w:rFonts w:cs="Arial"/>
                <w:color w:val="000000"/>
                <w:sz w:val="20"/>
                <w:szCs w:val="20"/>
              </w:rPr>
            </w:pPr>
            <w:r w:rsidRPr="00D4175F">
              <w:rPr>
                <w:rFonts w:cs="Arial"/>
                <w:color w:val="000000"/>
                <w:sz w:val="20"/>
                <w:szCs w:val="20"/>
              </w:rPr>
              <w:t>21</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9B7B5F">
            <w:pPr>
              <w:spacing w:after="0"/>
              <w:ind w:left="0"/>
              <w:jc w:val="right"/>
              <w:rPr>
                <w:rFonts w:cs="Arial"/>
                <w:color w:val="000000"/>
                <w:sz w:val="20"/>
                <w:szCs w:val="20"/>
              </w:rPr>
            </w:pPr>
            <w:r w:rsidRPr="00D4175F">
              <w:rPr>
                <w:rFonts w:cs="Arial"/>
                <w:color w:val="000000"/>
                <w:sz w:val="20"/>
                <w:szCs w:val="20"/>
              </w:rPr>
              <w:t>20</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FE2337">
            <w:pPr>
              <w:spacing w:after="0"/>
              <w:ind w:left="0"/>
              <w:jc w:val="right"/>
              <w:rPr>
                <w:rFonts w:cs="Arial"/>
                <w:color w:val="000000"/>
                <w:sz w:val="20"/>
                <w:szCs w:val="20"/>
              </w:rPr>
            </w:pPr>
            <w:r w:rsidRPr="00D4175F">
              <w:rPr>
                <w:rFonts w:cs="Arial"/>
                <w:color w:val="000000"/>
                <w:sz w:val="20"/>
                <w:szCs w:val="20"/>
              </w:rPr>
              <w:t>19</w:t>
            </w:r>
            <w:r w:rsidR="00B01F07"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FE2337">
            <w:pPr>
              <w:spacing w:after="0"/>
              <w:ind w:left="0"/>
              <w:jc w:val="right"/>
              <w:rPr>
                <w:rFonts w:cs="Arial"/>
                <w:color w:val="000000"/>
                <w:sz w:val="20"/>
                <w:szCs w:val="20"/>
              </w:rPr>
            </w:pPr>
            <w:r w:rsidRPr="00D4175F">
              <w:rPr>
                <w:rFonts w:cs="Arial"/>
                <w:color w:val="000000"/>
                <w:sz w:val="20"/>
                <w:szCs w:val="20"/>
              </w:rPr>
              <w:t>18</w:t>
            </w:r>
            <w:r w:rsidR="00B01F07" w:rsidRPr="00D4175F">
              <w:rPr>
                <w:rFonts w:cs="Arial"/>
                <w:color w:val="000000"/>
                <w:sz w:val="20"/>
                <w:szCs w:val="20"/>
              </w:rPr>
              <w:t>.</w:t>
            </w:r>
            <w:r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5D5886">
            <w:pPr>
              <w:spacing w:after="0"/>
              <w:ind w:left="0"/>
              <w:jc w:val="right"/>
              <w:rPr>
                <w:rFonts w:cs="Arial"/>
                <w:color w:val="000000"/>
                <w:sz w:val="20"/>
                <w:szCs w:val="20"/>
              </w:rPr>
            </w:pPr>
            <w:r w:rsidRPr="00D4175F">
              <w:rPr>
                <w:rFonts w:cs="Arial"/>
                <w:color w:val="000000"/>
                <w:sz w:val="20"/>
                <w:szCs w:val="20"/>
              </w:rPr>
              <w:t>17.1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5D5886">
            <w:pPr>
              <w:spacing w:after="0"/>
              <w:ind w:left="0"/>
              <w:jc w:val="right"/>
              <w:rPr>
                <w:rFonts w:cs="Arial"/>
                <w:color w:val="000000"/>
                <w:sz w:val="20"/>
                <w:szCs w:val="20"/>
              </w:rPr>
            </w:pPr>
            <w:r w:rsidRPr="00D4175F">
              <w:rPr>
                <w:rFonts w:cs="Arial"/>
                <w:color w:val="000000"/>
                <w:sz w:val="20"/>
                <w:szCs w:val="20"/>
              </w:rPr>
              <w:t>16.2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5D5886">
            <w:pPr>
              <w:spacing w:after="0"/>
              <w:ind w:left="0"/>
              <w:jc w:val="right"/>
              <w:rPr>
                <w:rFonts w:cs="Arial"/>
                <w:color w:val="000000"/>
                <w:sz w:val="20"/>
                <w:szCs w:val="20"/>
              </w:rPr>
            </w:pPr>
            <w:r w:rsidRPr="00D4175F">
              <w:rPr>
                <w:rFonts w:cs="Arial"/>
                <w:color w:val="000000"/>
                <w:sz w:val="20"/>
                <w:szCs w:val="20"/>
              </w:rPr>
              <w:t>15.4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5D5886">
            <w:pPr>
              <w:spacing w:after="0"/>
              <w:ind w:left="0"/>
              <w:jc w:val="right"/>
              <w:rPr>
                <w:rFonts w:cs="Arial"/>
                <w:color w:val="000000"/>
                <w:sz w:val="20"/>
                <w:szCs w:val="20"/>
              </w:rPr>
            </w:pPr>
            <w:r w:rsidRPr="00D4175F">
              <w:rPr>
                <w:rFonts w:cs="Arial"/>
                <w:color w:val="000000"/>
                <w:sz w:val="20"/>
                <w:szCs w:val="20"/>
              </w:rPr>
              <w:t>14.7</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15-100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19.7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19.7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18.7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rsidP="00FE2337">
            <w:pPr>
              <w:spacing w:after="0"/>
              <w:ind w:left="0"/>
              <w:jc w:val="right"/>
              <w:rPr>
                <w:rFonts w:cs="Arial"/>
                <w:color w:val="000000"/>
                <w:sz w:val="20"/>
                <w:szCs w:val="20"/>
              </w:rPr>
            </w:pPr>
            <w:r w:rsidRPr="00D4175F">
              <w:rPr>
                <w:rFonts w:cs="Arial"/>
                <w:color w:val="000000"/>
                <w:sz w:val="20"/>
                <w:szCs w:val="20"/>
              </w:rPr>
              <w:t>17.</w:t>
            </w:r>
            <w:r w:rsidR="00FE2337" w:rsidRPr="00D4175F">
              <w:rPr>
                <w:rFonts w:cs="Arial"/>
                <w:color w:val="000000"/>
                <w:sz w:val="20"/>
                <w:szCs w:val="20"/>
              </w:rPr>
              <w:t>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rsidP="00FE2337">
            <w:pPr>
              <w:spacing w:after="0"/>
              <w:ind w:left="0"/>
              <w:jc w:val="right"/>
              <w:rPr>
                <w:rFonts w:cs="Arial"/>
                <w:color w:val="000000"/>
                <w:sz w:val="20"/>
                <w:szCs w:val="20"/>
              </w:rPr>
            </w:pPr>
            <w:r w:rsidRPr="00D4175F">
              <w:rPr>
                <w:rFonts w:cs="Arial"/>
                <w:color w:val="000000"/>
                <w:sz w:val="20"/>
                <w:szCs w:val="20"/>
              </w:rPr>
              <w:t>16.</w:t>
            </w:r>
            <w:r w:rsidR="00FE2337" w:rsidRPr="00D4175F">
              <w:rPr>
                <w:rFonts w:cs="Arial"/>
                <w:color w:val="000000"/>
                <w:sz w:val="20"/>
                <w:szCs w:val="20"/>
              </w:rPr>
              <w:t>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16.0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15.2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14.4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13.7</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100-2000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12.1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12.1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11.5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10.9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10.4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9.8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9.4</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8.9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8.4</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2000-5000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4.5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2.3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2.3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2.3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2.3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2.3</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2.3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2.3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2.3</w:t>
            </w:r>
          </w:p>
        </w:tc>
      </w:tr>
      <w:tr w:rsidR="000C38F6" w:rsidRPr="00D4175F" w:rsidTr="00BD5AE9">
        <w:trPr>
          <w:trHeight w:val="255"/>
          <w:jc w:val="center"/>
        </w:trPr>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B01F07" w:rsidP="009B7B5F">
            <w:pPr>
              <w:spacing w:after="0"/>
              <w:ind w:left="0"/>
              <w:jc w:val="center"/>
              <w:rPr>
                <w:rFonts w:cs="Arial"/>
                <w:color w:val="000000"/>
                <w:sz w:val="20"/>
                <w:szCs w:val="20"/>
                <w:lang w:eastAsia="en-GB"/>
              </w:rPr>
            </w:pPr>
            <w:r w:rsidRPr="00D4175F">
              <w:rPr>
                <w:rFonts w:cs="Arial"/>
                <w:color w:val="000000"/>
                <w:sz w:val="20"/>
                <w:szCs w:val="20"/>
                <w:lang w:eastAsia="en-GB"/>
              </w:rPr>
              <w:t>Wind</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86C08" w:rsidP="009B7B5F">
            <w:pPr>
              <w:spacing w:after="0"/>
              <w:ind w:left="0"/>
              <w:rPr>
                <w:rFonts w:cs="Arial"/>
                <w:color w:val="000000"/>
                <w:sz w:val="20"/>
                <w:szCs w:val="20"/>
                <w:lang w:eastAsia="en-GB"/>
              </w:rPr>
            </w:pPr>
            <w:r w:rsidRPr="00D4175F">
              <w:rPr>
                <w:rFonts w:cs="Arial"/>
                <w:color w:val="000000"/>
                <w:sz w:val="20"/>
                <w:szCs w:val="20"/>
                <w:lang w:eastAsia="en-GB"/>
              </w:rPr>
              <w:t>≤</w:t>
            </w:r>
            <w:r w:rsidR="00B01F07" w:rsidRPr="00D4175F">
              <w:rPr>
                <w:rFonts w:cs="Arial"/>
                <w:color w:val="000000"/>
                <w:sz w:val="20"/>
                <w:szCs w:val="20"/>
                <w:lang w:eastAsia="en-GB"/>
              </w:rPr>
              <w:t xml:space="preserve">1.5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center"/>
              <w:rPr>
                <w:rFonts w:cs="Arial"/>
                <w:color w:val="000000"/>
                <w:sz w:val="20"/>
                <w:szCs w:val="20"/>
              </w:rPr>
            </w:pPr>
            <w:r w:rsidRPr="00D4175F">
              <w:rPr>
                <w:rFonts w:cs="Arial"/>
                <w:color w:val="000000"/>
                <w:sz w:val="20"/>
                <w:szCs w:val="20"/>
              </w:rPr>
              <w:t>21.0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FE2337">
            <w:pPr>
              <w:spacing w:after="0"/>
              <w:ind w:left="0"/>
              <w:jc w:val="right"/>
              <w:rPr>
                <w:rFonts w:cs="Arial"/>
                <w:color w:val="000000"/>
                <w:sz w:val="20"/>
                <w:szCs w:val="20"/>
              </w:rPr>
            </w:pPr>
            <w:r w:rsidRPr="00D4175F">
              <w:rPr>
                <w:rFonts w:cs="Arial"/>
                <w:color w:val="000000"/>
                <w:sz w:val="20"/>
                <w:szCs w:val="20"/>
              </w:rPr>
              <w:t>21</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9B7B5F">
            <w:pPr>
              <w:spacing w:after="0"/>
              <w:ind w:left="0"/>
              <w:jc w:val="right"/>
              <w:rPr>
                <w:rFonts w:cs="Arial"/>
                <w:color w:val="000000"/>
                <w:sz w:val="20"/>
                <w:szCs w:val="20"/>
              </w:rPr>
            </w:pPr>
            <w:r w:rsidRPr="00D4175F">
              <w:rPr>
                <w:rFonts w:cs="Arial"/>
                <w:color w:val="000000"/>
                <w:sz w:val="20"/>
                <w:szCs w:val="20"/>
              </w:rPr>
              <w:t>20</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FE2337">
            <w:pPr>
              <w:spacing w:after="0"/>
              <w:ind w:left="0"/>
              <w:jc w:val="right"/>
              <w:rPr>
                <w:rFonts w:cs="Arial"/>
                <w:color w:val="000000"/>
                <w:sz w:val="20"/>
                <w:szCs w:val="20"/>
              </w:rPr>
            </w:pPr>
            <w:r w:rsidRPr="00D4175F">
              <w:rPr>
                <w:rFonts w:cs="Arial"/>
                <w:color w:val="000000"/>
                <w:sz w:val="20"/>
                <w:szCs w:val="20"/>
              </w:rPr>
              <w:t>19</w:t>
            </w:r>
            <w:r w:rsidR="00B01F07"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FE2337" w:rsidP="00FE2337">
            <w:pPr>
              <w:spacing w:after="0"/>
              <w:ind w:left="0"/>
              <w:jc w:val="right"/>
              <w:rPr>
                <w:rFonts w:cs="Arial"/>
                <w:color w:val="000000"/>
                <w:sz w:val="20"/>
                <w:szCs w:val="20"/>
              </w:rPr>
            </w:pPr>
            <w:r w:rsidRPr="00D4175F">
              <w:rPr>
                <w:rFonts w:cs="Arial"/>
                <w:color w:val="000000"/>
                <w:sz w:val="20"/>
                <w:szCs w:val="20"/>
              </w:rPr>
              <w:t>18</w:t>
            </w:r>
            <w:r w:rsidR="00B01F07" w:rsidRPr="00D4175F">
              <w:rPr>
                <w:rFonts w:cs="Arial"/>
                <w:color w:val="000000"/>
                <w:sz w:val="20"/>
                <w:szCs w:val="20"/>
              </w:rPr>
              <w:t>.</w:t>
            </w:r>
            <w:r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5D5886">
            <w:pPr>
              <w:spacing w:after="0"/>
              <w:ind w:left="0"/>
              <w:jc w:val="right"/>
              <w:rPr>
                <w:rFonts w:cs="Arial"/>
                <w:color w:val="000000"/>
                <w:sz w:val="20"/>
                <w:szCs w:val="20"/>
              </w:rPr>
            </w:pPr>
            <w:r w:rsidRPr="00D4175F">
              <w:rPr>
                <w:rFonts w:cs="Arial"/>
                <w:color w:val="000000"/>
                <w:sz w:val="20"/>
                <w:szCs w:val="20"/>
              </w:rPr>
              <w:t>17.1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5D5886">
            <w:pPr>
              <w:spacing w:after="0"/>
              <w:ind w:left="0"/>
              <w:jc w:val="right"/>
              <w:rPr>
                <w:rFonts w:cs="Arial"/>
                <w:color w:val="000000"/>
                <w:sz w:val="20"/>
                <w:szCs w:val="20"/>
              </w:rPr>
            </w:pPr>
            <w:r w:rsidRPr="00D4175F">
              <w:rPr>
                <w:rFonts w:cs="Arial"/>
                <w:color w:val="000000"/>
                <w:sz w:val="20"/>
                <w:szCs w:val="20"/>
              </w:rPr>
              <w:t>16.2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8D0EFA">
            <w:pPr>
              <w:spacing w:after="0"/>
              <w:ind w:left="0"/>
              <w:jc w:val="right"/>
              <w:rPr>
                <w:rFonts w:cs="Arial"/>
                <w:color w:val="000000"/>
                <w:sz w:val="20"/>
                <w:szCs w:val="20"/>
              </w:rPr>
            </w:pPr>
            <w:r w:rsidRPr="00D4175F">
              <w:rPr>
                <w:rFonts w:cs="Arial"/>
                <w:color w:val="000000"/>
                <w:sz w:val="20"/>
                <w:szCs w:val="20"/>
              </w:rPr>
              <w:t>15.4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8D0EFA">
            <w:pPr>
              <w:spacing w:after="0"/>
              <w:ind w:left="0"/>
              <w:jc w:val="right"/>
              <w:rPr>
                <w:rFonts w:cs="Arial"/>
                <w:color w:val="000000"/>
                <w:sz w:val="20"/>
                <w:szCs w:val="20"/>
              </w:rPr>
            </w:pPr>
            <w:r w:rsidRPr="00D4175F">
              <w:rPr>
                <w:rFonts w:cs="Arial"/>
                <w:color w:val="000000"/>
                <w:sz w:val="20"/>
                <w:szCs w:val="20"/>
              </w:rPr>
              <w:t>14.7</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 xml:space="preserve">1.5-15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21.0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21</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pPr>
              <w:spacing w:after="0"/>
              <w:ind w:left="0"/>
              <w:jc w:val="right"/>
              <w:rPr>
                <w:rFonts w:cs="Arial"/>
                <w:color w:val="000000"/>
                <w:sz w:val="20"/>
                <w:szCs w:val="20"/>
              </w:rPr>
            </w:pPr>
            <w:r w:rsidRPr="00D4175F">
              <w:rPr>
                <w:rFonts w:cs="Arial"/>
                <w:color w:val="000000"/>
                <w:sz w:val="20"/>
                <w:szCs w:val="20"/>
              </w:rPr>
              <w:t>20</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19</w:t>
            </w:r>
            <w:r w:rsidR="00B01F07"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18</w:t>
            </w:r>
            <w:r w:rsidR="00B01F07" w:rsidRPr="00D4175F">
              <w:rPr>
                <w:rFonts w:cs="Arial"/>
                <w:color w:val="000000"/>
                <w:sz w:val="20"/>
                <w:szCs w:val="20"/>
              </w:rPr>
              <w:t>.</w:t>
            </w:r>
            <w:r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17.1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16.2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15.4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14.7</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15-100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21.0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21</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20</w:t>
            </w:r>
            <w:r w:rsidR="00B01F07" w:rsidRPr="00D4175F">
              <w:rPr>
                <w:rFonts w:cs="Arial"/>
                <w:color w:val="000000"/>
                <w:sz w:val="20"/>
                <w:szCs w:val="20"/>
              </w:rPr>
              <w:t>.0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19</w:t>
            </w:r>
            <w:r w:rsidR="00B01F07"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18</w:t>
            </w:r>
            <w:r w:rsidR="00B01F07" w:rsidRPr="00D4175F">
              <w:rPr>
                <w:rFonts w:cs="Arial"/>
                <w:color w:val="000000"/>
                <w:sz w:val="20"/>
                <w:szCs w:val="20"/>
              </w:rPr>
              <w:t>.</w:t>
            </w:r>
            <w:r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17.1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16.2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15.4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14.7</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100-500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0C38F6" w:rsidP="000C38F6">
            <w:pPr>
              <w:spacing w:after="0"/>
              <w:ind w:left="0"/>
              <w:jc w:val="center"/>
              <w:rPr>
                <w:rFonts w:cs="Arial"/>
                <w:color w:val="000000"/>
                <w:sz w:val="20"/>
                <w:szCs w:val="20"/>
              </w:rPr>
            </w:pPr>
            <w:r w:rsidRPr="00D4175F">
              <w:rPr>
                <w:rFonts w:cs="Arial"/>
                <w:color w:val="000000"/>
                <w:sz w:val="20"/>
                <w:szCs w:val="20"/>
              </w:rPr>
              <w:t>17</w:t>
            </w:r>
            <w:r w:rsidR="00B01F07" w:rsidRPr="00D4175F">
              <w:rPr>
                <w:rFonts w:cs="Arial"/>
                <w:color w:val="000000"/>
                <w:sz w:val="20"/>
                <w:szCs w:val="20"/>
              </w:rPr>
              <w:t>.5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17</w:t>
            </w:r>
            <w:r w:rsidR="00B01F07" w:rsidRPr="00D4175F">
              <w:rPr>
                <w:rFonts w:cs="Arial"/>
                <w:color w:val="000000"/>
                <w:sz w:val="20"/>
                <w:szCs w:val="20"/>
              </w:rPr>
              <w:t>.5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16</w:t>
            </w:r>
            <w:r w:rsidR="00B01F07" w:rsidRPr="00D4175F">
              <w:rPr>
                <w:rFonts w:cs="Arial"/>
                <w:color w:val="000000"/>
                <w:sz w:val="20"/>
                <w:szCs w:val="20"/>
              </w:rPr>
              <w:t>.</w:t>
            </w:r>
            <w:r w:rsidRPr="00D4175F">
              <w:rPr>
                <w:rFonts w:cs="Arial"/>
                <w:color w:val="000000"/>
                <w:sz w:val="20"/>
                <w:szCs w:val="20"/>
              </w:rPr>
              <w:t>6</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15</w:t>
            </w:r>
            <w:r w:rsidR="00B01F07" w:rsidRPr="00D4175F">
              <w:rPr>
                <w:rFonts w:cs="Arial"/>
                <w:color w:val="000000"/>
                <w:sz w:val="20"/>
                <w:szCs w:val="20"/>
              </w:rPr>
              <w:t>.</w:t>
            </w:r>
            <w:r w:rsidRPr="00D4175F">
              <w:rPr>
                <w:rFonts w:cs="Arial"/>
                <w:color w:val="000000"/>
                <w:sz w:val="20"/>
                <w:szCs w:val="20"/>
              </w:rPr>
              <w:t>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FE2337" w:rsidP="00FE2337">
            <w:pPr>
              <w:spacing w:after="0"/>
              <w:ind w:left="0"/>
              <w:jc w:val="right"/>
              <w:rPr>
                <w:rFonts w:cs="Arial"/>
                <w:color w:val="000000"/>
                <w:sz w:val="20"/>
                <w:szCs w:val="20"/>
              </w:rPr>
            </w:pPr>
            <w:r w:rsidRPr="00D4175F">
              <w:rPr>
                <w:rFonts w:cs="Arial"/>
                <w:color w:val="000000"/>
                <w:sz w:val="20"/>
                <w:szCs w:val="20"/>
              </w:rPr>
              <w:t>15</w:t>
            </w:r>
            <w:r w:rsidR="00B01F07" w:rsidRPr="00D4175F">
              <w:rPr>
                <w:rFonts w:cs="Arial"/>
                <w:color w:val="000000"/>
                <w:sz w:val="20"/>
                <w:szCs w:val="20"/>
              </w:rPr>
              <w:t>.</w:t>
            </w:r>
            <w:r w:rsidRPr="00D4175F">
              <w:rPr>
                <w:rFonts w:cs="Arial"/>
                <w:color w:val="000000"/>
                <w:sz w:val="20"/>
                <w:szCs w:val="2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14.2</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5D5886">
            <w:pPr>
              <w:spacing w:after="0"/>
              <w:ind w:left="0"/>
              <w:jc w:val="right"/>
              <w:rPr>
                <w:rFonts w:cs="Arial"/>
                <w:color w:val="000000"/>
                <w:sz w:val="20"/>
                <w:szCs w:val="20"/>
              </w:rPr>
            </w:pPr>
            <w:r w:rsidRPr="00D4175F">
              <w:rPr>
                <w:rFonts w:cs="Arial"/>
                <w:color w:val="000000"/>
                <w:sz w:val="20"/>
                <w:szCs w:val="20"/>
              </w:rPr>
              <w:t>13.5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12.8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rsidP="008D0EFA">
            <w:pPr>
              <w:spacing w:after="0"/>
              <w:ind w:left="0"/>
              <w:jc w:val="right"/>
              <w:rPr>
                <w:rFonts w:cs="Arial"/>
                <w:color w:val="000000"/>
                <w:sz w:val="20"/>
                <w:szCs w:val="20"/>
              </w:rPr>
            </w:pPr>
            <w:r w:rsidRPr="00D4175F">
              <w:rPr>
                <w:rFonts w:cs="Arial"/>
                <w:color w:val="000000"/>
                <w:sz w:val="20"/>
                <w:szCs w:val="20"/>
              </w:rPr>
              <w:t>12.2</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500-1500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rsidP="00FE2337">
            <w:pPr>
              <w:spacing w:after="0"/>
              <w:ind w:left="0"/>
              <w:jc w:val="right"/>
              <w:rPr>
                <w:rFonts w:cs="Arial"/>
                <w:color w:val="000000"/>
                <w:sz w:val="20"/>
                <w:szCs w:val="20"/>
              </w:rPr>
            </w:pPr>
            <w:r w:rsidRPr="00D4175F">
              <w:rPr>
                <w:rFonts w:cs="Arial"/>
                <w:color w:val="000000"/>
                <w:sz w:val="20"/>
                <w:szCs w:val="20"/>
              </w:rPr>
              <w:t>9.</w:t>
            </w:r>
            <w:r w:rsidR="00FE2337" w:rsidRPr="00D4175F">
              <w:rPr>
                <w:rFonts w:cs="Arial"/>
                <w:color w:val="000000"/>
                <w:sz w:val="20"/>
                <w:szCs w:val="20"/>
              </w:rPr>
              <w:t>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9.0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8.6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8.1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8.1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8.1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8.1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smallCaps/>
                <w:color w:val="000000"/>
                <w:sz w:val="20"/>
                <w:szCs w:val="20"/>
              </w:rPr>
            </w:pPr>
            <w:r w:rsidRPr="00D4175F">
              <w:rPr>
                <w:rFonts w:cs="Arial"/>
                <w:color w:val="000000"/>
                <w:sz w:val="20"/>
                <w:szCs w:val="20"/>
              </w:rPr>
              <w:t>8.1</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697D76" w:rsidRPr="00D4175F" w:rsidRDefault="00697D76">
            <w:pPr>
              <w:spacing w:after="0"/>
              <w:ind w:left="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86C08">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1500-5000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center"/>
              <w:rPr>
                <w:rFonts w:cs="Arial"/>
                <w:color w:val="000000"/>
                <w:sz w:val="20"/>
                <w:szCs w:val="20"/>
              </w:rPr>
            </w:pPr>
            <w:r w:rsidRPr="00D4175F">
              <w:rPr>
                <w:rFonts w:cs="Arial"/>
                <w:color w:val="000000"/>
                <w:sz w:val="20"/>
                <w:szCs w:val="20"/>
              </w:rPr>
              <w:t>4.5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4.1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4.1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4.1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B01F07">
            <w:pPr>
              <w:spacing w:after="0"/>
              <w:ind w:left="0"/>
              <w:jc w:val="right"/>
              <w:rPr>
                <w:rFonts w:cs="Arial"/>
                <w:color w:val="000000"/>
                <w:sz w:val="20"/>
                <w:szCs w:val="20"/>
              </w:rPr>
            </w:pPr>
            <w:r w:rsidRPr="00D4175F">
              <w:rPr>
                <w:rFonts w:cs="Arial"/>
                <w:color w:val="000000"/>
                <w:sz w:val="20"/>
                <w:szCs w:val="20"/>
              </w:rPr>
              <w:t>4.1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4.1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4.1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4.1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97D76" w:rsidRPr="00D4175F" w:rsidRDefault="0037170C">
            <w:pPr>
              <w:spacing w:after="0"/>
              <w:ind w:left="0"/>
              <w:jc w:val="right"/>
              <w:rPr>
                <w:rFonts w:cs="Arial"/>
                <w:color w:val="000000"/>
                <w:sz w:val="20"/>
                <w:szCs w:val="20"/>
              </w:rPr>
            </w:pPr>
            <w:r w:rsidRPr="00D4175F">
              <w:rPr>
                <w:rFonts w:cs="Arial"/>
                <w:color w:val="000000"/>
                <w:sz w:val="20"/>
                <w:szCs w:val="20"/>
              </w:rPr>
              <w:t>4.1</w:t>
            </w:r>
          </w:p>
        </w:tc>
      </w:tr>
      <w:tr w:rsidR="000C38F6" w:rsidRPr="00D4175F" w:rsidTr="00BD5AE9">
        <w:trPr>
          <w:trHeight w:val="255"/>
          <w:jc w:val="center"/>
        </w:trPr>
        <w:tc>
          <w:tcPr>
            <w:tcW w:w="8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01F07" w:rsidRPr="00D4175F" w:rsidRDefault="00B01F07" w:rsidP="009B7B5F">
            <w:pPr>
              <w:spacing w:after="0"/>
              <w:ind w:left="0"/>
              <w:jc w:val="center"/>
              <w:rPr>
                <w:rFonts w:cs="Arial"/>
                <w:color w:val="000000"/>
                <w:sz w:val="20"/>
                <w:szCs w:val="20"/>
                <w:lang w:eastAsia="en-GB"/>
              </w:rPr>
            </w:pPr>
            <w:r w:rsidRPr="00D4175F">
              <w:rPr>
                <w:rFonts w:cs="Arial"/>
                <w:color w:val="000000"/>
                <w:sz w:val="20"/>
                <w:szCs w:val="20"/>
                <w:lang w:eastAsia="en-GB"/>
              </w:rPr>
              <w:t>AD</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86C08" w:rsidP="009B7B5F">
            <w:pPr>
              <w:spacing w:after="0"/>
              <w:ind w:left="0"/>
              <w:rPr>
                <w:rFonts w:cs="Arial"/>
                <w:color w:val="000000"/>
                <w:sz w:val="20"/>
                <w:szCs w:val="20"/>
                <w:lang w:eastAsia="en-GB"/>
              </w:rPr>
            </w:pPr>
            <w:r w:rsidRPr="00D4175F">
              <w:rPr>
                <w:rFonts w:cs="Arial"/>
                <w:color w:val="000000"/>
                <w:sz w:val="20"/>
                <w:szCs w:val="20"/>
                <w:lang w:eastAsia="en-GB"/>
              </w:rPr>
              <w:t>≤</w:t>
            </w:r>
            <w:r w:rsidR="00B01F07" w:rsidRPr="00D4175F">
              <w:rPr>
                <w:rFonts w:cs="Arial"/>
                <w:color w:val="000000"/>
                <w:sz w:val="20"/>
                <w:szCs w:val="20"/>
                <w:lang w:eastAsia="en-GB"/>
              </w:rPr>
              <w:t>250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center"/>
              <w:rPr>
                <w:rFonts w:cs="Arial"/>
                <w:color w:val="000000"/>
                <w:sz w:val="20"/>
                <w:szCs w:val="20"/>
              </w:rPr>
            </w:pPr>
            <w:r w:rsidRPr="00D4175F">
              <w:rPr>
                <w:rFonts w:cs="Arial"/>
                <w:color w:val="000000"/>
                <w:sz w:val="20"/>
                <w:szCs w:val="20"/>
              </w:rPr>
              <w:t>14.7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14.7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14.0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13.3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12.6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12.0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11.4</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10.8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10.3</w:t>
            </w:r>
          </w:p>
        </w:tc>
      </w:tr>
      <w:tr w:rsidR="000C38F6" w:rsidRPr="00D4175F" w:rsidTr="00BD5AE9">
        <w:trPr>
          <w:trHeight w:val="255"/>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B01F07" w:rsidRPr="00D4175F" w:rsidRDefault="00B01F07" w:rsidP="00B01F07">
            <w:pPr>
              <w:spacing w:after="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86C08" w:rsidP="009B7B5F">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250-500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center"/>
              <w:rPr>
                <w:rFonts w:cs="Arial"/>
                <w:color w:val="000000"/>
                <w:sz w:val="20"/>
                <w:szCs w:val="20"/>
              </w:rPr>
            </w:pPr>
            <w:r w:rsidRPr="00D4175F">
              <w:rPr>
                <w:rFonts w:cs="Arial"/>
                <w:color w:val="000000"/>
                <w:sz w:val="20"/>
                <w:szCs w:val="20"/>
              </w:rPr>
              <w:t>13.7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13.7</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13.0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12.4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11.7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11.2</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10.6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10.1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9.6</w:t>
            </w:r>
          </w:p>
        </w:tc>
      </w:tr>
      <w:tr w:rsidR="000C38F6" w:rsidRPr="00D4175F" w:rsidTr="00BD5AE9">
        <w:trPr>
          <w:trHeight w:val="270"/>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B01F07" w:rsidRPr="00D4175F" w:rsidRDefault="00B01F07" w:rsidP="00B01F07">
            <w:pPr>
              <w:spacing w:after="0"/>
              <w:rPr>
                <w:rFonts w:cs="Arial"/>
                <w:color w:val="000000"/>
                <w:sz w:val="20"/>
                <w:szCs w:val="20"/>
                <w:lang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86C08" w:rsidP="009B7B5F">
            <w:pPr>
              <w:spacing w:after="0"/>
              <w:ind w:left="0"/>
              <w:rPr>
                <w:rFonts w:cs="Arial"/>
                <w:color w:val="000000"/>
                <w:sz w:val="20"/>
                <w:szCs w:val="20"/>
                <w:lang w:eastAsia="en-GB"/>
              </w:rPr>
            </w:pPr>
            <w:r w:rsidRPr="00D4175F">
              <w:rPr>
                <w:rFonts w:cs="Arial"/>
                <w:color w:val="000000"/>
                <w:sz w:val="20"/>
                <w:szCs w:val="20"/>
                <w:lang w:eastAsia="en-GB"/>
              </w:rPr>
              <w:t>&gt;</w:t>
            </w:r>
            <w:r w:rsidR="00B01F07" w:rsidRPr="00D4175F">
              <w:rPr>
                <w:rFonts w:cs="Arial"/>
                <w:color w:val="000000"/>
                <w:sz w:val="20"/>
                <w:szCs w:val="20"/>
                <w:lang w:eastAsia="en-GB"/>
              </w:rPr>
              <w:t>500-5000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center"/>
              <w:rPr>
                <w:rFonts w:cs="Arial"/>
                <w:color w:val="000000"/>
                <w:sz w:val="20"/>
                <w:szCs w:val="20"/>
              </w:rPr>
            </w:pPr>
            <w:r w:rsidRPr="00D4175F">
              <w:rPr>
                <w:rFonts w:cs="Arial"/>
                <w:color w:val="000000"/>
                <w:sz w:val="20"/>
                <w:szCs w:val="20"/>
              </w:rPr>
              <w:t>9.0</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9.0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9.0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8.6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B01F07" w:rsidP="009B7B5F">
            <w:pPr>
              <w:spacing w:after="0"/>
              <w:ind w:left="0"/>
              <w:jc w:val="right"/>
              <w:rPr>
                <w:rFonts w:cs="Arial"/>
                <w:color w:val="000000"/>
                <w:sz w:val="20"/>
                <w:szCs w:val="20"/>
              </w:rPr>
            </w:pPr>
            <w:r w:rsidRPr="00D4175F">
              <w:rPr>
                <w:rFonts w:cs="Arial"/>
                <w:color w:val="000000"/>
                <w:sz w:val="20"/>
                <w:szCs w:val="20"/>
              </w:rPr>
              <w:t>8.1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8.1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8.1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8.1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01F07" w:rsidRPr="00D4175F" w:rsidRDefault="0037170C" w:rsidP="009B7B5F">
            <w:pPr>
              <w:spacing w:after="0"/>
              <w:ind w:left="0"/>
              <w:jc w:val="right"/>
              <w:rPr>
                <w:rFonts w:cs="Arial"/>
                <w:color w:val="000000"/>
                <w:sz w:val="20"/>
                <w:szCs w:val="20"/>
              </w:rPr>
            </w:pPr>
            <w:r w:rsidRPr="00D4175F">
              <w:rPr>
                <w:rFonts w:cs="Arial"/>
                <w:color w:val="000000"/>
                <w:sz w:val="20"/>
                <w:szCs w:val="20"/>
              </w:rPr>
              <w:t>8.1</w:t>
            </w:r>
          </w:p>
        </w:tc>
      </w:tr>
    </w:tbl>
    <w:p w:rsidR="005E7763" w:rsidRPr="00D4175F" w:rsidRDefault="005E7763" w:rsidP="005E7763">
      <w:pPr>
        <w:spacing w:after="0"/>
        <w:ind w:left="360"/>
        <w:rPr>
          <w:rFonts w:cs="Arial"/>
          <w:sz w:val="22"/>
        </w:rPr>
      </w:pPr>
    </w:p>
    <w:p w:rsidR="005E7763" w:rsidRPr="00E42576" w:rsidRDefault="005E7763" w:rsidP="00986EAF">
      <w:pPr>
        <w:pStyle w:val="DECCnumberingBold"/>
        <w:rPr>
          <w:sz w:val="22"/>
        </w:rPr>
      </w:pPr>
      <w:r w:rsidRPr="00D4175F">
        <w:t>In addition, consistent with the approach to cost control proposed for PV tariffs we</w:t>
      </w:r>
      <w:r>
        <w:t xml:space="preserve"> propose capacity based triggers for each technology that </w:t>
      </w:r>
      <w:r w:rsidR="00697E49">
        <w:t xml:space="preserve">could </w:t>
      </w:r>
      <w:r>
        <w:t xml:space="preserve">accelerate the </w:t>
      </w:r>
      <w:proofErr w:type="spellStart"/>
      <w:r>
        <w:t>degression</w:t>
      </w:r>
      <w:proofErr w:type="spellEnd"/>
      <w:r>
        <w:t xml:space="preserve"> steps. These will have longer notice periods than those proposed for PV (three months rather than two) and will be based </w:t>
      </w:r>
      <w:r w:rsidR="009C3C3C">
        <w:t xml:space="preserve">on </w:t>
      </w:r>
      <w:r>
        <w:t>the best estimates available of pipeline data</w:t>
      </w:r>
      <w:r w:rsidR="00DA4261">
        <w:t xml:space="preserve">. Proposals for the process and methodology for determining these estimates are set out in </w:t>
      </w:r>
      <w:r w:rsidR="00FD3906">
        <w:t>the Phase 2A consultation document on PV Cost Control</w:t>
      </w:r>
      <w:r>
        <w:t xml:space="preserve">. </w:t>
      </w:r>
      <w:r w:rsidR="00DA4261">
        <w:t xml:space="preserve">Further certainty for investors is provided by our proposal that </w:t>
      </w:r>
      <w:r>
        <w:t>the tariff changes would not apply to installations that have received preliminary accreditation</w:t>
      </w:r>
      <w:r w:rsidR="00DA4261">
        <w:t xml:space="preserve"> (</w:t>
      </w:r>
      <w:r w:rsidR="004F4CC0">
        <w:t>s</w:t>
      </w:r>
      <w:r w:rsidR="00DA4261">
        <w:t xml:space="preserve">ee </w:t>
      </w:r>
      <w:r w:rsidR="0041225C">
        <w:t>Chapter 3</w:t>
      </w:r>
      <w:r w:rsidR="00DA4261">
        <w:t xml:space="preserve">) </w:t>
      </w:r>
      <w:r>
        <w:t>.</w:t>
      </w:r>
      <w:r w:rsidR="00DA4261">
        <w:t xml:space="preserve"> </w:t>
      </w:r>
      <w:r>
        <w:t xml:space="preserve"> </w:t>
      </w:r>
    </w:p>
    <w:p w:rsidR="005E7763" w:rsidRDefault="005E7763" w:rsidP="00986EAF">
      <w:pPr>
        <w:pStyle w:val="DECCnumberingBold"/>
      </w:pPr>
      <w:r w:rsidRPr="00D86176">
        <w:t xml:space="preserve">We </w:t>
      </w:r>
      <w:r w:rsidR="00DA4261">
        <w:t xml:space="preserve">are </w:t>
      </w:r>
      <w:r w:rsidR="00835568">
        <w:t xml:space="preserve">seeking views </w:t>
      </w:r>
      <w:r w:rsidR="00DA4261">
        <w:t xml:space="preserve">on the proposed </w:t>
      </w:r>
      <w:r w:rsidR="000D28E5">
        <w:t xml:space="preserve">capacity </w:t>
      </w:r>
      <w:r w:rsidRPr="00D86176">
        <w:t>triggers</w:t>
      </w:r>
      <w:r w:rsidR="00DA4261">
        <w:t xml:space="preserve">. The proposed values </w:t>
      </w:r>
      <w:r w:rsidRPr="00D86176">
        <w:t xml:space="preserve">are based on the expected deployment for each technology at the time of the scheduled </w:t>
      </w:r>
      <w:proofErr w:type="spellStart"/>
      <w:r w:rsidR="000D28E5">
        <w:t>degression</w:t>
      </w:r>
      <w:proofErr w:type="spellEnd"/>
      <w:r w:rsidR="000D28E5">
        <w:t xml:space="preserve"> </w:t>
      </w:r>
      <w:r w:rsidRPr="00D86176">
        <w:t xml:space="preserve">step. Table </w:t>
      </w:r>
      <w:r w:rsidR="000D38B9">
        <w:t>7</w:t>
      </w:r>
      <w:r w:rsidR="000D38B9" w:rsidRPr="00D86176">
        <w:t xml:space="preserve"> </w:t>
      </w:r>
      <w:r w:rsidRPr="00D86176">
        <w:t>shows the proposed triggers. This means for example</w:t>
      </w:r>
      <w:r w:rsidR="004F4CC0">
        <w:t>,</w:t>
      </w:r>
      <w:r w:rsidRPr="00D86176">
        <w:t xml:space="preserve"> that the first </w:t>
      </w:r>
      <w:proofErr w:type="spellStart"/>
      <w:r w:rsidRPr="00D86176">
        <w:t>degression</w:t>
      </w:r>
      <w:proofErr w:type="spellEnd"/>
      <w:r w:rsidRPr="00D86176">
        <w:t xml:space="preserve"> step for all hydro tariffs would be implemented in </w:t>
      </w:r>
      <w:r w:rsidR="000D28E5">
        <w:t>April 2014</w:t>
      </w:r>
      <w:r w:rsidRPr="00D86176">
        <w:t xml:space="preserve">, or </w:t>
      </w:r>
      <w:r w:rsidR="004F4CC0">
        <w:t>three</w:t>
      </w:r>
      <w:r w:rsidRPr="00D86176">
        <w:t xml:space="preserve"> months after total hydro deployment reache</w:t>
      </w:r>
      <w:r w:rsidR="008B0B74">
        <w:t>s</w:t>
      </w:r>
      <w:r w:rsidRPr="00D86176">
        <w:t xml:space="preserve"> </w:t>
      </w:r>
      <w:r w:rsidR="000D28E5">
        <w:t>55</w:t>
      </w:r>
      <w:r w:rsidRPr="00D86176">
        <w:t xml:space="preserve"> MW.</w:t>
      </w:r>
      <w:r>
        <w:t xml:space="preserve"> </w:t>
      </w:r>
      <w:r w:rsidRPr="00D86176">
        <w:t>Consistent with the approach to PV, it is not proposed to set these triggers beyond 2014/15.</w:t>
      </w:r>
      <w:r>
        <w:t xml:space="preserve"> We do not propose to include micro CHP in this framework because of the pilot nature of the programme, and the fact that the installation ceiling imposes sufficient cost control.</w:t>
      </w:r>
    </w:p>
    <w:p w:rsidR="004A44CF" w:rsidRPr="00986EAF" w:rsidRDefault="002E49C4" w:rsidP="00986EAF">
      <w:pPr>
        <w:pStyle w:val="Caption"/>
        <w:jc w:val="center"/>
        <w:rPr>
          <w:sz w:val="20"/>
          <w:szCs w:val="20"/>
        </w:rPr>
      </w:pPr>
      <w:r w:rsidRPr="00986EAF">
        <w:rPr>
          <w:sz w:val="20"/>
          <w:szCs w:val="20"/>
        </w:rPr>
        <w:lastRenderedPageBreak/>
        <w:t xml:space="preserve">Table </w:t>
      </w:r>
      <w:r w:rsidR="00BE5FB6" w:rsidRPr="00986EAF">
        <w:rPr>
          <w:sz w:val="20"/>
          <w:szCs w:val="20"/>
        </w:rPr>
        <w:t>6:</w:t>
      </w:r>
      <w:r w:rsidRPr="00986EAF">
        <w:rPr>
          <w:sz w:val="20"/>
          <w:szCs w:val="20"/>
        </w:rPr>
        <w:t xml:space="preserve"> </w:t>
      </w:r>
      <w:r w:rsidR="004A44CF" w:rsidRPr="00986EAF">
        <w:rPr>
          <w:sz w:val="20"/>
          <w:szCs w:val="20"/>
        </w:rPr>
        <w:t xml:space="preserve">Proposed tariffs </w:t>
      </w:r>
      <w:proofErr w:type="spellStart"/>
      <w:r w:rsidR="004A44CF" w:rsidRPr="00986EAF">
        <w:rPr>
          <w:sz w:val="20"/>
          <w:szCs w:val="20"/>
        </w:rPr>
        <w:t>degression</w:t>
      </w:r>
      <w:proofErr w:type="spellEnd"/>
      <w:r w:rsidR="004A44CF" w:rsidRPr="00986EAF">
        <w:rPr>
          <w:sz w:val="20"/>
          <w:szCs w:val="20"/>
        </w:rPr>
        <w:t xml:space="preserve"> triggers for non-PV technologies 2013–2015</w:t>
      </w:r>
    </w:p>
    <w:tbl>
      <w:tblPr>
        <w:tblW w:w="7560" w:type="dxa"/>
        <w:jc w:val="center"/>
        <w:tblLayout w:type="fixed"/>
        <w:tblLook w:val="04A0"/>
      </w:tblPr>
      <w:tblGrid>
        <w:gridCol w:w="1511"/>
        <w:gridCol w:w="1844"/>
        <w:gridCol w:w="993"/>
        <w:gridCol w:w="22"/>
        <w:gridCol w:w="1113"/>
        <w:gridCol w:w="22"/>
        <w:gridCol w:w="1046"/>
        <w:gridCol w:w="1009"/>
      </w:tblGrid>
      <w:tr w:rsidR="004A44CF" w:rsidTr="00BD5AE9">
        <w:trPr>
          <w:trHeight w:val="510"/>
          <w:jc w:val="center"/>
        </w:trPr>
        <w:tc>
          <w:tcPr>
            <w:tcW w:w="1511" w:type="dxa"/>
            <w:vMerge w:val="restart"/>
            <w:tcBorders>
              <w:top w:val="single" w:sz="8" w:space="0" w:color="auto"/>
              <w:left w:val="single" w:sz="8" w:space="0" w:color="auto"/>
              <w:bottom w:val="single" w:sz="8" w:space="0" w:color="000000"/>
              <w:right w:val="single" w:sz="8" w:space="0" w:color="auto"/>
            </w:tcBorders>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Technology</w:t>
            </w:r>
          </w:p>
        </w:tc>
        <w:tc>
          <w:tcPr>
            <w:tcW w:w="1844" w:type="dxa"/>
            <w:vMerge w:val="restart"/>
            <w:tcBorders>
              <w:top w:val="single" w:sz="8" w:space="0" w:color="auto"/>
              <w:left w:val="single" w:sz="8" w:space="0" w:color="auto"/>
              <w:bottom w:val="single" w:sz="8" w:space="0" w:color="000000"/>
              <w:right w:val="single" w:sz="8" w:space="0" w:color="auto"/>
            </w:tcBorders>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Tariff band     (kW)</w:t>
            </w:r>
          </w:p>
        </w:tc>
        <w:tc>
          <w:tcPr>
            <w:tcW w:w="4205" w:type="dxa"/>
            <w:gridSpan w:val="6"/>
            <w:tcBorders>
              <w:top w:val="single" w:sz="8" w:space="0" w:color="auto"/>
              <w:left w:val="single" w:sz="4" w:space="0" w:color="auto"/>
              <w:bottom w:val="single" w:sz="4" w:space="0" w:color="auto"/>
              <w:right w:val="single" w:sz="4" w:space="0" w:color="auto"/>
            </w:tcBorders>
            <w:hideMark/>
          </w:tcPr>
          <w:p w:rsidR="004A44CF" w:rsidRDefault="004A44CF" w:rsidP="00024094">
            <w:pPr>
              <w:spacing w:after="0" w:line="276" w:lineRule="auto"/>
              <w:rPr>
                <w:rFonts w:cs="Arial"/>
                <w:color w:val="000000"/>
                <w:sz w:val="20"/>
                <w:szCs w:val="20"/>
                <w:lang w:eastAsia="en-GB"/>
              </w:rPr>
            </w:pPr>
            <w:r>
              <w:rPr>
                <w:rFonts w:cs="Arial"/>
                <w:b/>
                <w:color w:val="000000"/>
                <w:sz w:val="20"/>
                <w:szCs w:val="20"/>
                <w:lang w:eastAsia="en-GB"/>
              </w:rPr>
              <w:t xml:space="preserve">Proposed Tariffs </w:t>
            </w:r>
            <w:r>
              <w:rPr>
                <w:rFonts w:cs="Arial"/>
                <w:color w:val="000000"/>
                <w:sz w:val="20"/>
                <w:szCs w:val="20"/>
                <w:lang w:eastAsia="en-GB"/>
              </w:rPr>
              <w:t>(October for 2012 installations, April for future year installations), 2012 prices</w:t>
            </w:r>
          </w:p>
        </w:tc>
      </w:tr>
      <w:tr w:rsidR="004A44CF" w:rsidTr="00BD5AE9">
        <w:trPr>
          <w:trHeight w:val="270"/>
          <w:jc w:val="center"/>
        </w:trPr>
        <w:tc>
          <w:tcPr>
            <w:tcW w:w="1511" w:type="dxa"/>
            <w:vMerge/>
            <w:tcBorders>
              <w:top w:val="single" w:sz="8" w:space="0" w:color="auto"/>
              <w:left w:val="single" w:sz="8" w:space="0" w:color="auto"/>
              <w:bottom w:val="single" w:sz="8" w:space="0" w:color="000000"/>
              <w:right w:val="single" w:sz="8" w:space="0" w:color="auto"/>
            </w:tcBorders>
            <w:vAlign w:val="center"/>
            <w:hideMark/>
          </w:tcPr>
          <w:p w:rsidR="004A44CF" w:rsidRDefault="004A44CF" w:rsidP="00024094">
            <w:pPr>
              <w:spacing w:after="0"/>
              <w:rPr>
                <w:rFonts w:cs="Arial"/>
                <w:b/>
                <w:color w:val="000000"/>
                <w:sz w:val="20"/>
                <w:szCs w:val="20"/>
                <w:lang w:eastAsia="en-GB"/>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rsidR="004A44CF" w:rsidRDefault="004A44CF" w:rsidP="00024094">
            <w:pPr>
              <w:spacing w:after="0"/>
              <w:rPr>
                <w:rFonts w:cs="Arial"/>
                <w:b/>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2012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2013</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2014</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2015</w:t>
            </w:r>
          </w:p>
        </w:tc>
      </w:tr>
      <w:tr w:rsidR="004A44CF" w:rsidTr="00BD5AE9">
        <w:trPr>
          <w:trHeight w:val="270"/>
          <w:jc w:val="center"/>
        </w:trPr>
        <w:tc>
          <w:tcPr>
            <w:tcW w:w="1511" w:type="dxa"/>
            <w:vMerge w:val="restart"/>
            <w:tcBorders>
              <w:top w:val="nil"/>
              <w:left w:val="single" w:sz="8" w:space="0" w:color="auto"/>
              <w:bottom w:val="single" w:sz="8" w:space="0" w:color="000000"/>
              <w:right w:val="single" w:sz="8"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Hydro</w:t>
            </w: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≤15</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21.0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21.0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19.0</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&gt;15-≤100</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19.7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19.7</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18.7</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17.7</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&gt;100-≤2000</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12.1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12.1</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11.5</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10.9</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&gt;2000-≤5000</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4.5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2.3</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2.3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2.3</w:t>
            </w:r>
          </w:p>
        </w:tc>
      </w:tr>
      <w:tr w:rsidR="004A44CF" w:rsidTr="00BD5AE9">
        <w:trPr>
          <w:trHeight w:val="270"/>
          <w:jc w:val="center"/>
        </w:trPr>
        <w:tc>
          <w:tcPr>
            <w:tcW w:w="3355" w:type="dxa"/>
            <w:gridSpan w:val="2"/>
            <w:tcBorders>
              <w:top w:val="nil"/>
              <w:left w:val="single" w:sz="8" w:space="0" w:color="auto"/>
              <w:bottom w:val="single" w:sz="8" w:space="0" w:color="000000"/>
              <w:right w:val="single" w:sz="8" w:space="0" w:color="auto"/>
            </w:tcBorders>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Hydro trigger (MW)</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b/>
                <w:sz w:val="20"/>
                <w:szCs w:val="20"/>
              </w:rPr>
            </w:pPr>
            <w:r>
              <w:rPr>
                <w:b/>
                <w:sz w:val="20"/>
                <w:szCs w:val="20"/>
              </w:rPr>
              <w:t>-</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b/>
                <w:sz w:val="20"/>
                <w:szCs w:val="20"/>
              </w:rPr>
            </w:pPr>
            <w:r>
              <w:rPr>
                <w:b/>
                <w:sz w:val="20"/>
                <w:szCs w:val="20"/>
              </w:rPr>
              <w:t>55</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b/>
                <w:sz w:val="20"/>
                <w:szCs w:val="20"/>
              </w:rPr>
            </w:pPr>
            <w:r>
              <w:rPr>
                <w:b/>
                <w:sz w:val="20"/>
                <w:szCs w:val="20"/>
              </w:rPr>
              <w:t>73</w:t>
            </w:r>
          </w:p>
        </w:tc>
      </w:tr>
      <w:tr w:rsidR="004A44CF" w:rsidTr="00BD5AE9">
        <w:trPr>
          <w:trHeight w:val="270"/>
          <w:jc w:val="center"/>
        </w:trPr>
        <w:tc>
          <w:tcPr>
            <w:tcW w:w="1511" w:type="dxa"/>
            <w:vMerge w:val="restart"/>
            <w:tcBorders>
              <w:top w:val="nil"/>
              <w:left w:val="single" w:sz="8" w:space="0" w:color="auto"/>
              <w:bottom w:val="single" w:sz="8" w:space="0" w:color="000000"/>
              <w:right w:val="single" w:sz="8"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Wind</w:t>
            </w: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 xml:space="preserve">≤1.5 </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21.0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21.0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19.0</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 xml:space="preserve">&gt;1.5-≤15 </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21.0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21.0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19.0</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&gt;15-≤100</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21.0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21.0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20.0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19.0</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&gt;100-≤500</w:t>
            </w:r>
          </w:p>
        </w:tc>
        <w:tc>
          <w:tcPr>
            <w:tcW w:w="993" w:type="dxa"/>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17.5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17.5</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16.6</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15.8</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&gt;500-≤1500</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9.5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9.5</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9.0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8.6</w:t>
            </w:r>
          </w:p>
        </w:tc>
      </w:tr>
      <w:tr w:rsidR="004A44CF" w:rsidTr="00BD5AE9">
        <w:trPr>
          <w:trHeight w:val="270"/>
          <w:jc w:val="center"/>
        </w:trPr>
        <w:tc>
          <w:tcPr>
            <w:tcW w:w="1511" w:type="dxa"/>
            <w:vMerge/>
            <w:tcBorders>
              <w:top w:val="nil"/>
              <w:left w:val="single" w:sz="8" w:space="0" w:color="auto"/>
              <w:bottom w:val="single" w:sz="8" w:space="0" w:color="000000"/>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&gt;1500-≤5000</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4.5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4.1</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4.1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4.1</w:t>
            </w:r>
          </w:p>
        </w:tc>
      </w:tr>
      <w:tr w:rsidR="004A44CF" w:rsidTr="00BD5AE9">
        <w:trPr>
          <w:trHeight w:val="270"/>
          <w:jc w:val="center"/>
        </w:trPr>
        <w:tc>
          <w:tcPr>
            <w:tcW w:w="3355" w:type="dxa"/>
            <w:gridSpan w:val="2"/>
            <w:tcBorders>
              <w:top w:val="nil"/>
              <w:left w:val="single" w:sz="8" w:space="0" w:color="auto"/>
              <w:bottom w:val="single" w:sz="8" w:space="0" w:color="000000"/>
              <w:right w:val="single" w:sz="8" w:space="0" w:color="auto"/>
            </w:tcBorders>
            <w:noWrap/>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Wind trigger (MW)</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b/>
                <w:sz w:val="20"/>
                <w:szCs w:val="20"/>
              </w:rPr>
            </w:pPr>
            <w:r>
              <w:rPr>
                <w:b/>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b/>
                <w:sz w:val="20"/>
                <w:szCs w:val="20"/>
              </w:rPr>
            </w:pPr>
            <w:r>
              <w:rPr>
                <w:b/>
                <w:sz w:val="20"/>
                <w:szCs w:val="20"/>
              </w:rPr>
              <w:t>111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b/>
                <w:sz w:val="20"/>
                <w:szCs w:val="20"/>
              </w:rPr>
            </w:pPr>
            <w:r>
              <w:rPr>
                <w:b/>
                <w:sz w:val="20"/>
                <w:szCs w:val="20"/>
              </w:rPr>
              <w:t>137</w:t>
            </w:r>
          </w:p>
        </w:tc>
      </w:tr>
      <w:tr w:rsidR="004A44CF" w:rsidTr="00BD5AE9">
        <w:trPr>
          <w:trHeight w:val="270"/>
          <w:jc w:val="center"/>
        </w:trPr>
        <w:tc>
          <w:tcPr>
            <w:tcW w:w="1511" w:type="dxa"/>
            <w:vMerge w:val="restart"/>
            <w:tcBorders>
              <w:top w:val="nil"/>
              <w:left w:val="single" w:sz="8" w:space="0" w:color="auto"/>
              <w:bottom w:val="single" w:sz="4" w:space="0" w:color="auto"/>
              <w:right w:val="single" w:sz="8"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AD</w:t>
            </w: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≤250</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14.7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A44CF" w:rsidRDefault="004A44CF" w:rsidP="00024094">
            <w:pPr>
              <w:spacing w:after="0" w:line="276" w:lineRule="auto"/>
              <w:rPr>
                <w:sz w:val="20"/>
                <w:szCs w:val="20"/>
              </w:rPr>
            </w:pPr>
            <w:r>
              <w:rPr>
                <w:sz w:val="20"/>
                <w:szCs w:val="20"/>
              </w:rPr>
              <w:t>14.7</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14.0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4A44CF" w:rsidRDefault="004A44CF" w:rsidP="00024094">
            <w:pPr>
              <w:spacing w:after="0" w:line="276" w:lineRule="auto"/>
              <w:rPr>
                <w:sz w:val="20"/>
                <w:szCs w:val="20"/>
              </w:rPr>
            </w:pPr>
            <w:r>
              <w:rPr>
                <w:sz w:val="20"/>
                <w:szCs w:val="20"/>
              </w:rPr>
              <w:t>13.3</w:t>
            </w:r>
          </w:p>
        </w:tc>
      </w:tr>
      <w:tr w:rsidR="004A44CF" w:rsidTr="00BD5AE9">
        <w:trPr>
          <w:trHeight w:val="270"/>
          <w:jc w:val="center"/>
        </w:trPr>
        <w:tc>
          <w:tcPr>
            <w:tcW w:w="1511" w:type="dxa"/>
            <w:vMerge/>
            <w:tcBorders>
              <w:top w:val="nil"/>
              <w:left w:val="single" w:sz="8" w:space="0" w:color="auto"/>
              <w:bottom w:val="single" w:sz="4" w:space="0" w:color="auto"/>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8"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&gt;250-≤500</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13.7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EECE1"/>
            <w:noWrap/>
            <w:hideMark/>
          </w:tcPr>
          <w:p w:rsidR="004A44CF" w:rsidRDefault="004A44CF" w:rsidP="00024094">
            <w:pPr>
              <w:spacing w:after="0" w:line="276" w:lineRule="auto"/>
              <w:rPr>
                <w:sz w:val="20"/>
                <w:szCs w:val="20"/>
              </w:rPr>
            </w:pPr>
            <w:r>
              <w:rPr>
                <w:sz w:val="20"/>
                <w:szCs w:val="20"/>
              </w:rPr>
              <w:t>13.7</w:t>
            </w:r>
          </w:p>
        </w:tc>
        <w:tc>
          <w:tcPr>
            <w:tcW w:w="1046" w:type="dxa"/>
            <w:tcBorders>
              <w:top w:val="single" w:sz="4" w:space="0" w:color="auto"/>
              <w:left w:val="single" w:sz="4" w:space="0" w:color="auto"/>
              <w:bottom w:val="single" w:sz="4" w:space="0" w:color="auto"/>
              <w:right w:val="single" w:sz="4" w:space="0" w:color="auto"/>
            </w:tcBorders>
            <w:shd w:val="clear" w:color="auto" w:fill="EEECE1"/>
            <w:hideMark/>
          </w:tcPr>
          <w:p w:rsidR="004A44CF" w:rsidRDefault="004A44CF" w:rsidP="00024094">
            <w:pPr>
              <w:spacing w:after="0" w:line="276" w:lineRule="auto"/>
              <w:rPr>
                <w:sz w:val="20"/>
                <w:szCs w:val="20"/>
              </w:rPr>
            </w:pPr>
            <w:r>
              <w:rPr>
                <w:sz w:val="20"/>
                <w:szCs w:val="20"/>
              </w:rPr>
              <w:t>13.0</w:t>
            </w:r>
          </w:p>
        </w:tc>
        <w:tc>
          <w:tcPr>
            <w:tcW w:w="1009" w:type="dxa"/>
            <w:tcBorders>
              <w:top w:val="single" w:sz="4" w:space="0" w:color="auto"/>
              <w:left w:val="single" w:sz="4" w:space="0" w:color="auto"/>
              <w:bottom w:val="single" w:sz="4" w:space="0" w:color="auto"/>
              <w:right w:val="single" w:sz="4" w:space="0" w:color="auto"/>
            </w:tcBorders>
            <w:shd w:val="clear" w:color="auto" w:fill="EEECE1"/>
            <w:hideMark/>
          </w:tcPr>
          <w:p w:rsidR="004A44CF" w:rsidRDefault="004A44CF" w:rsidP="00024094">
            <w:pPr>
              <w:spacing w:after="0" w:line="276" w:lineRule="auto"/>
              <w:rPr>
                <w:sz w:val="20"/>
                <w:szCs w:val="20"/>
              </w:rPr>
            </w:pPr>
            <w:r>
              <w:rPr>
                <w:sz w:val="20"/>
                <w:szCs w:val="20"/>
              </w:rPr>
              <w:t>12.4</w:t>
            </w:r>
          </w:p>
        </w:tc>
      </w:tr>
      <w:tr w:rsidR="004A44CF" w:rsidTr="00BD5AE9">
        <w:trPr>
          <w:trHeight w:val="270"/>
          <w:jc w:val="center"/>
        </w:trPr>
        <w:tc>
          <w:tcPr>
            <w:tcW w:w="1511" w:type="dxa"/>
            <w:vMerge/>
            <w:tcBorders>
              <w:top w:val="nil"/>
              <w:left w:val="single" w:sz="8" w:space="0" w:color="auto"/>
              <w:bottom w:val="single" w:sz="4" w:space="0" w:color="auto"/>
              <w:right w:val="single" w:sz="8" w:space="0" w:color="auto"/>
            </w:tcBorders>
            <w:vAlign w:val="center"/>
            <w:hideMark/>
          </w:tcPr>
          <w:p w:rsidR="004A44CF" w:rsidRDefault="004A44CF" w:rsidP="00024094">
            <w:pPr>
              <w:spacing w:after="0"/>
              <w:rPr>
                <w:rFonts w:cs="Arial"/>
                <w:color w:val="000000"/>
                <w:sz w:val="20"/>
                <w:szCs w:val="20"/>
                <w:lang w:eastAsia="en-GB"/>
              </w:rPr>
            </w:pPr>
          </w:p>
        </w:tc>
        <w:tc>
          <w:tcPr>
            <w:tcW w:w="1844" w:type="dxa"/>
            <w:tcBorders>
              <w:top w:val="nil"/>
              <w:left w:val="nil"/>
              <w:bottom w:val="single" w:sz="4" w:space="0" w:color="auto"/>
              <w:right w:val="single" w:sz="8" w:space="0" w:color="auto"/>
            </w:tcBorders>
            <w:noWrap/>
            <w:vAlign w:val="center"/>
            <w:hideMark/>
          </w:tcPr>
          <w:p w:rsidR="004A44CF" w:rsidRDefault="004A44CF" w:rsidP="00024094">
            <w:pPr>
              <w:spacing w:after="0" w:line="276" w:lineRule="auto"/>
              <w:jc w:val="both"/>
              <w:rPr>
                <w:rFonts w:cs="Arial"/>
                <w:color w:val="000000"/>
                <w:sz w:val="20"/>
                <w:szCs w:val="20"/>
                <w:lang w:eastAsia="en-GB"/>
              </w:rPr>
            </w:pPr>
            <w:r>
              <w:rPr>
                <w:rFonts w:cs="Arial"/>
                <w:color w:val="000000"/>
                <w:sz w:val="20"/>
                <w:szCs w:val="20"/>
                <w:lang w:eastAsia="en-GB"/>
              </w:rPr>
              <w:t>&gt;500-≤5000</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color w:val="000000"/>
                <w:sz w:val="20"/>
                <w:szCs w:val="20"/>
                <w:lang w:eastAsia="en-GB"/>
              </w:rPr>
            </w:pPr>
            <w:r>
              <w:rPr>
                <w:rFonts w:cs="Arial"/>
                <w:color w:val="000000"/>
                <w:sz w:val="20"/>
                <w:szCs w:val="20"/>
                <w:lang w:eastAsia="en-GB"/>
              </w:rPr>
              <w:t>9.0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EECE1"/>
            <w:noWrap/>
            <w:hideMark/>
          </w:tcPr>
          <w:p w:rsidR="004A44CF" w:rsidRDefault="004A44CF" w:rsidP="00024094">
            <w:pPr>
              <w:spacing w:after="0" w:line="276" w:lineRule="auto"/>
              <w:rPr>
                <w:sz w:val="20"/>
                <w:szCs w:val="20"/>
              </w:rPr>
            </w:pPr>
            <w:r>
              <w:rPr>
                <w:sz w:val="20"/>
                <w:szCs w:val="20"/>
              </w:rPr>
              <w:t>9.0</w:t>
            </w:r>
          </w:p>
        </w:tc>
        <w:tc>
          <w:tcPr>
            <w:tcW w:w="1046" w:type="dxa"/>
            <w:tcBorders>
              <w:top w:val="single" w:sz="4" w:space="0" w:color="auto"/>
              <w:left w:val="single" w:sz="4" w:space="0" w:color="auto"/>
              <w:bottom w:val="single" w:sz="4" w:space="0" w:color="auto"/>
              <w:right w:val="single" w:sz="4" w:space="0" w:color="auto"/>
            </w:tcBorders>
            <w:shd w:val="clear" w:color="auto" w:fill="EEECE1"/>
            <w:hideMark/>
          </w:tcPr>
          <w:p w:rsidR="004A44CF" w:rsidRDefault="004A44CF" w:rsidP="00024094">
            <w:pPr>
              <w:spacing w:after="0" w:line="276" w:lineRule="auto"/>
              <w:rPr>
                <w:sz w:val="20"/>
                <w:szCs w:val="20"/>
              </w:rPr>
            </w:pPr>
            <w:r>
              <w:rPr>
                <w:sz w:val="20"/>
                <w:szCs w:val="20"/>
              </w:rPr>
              <w:t>9.0</w:t>
            </w:r>
          </w:p>
        </w:tc>
        <w:tc>
          <w:tcPr>
            <w:tcW w:w="1009" w:type="dxa"/>
            <w:tcBorders>
              <w:top w:val="single" w:sz="4" w:space="0" w:color="auto"/>
              <w:left w:val="single" w:sz="4" w:space="0" w:color="auto"/>
              <w:bottom w:val="single" w:sz="4" w:space="0" w:color="auto"/>
              <w:right w:val="single" w:sz="4" w:space="0" w:color="auto"/>
            </w:tcBorders>
            <w:shd w:val="clear" w:color="auto" w:fill="EEECE1"/>
            <w:hideMark/>
          </w:tcPr>
          <w:p w:rsidR="004A44CF" w:rsidRDefault="004A44CF" w:rsidP="00024094">
            <w:pPr>
              <w:spacing w:after="0" w:line="276" w:lineRule="auto"/>
              <w:rPr>
                <w:sz w:val="20"/>
                <w:szCs w:val="20"/>
              </w:rPr>
            </w:pPr>
            <w:r>
              <w:rPr>
                <w:sz w:val="20"/>
                <w:szCs w:val="20"/>
              </w:rPr>
              <w:t>8.6</w:t>
            </w:r>
          </w:p>
        </w:tc>
      </w:tr>
      <w:tr w:rsidR="004A44CF" w:rsidTr="00BD5AE9">
        <w:trPr>
          <w:trHeight w:val="270"/>
          <w:jc w:val="center"/>
        </w:trPr>
        <w:tc>
          <w:tcPr>
            <w:tcW w:w="3355" w:type="dxa"/>
            <w:gridSpan w:val="2"/>
            <w:tcBorders>
              <w:top w:val="single" w:sz="4" w:space="0" w:color="auto"/>
              <w:left w:val="single" w:sz="4" w:space="0" w:color="auto"/>
              <w:bottom w:val="single" w:sz="4" w:space="0" w:color="auto"/>
              <w:right w:val="single" w:sz="4" w:space="0" w:color="auto"/>
            </w:tcBorders>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AD trigger (MW)</w:t>
            </w:r>
          </w:p>
        </w:tc>
        <w:tc>
          <w:tcPr>
            <w:tcW w:w="1015" w:type="dxa"/>
            <w:gridSpan w:val="2"/>
            <w:tcBorders>
              <w:top w:val="single" w:sz="4" w:space="0" w:color="auto"/>
              <w:left w:val="single" w:sz="4" w:space="0" w:color="auto"/>
              <w:bottom w:val="single" w:sz="4" w:space="0" w:color="auto"/>
              <w:right w:val="single" w:sz="4" w:space="0" w:color="auto"/>
            </w:tcBorders>
            <w:noWrap/>
            <w:hideMark/>
          </w:tcPr>
          <w:p w:rsidR="004A44CF" w:rsidRDefault="004A44CF" w:rsidP="00024094">
            <w:pPr>
              <w:spacing w:after="0" w:line="276" w:lineRule="auto"/>
              <w:rPr>
                <w:rFonts w:cs="Arial"/>
                <w:b/>
                <w:color w:val="000000"/>
                <w:sz w:val="20"/>
                <w:szCs w:val="20"/>
                <w:lang w:eastAsia="en-GB"/>
              </w:rPr>
            </w:pPr>
            <w:r>
              <w:rPr>
                <w:rFonts w:cs="Arial"/>
                <w:b/>
                <w:color w:val="000000"/>
                <w:sz w:val="20"/>
                <w:szCs w:val="20"/>
                <w:lang w:eastAsia="en-GB"/>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EECE1"/>
            <w:noWrap/>
            <w:hideMark/>
          </w:tcPr>
          <w:p w:rsidR="004A44CF" w:rsidRDefault="004A44CF" w:rsidP="00024094">
            <w:pPr>
              <w:spacing w:after="0" w:line="276" w:lineRule="auto"/>
              <w:rPr>
                <w:b/>
                <w:sz w:val="20"/>
                <w:szCs w:val="20"/>
              </w:rPr>
            </w:pPr>
            <w:r>
              <w:rPr>
                <w:b/>
                <w:sz w:val="20"/>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EEECE1"/>
            <w:hideMark/>
          </w:tcPr>
          <w:p w:rsidR="004A44CF" w:rsidRDefault="004A44CF" w:rsidP="00024094">
            <w:pPr>
              <w:spacing w:after="0" w:line="276" w:lineRule="auto"/>
              <w:rPr>
                <w:b/>
                <w:sz w:val="20"/>
                <w:szCs w:val="20"/>
              </w:rPr>
            </w:pPr>
            <w:r>
              <w:rPr>
                <w:b/>
                <w:sz w:val="20"/>
                <w:szCs w:val="20"/>
              </w:rPr>
              <w:t>56</w:t>
            </w:r>
          </w:p>
        </w:tc>
        <w:tc>
          <w:tcPr>
            <w:tcW w:w="1009" w:type="dxa"/>
            <w:tcBorders>
              <w:top w:val="single" w:sz="4" w:space="0" w:color="auto"/>
              <w:left w:val="single" w:sz="4" w:space="0" w:color="auto"/>
              <w:bottom w:val="single" w:sz="4" w:space="0" w:color="auto"/>
              <w:right w:val="single" w:sz="4" w:space="0" w:color="auto"/>
            </w:tcBorders>
            <w:shd w:val="clear" w:color="auto" w:fill="EEECE1"/>
            <w:hideMark/>
          </w:tcPr>
          <w:p w:rsidR="004A44CF" w:rsidRDefault="004A44CF" w:rsidP="00024094">
            <w:pPr>
              <w:spacing w:after="0" w:line="276" w:lineRule="auto"/>
              <w:rPr>
                <w:b/>
                <w:sz w:val="20"/>
                <w:szCs w:val="20"/>
              </w:rPr>
            </w:pPr>
            <w:r>
              <w:rPr>
                <w:b/>
                <w:sz w:val="20"/>
                <w:szCs w:val="20"/>
              </w:rPr>
              <w:t>75</w:t>
            </w:r>
          </w:p>
        </w:tc>
      </w:tr>
    </w:tbl>
    <w:p w:rsidR="004A44CF" w:rsidRPr="00BD5AE9" w:rsidRDefault="009C40A9" w:rsidP="009C40A9">
      <w:pPr>
        <w:spacing w:after="120"/>
        <w:ind w:left="851"/>
        <w:rPr>
          <w:rFonts w:cs="Arial"/>
          <w:sz w:val="20"/>
          <w:szCs w:val="20"/>
        </w:rPr>
      </w:pPr>
      <w:r w:rsidRPr="00BD5AE9">
        <w:rPr>
          <w:rFonts w:cs="Arial"/>
          <w:sz w:val="20"/>
          <w:szCs w:val="20"/>
        </w:rPr>
        <w:t xml:space="preserve">Notes: </w:t>
      </w:r>
      <w:r w:rsidR="004A44CF" w:rsidRPr="00BD5AE9">
        <w:rPr>
          <w:rFonts w:cs="Arial"/>
          <w:sz w:val="20"/>
          <w:szCs w:val="20"/>
        </w:rPr>
        <w:t xml:space="preserve">Proposed automatic </w:t>
      </w:r>
      <w:proofErr w:type="spellStart"/>
      <w:r w:rsidR="004A44CF" w:rsidRPr="00BD5AE9">
        <w:rPr>
          <w:rFonts w:cs="Arial"/>
          <w:sz w:val="20"/>
          <w:szCs w:val="20"/>
        </w:rPr>
        <w:t>degression</w:t>
      </w:r>
      <w:proofErr w:type="spellEnd"/>
      <w:r w:rsidR="004A44CF" w:rsidRPr="00BD5AE9">
        <w:rPr>
          <w:rFonts w:cs="Arial"/>
          <w:sz w:val="20"/>
          <w:szCs w:val="20"/>
        </w:rPr>
        <w:t xml:space="preserve"> of 5% per annum starting April 2014. </w:t>
      </w:r>
    </w:p>
    <w:p w:rsidR="004A44CF" w:rsidRPr="00BD5AE9" w:rsidRDefault="004A44CF" w:rsidP="009C40A9">
      <w:pPr>
        <w:spacing w:after="120"/>
        <w:ind w:left="851"/>
        <w:rPr>
          <w:rFonts w:cs="Arial"/>
          <w:sz w:val="20"/>
          <w:szCs w:val="20"/>
        </w:rPr>
      </w:pPr>
      <w:proofErr w:type="spellStart"/>
      <w:r w:rsidRPr="00BD5AE9">
        <w:rPr>
          <w:rFonts w:cs="Arial"/>
          <w:sz w:val="20"/>
          <w:szCs w:val="20"/>
        </w:rPr>
        <w:t>Degression</w:t>
      </w:r>
      <w:proofErr w:type="spellEnd"/>
      <w:r w:rsidRPr="00BD5AE9">
        <w:rPr>
          <w:rFonts w:cs="Arial"/>
          <w:sz w:val="20"/>
          <w:szCs w:val="20"/>
        </w:rPr>
        <w:t xml:space="preserve"> steps are triggered earlier if projected cumulative uptake to the end of the previous financial year arises sooner than the planned timing for automatic </w:t>
      </w:r>
      <w:proofErr w:type="spellStart"/>
      <w:r w:rsidRPr="00BD5AE9">
        <w:rPr>
          <w:rFonts w:cs="Arial"/>
          <w:sz w:val="20"/>
          <w:szCs w:val="20"/>
        </w:rPr>
        <w:t>degression</w:t>
      </w:r>
      <w:proofErr w:type="spellEnd"/>
      <w:r w:rsidRPr="00BD5AE9">
        <w:rPr>
          <w:rFonts w:cs="Arial"/>
          <w:sz w:val="20"/>
          <w:szCs w:val="20"/>
        </w:rPr>
        <w:t>.</w:t>
      </w:r>
    </w:p>
    <w:p w:rsidR="004A44CF" w:rsidRPr="00BD5AE9" w:rsidRDefault="004A44CF" w:rsidP="009C40A9">
      <w:pPr>
        <w:spacing w:after="120"/>
        <w:ind w:left="851"/>
        <w:rPr>
          <w:rFonts w:cs="Arial"/>
          <w:sz w:val="20"/>
          <w:szCs w:val="20"/>
        </w:rPr>
      </w:pPr>
      <w:r w:rsidRPr="00BD5AE9">
        <w:rPr>
          <w:rFonts w:cs="Arial"/>
          <w:sz w:val="20"/>
          <w:szCs w:val="20"/>
        </w:rPr>
        <w:t xml:space="preserve">E.g. projected uptake for hydro is 55MW by the end of March 2014. Automatic </w:t>
      </w:r>
      <w:proofErr w:type="spellStart"/>
      <w:r w:rsidRPr="00BD5AE9">
        <w:rPr>
          <w:rFonts w:cs="Arial"/>
          <w:sz w:val="20"/>
          <w:szCs w:val="20"/>
        </w:rPr>
        <w:t>degression</w:t>
      </w:r>
      <w:proofErr w:type="spellEnd"/>
      <w:r w:rsidRPr="00BD5AE9">
        <w:rPr>
          <w:rFonts w:cs="Arial"/>
          <w:sz w:val="20"/>
          <w:szCs w:val="20"/>
        </w:rPr>
        <w:t xml:space="preserve"> is scheduled for April 2014, but will be triggered earlier if 55MW is reached before this date.</w:t>
      </w:r>
    </w:p>
    <w:p w:rsidR="00986EAF" w:rsidRDefault="00986EAF"/>
    <w:tbl>
      <w:tblPr>
        <w:tblW w:w="4519"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6"/>
        <w:gridCol w:w="7688"/>
      </w:tblGrid>
      <w:tr w:rsidR="002236A9" w:rsidRPr="00015C4E" w:rsidTr="00FE76A9">
        <w:trPr>
          <w:jc w:val="center"/>
        </w:trPr>
        <w:tc>
          <w:tcPr>
            <w:tcW w:w="5000" w:type="pct"/>
            <w:gridSpan w:val="2"/>
            <w:shd w:val="clear" w:color="auto" w:fill="CCECF9"/>
            <w:tcMar>
              <w:top w:w="113" w:type="dxa"/>
              <w:bottom w:w="113" w:type="dxa"/>
            </w:tcMar>
          </w:tcPr>
          <w:p w:rsidR="002236A9" w:rsidRPr="00226F71" w:rsidRDefault="00986EAF" w:rsidP="00105B4D">
            <w:pPr>
              <w:pStyle w:val="TableTitle"/>
              <w:rPr>
                <w:rStyle w:val="PantoneCyan"/>
                <w:b/>
              </w:rPr>
            </w:pPr>
            <w:r>
              <w:rPr>
                <w:rFonts w:cs="Arial"/>
                <w:b/>
                <w:sz w:val="22"/>
              </w:rPr>
              <w:br w:type="page"/>
            </w:r>
            <w:bookmarkStart w:id="520" w:name="OLE_LINK6"/>
            <w:bookmarkStart w:id="521" w:name="OLE_LINK7"/>
            <w:bookmarkStart w:id="522" w:name="OLE_LINK3"/>
            <w:bookmarkStart w:id="523" w:name="OLE_LINK8"/>
            <w:r w:rsidR="002236A9" w:rsidRPr="00226F71">
              <w:rPr>
                <w:rStyle w:val="PantoneCyan"/>
                <w:b/>
              </w:rPr>
              <w:t>Consultation Question</w:t>
            </w:r>
            <w:r w:rsidR="002236A9">
              <w:rPr>
                <w:rStyle w:val="PantoneCyan"/>
                <w:b/>
              </w:rPr>
              <w:t xml:space="preserve">s: </w:t>
            </w:r>
            <w:r w:rsidR="002236A9">
              <w:rPr>
                <w:rStyle w:val="PantoneCyan"/>
                <w:b/>
                <w:i/>
              </w:rPr>
              <w:t>Please support your response with arguments</w:t>
            </w:r>
            <w:r w:rsidR="004F4CC0">
              <w:rPr>
                <w:rStyle w:val="PantoneCyan"/>
                <w:b/>
                <w:i/>
              </w:rPr>
              <w:t xml:space="preserve"> and evidence</w:t>
            </w:r>
          </w:p>
        </w:tc>
      </w:tr>
      <w:tr w:rsidR="002236A9" w:rsidRPr="00015C4E" w:rsidTr="00FE76A9">
        <w:trPr>
          <w:jc w:val="center"/>
        </w:trPr>
        <w:tc>
          <w:tcPr>
            <w:tcW w:w="382" w:type="pct"/>
            <w:shd w:val="clear" w:color="auto" w:fill="CCECF9"/>
            <w:tcMar>
              <w:top w:w="113" w:type="dxa"/>
              <w:bottom w:w="113" w:type="dxa"/>
            </w:tcMar>
          </w:tcPr>
          <w:p w:rsidR="002236A9" w:rsidRPr="00015C4E" w:rsidRDefault="00564E9F" w:rsidP="00105B4D">
            <w:pPr>
              <w:pStyle w:val="TableText"/>
            </w:pPr>
            <w:r>
              <w:t>4</w:t>
            </w:r>
            <w:r w:rsidR="002236A9">
              <w:t>.</w:t>
            </w:r>
          </w:p>
        </w:tc>
        <w:tc>
          <w:tcPr>
            <w:tcW w:w="4618" w:type="pct"/>
            <w:shd w:val="clear" w:color="auto" w:fill="CCECF9"/>
            <w:tcMar>
              <w:top w:w="113" w:type="dxa"/>
              <w:bottom w:w="113" w:type="dxa"/>
            </w:tcMar>
          </w:tcPr>
          <w:p w:rsidR="002236A9" w:rsidRPr="00BD5AE9" w:rsidRDefault="002236A9" w:rsidP="000D28E5">
            <w:pPr>
              <w:pStyle w:val="ListParagraph1"/>
              <w:spacing w:after="0" w:line="240" w:lineRule="auto"/>
              <w:ind w:left="0"/>
              <w:rPr>
                <w:rFonts w:ascii="Arial" w:hAnsi="Arial" w:cs="Arial"/>
                <w:color w:val="000000"/>
                <w:sz w:val="24"/>
                <w:szCs w:val="24"/>
              </w:rPr>
            </w:pPr>
            <w:r w:rsidRPr="00BD5AE9">
              <w:rPr>
                <w:rFonts w:ascii="Arial" w:hAnsi="Arial" w:cs="Arial"/>
                <w:color w:val="000000"/>
                <w:sz w:val="24"/>
                <w:szCs w:val="24"/>
              </w:rPr>
              <w:t xml:space="preserve">Do you agree </w:t>
            </w:r>
            <w:r w:rsidR="00134ED9" w:rsidRPr="00BD5AE9">
              <w:rPr>
                <w:rFonts w:ascii="Arial" w:hAnsi="Arial" w:cs="Arial"/>
                <w:color w:val="000000"/>
                <w:sz w:val="24"/>
                <w:szCs w:val="24"/>
              </w:rPr>
              <w:t>that the cost control mechanism should apply across all technologies</w:t>
            </w:r>
            <w:r w:rsidRPr="00BD5AE9">
              <w:rPr>
                <w:rFonts w:ascii="Arial" w:hAnsi="Arial" w:cs="Arial"/>
                <w:color w:val="000000"/>
                <w:sz w:val="24"/>
                <w:szCs w:val="24"/>
              </w:rPr>
              <w:t>?</w:t>
            </w:r>
          </w:p>
        </w:tc>
      </w:tr>
      <w:bookmarkEnd w:id="520"/>
      <w:bookmarkEnd w:id="521"/>
      <w:tr w:rsidR="002236A9" w:rsidRPr="00015C4E" w:rsidTr="00FE76A9">
        <w:trPr>
          <w:jc w:val="center"/>
        </w:trPr>
        <w:tc>
          <w:tcPr>
            <w:tcW w:w="382" w:type="pct"/>
            <w:shd w:val="clear" w:color="auto" w:fill="CCECF9"/>
            <w:tcMar>
              <w:top w:w="113" w:type="dxa"/>
              <w:bottom w:w="113" w:type="dxa"/>
            </w:tcMar>
          </w:tcPr>
          <w:p w:rsidR="002236A9" w:rsidRDefault="00564E9F" w:rsidP="0068196C">
            <w:pPr>
              <w:pStyle w:val="TableText"/>
            </w:pPr>
            <w:r>
              <w:t>5</w:t>
            </w:r>
            <w:r w:rsidR="002236A9">
              <w:t>.</w:t>
            </w:r>
          </w:p>
        </w:tc>
        <w:tc>
          <w:tcPr>
            <w:tcW w:w="4618" w:type="pct"/>
            <w:shd w:val="clear" w:color="auto" w:fill="CCECF9"/>
            <w:tcMar>
              <w:top w:w="113" w:type="dxa"/>
              <w:bottom w:w="113" w:type="dxa"/>
            </w:tcMar>
          </w:tcPr>
          <w:p w:rsidR="002236A9" w:rsidRPr="00BD5AE9" w:rsidRDefault="002236A9" w:rsidP="000D28E5">
            <w:pPr>
              <w:pStyle w:val="ListParagraph1"/>
              <w:spacing w:after="0" w:line="240" w:lineRule="auto"/>
              <w:ind w:left="0"/>
              <w:rPr>
                <w:rFonts w:ascii="Arial" w:hAnsi="Arial" w:cs="Arial"/>
                <w:color w:val="000000"/>
                <w:sz w:val="24"/>
                <w:szCs w:val="24"/>
              </w:rPr>
            </w:pPr>
            <w:r w:rsidRPr="00BD5AE9">
              <w:rPr>
                <w:rFonts w:ascii="Arial" w:hAnsi="Arial" w:cs="Arial"/>
                <w:color w:val="000000"/>
                <w:sz w:val="24"/>
                <w:szCs w:val="24"/>
              </w:rPr>
              <w:t xml:space="preserve">Do you agree with the proposal </w:t>
            </w:r>
            <w:r w:rsidR="00134ED9" w:rsidRPr="00BD5AE9">
              <w:rPr>
                <w:rFonts w:ascii="Arial" w:hAnsi="Arial" w:cs="Arial"/>
                <w:color w:val="000000"/>
                <w:sz w:val="24"/>
                <w:szCs w:val="24"/>
              </w:rPr>
              <w:t xml:space="preserve">that all </w:t>
            </w:r>
            <w:r w:rsidR="00F9538A" w:rsidRPr="00BD5AE9">
              <w:rPr>
                <w:rFonts w:ascii="Arial" w:hAnsi="Arial" w:cs="Arial"/>
                <w:color w:val="000000"/>
                <w:sz w:val="24"/>
                <w:szCs w:val="24"/>
              </w:rPr>
              <w:t>t</w:t>
            </w:r>
            <w:r w:rsidR="00134ED9" w:rsidRPr="00BD5AE9">
              <w:rPr>
                <w:rFonts w:ascii="Arial" w:hAnsi="Arial" w:cs="Arial"/>
                <w:color w:val="000000"/>
                <w:sz w:val="24"/>
                <w:szCs w:val="24"/>
              </w:rPr>
              <w:t xml:space="preserve">ariffs will be subject to a minimum </w:t>
            </w:r>
            <w:proofErr w:type="spellStart"/>
            <w:r w:rsidR="00134ED9" w:rsidRPr="00BD5AE9">
              <w:rPr>
                <w:rFonts w:ascii="Arial" w:hAnsi="Arial" w:cs="Arial"/>
                <w:color w:val="000000"/>
                <w:sz w:val="24"/>
                <w:szCs w:val="24"/>
              </w:rPr>
              <w:t>degression</w:t>
            </w:r>
            <w:proofErr w:type="spellEnd"/>
            <w:r w:rsidR="00134ED9" w:rsidRPr="00BD5AE9">
              <w:rPr>
                <w:rFonts w:ascii="Arial" w:hAnsi="Arial" w:cs="Arial"/>
                <w:color w:val="000000"/>
                <w:sz w:val="24"/>
                <w:szCs w:val="24"/>
              </w:rPr>
              <w:t xml:space="preserve"> rate of 5% per year</w:t>
            </w:r>
            <w:r w:rsidR="000D28E5" w:rsidRPr="00BD5AE9">
              <w:rPr>
                <w:rFonts w:ascii="Arial" w:hAnsi="Arial" w:cs="Arial"/>
                <w:color w:val="000000"/>
                <w:sz w:val="24"/>
                <w:szCs w:val="24"/>
              </w:rPr>
              <w:t xml:space="preserve"> beginning in April 2014</w:t>
            </w:r>
            <w:r w:rsidRPr="00BD5AE9">
              <w:rPr>
                <w:rFonts w:ascii="Arial" w:hAnsi="Arial" w:cs="Arial"/>
                <w:color w:val="000000"/>
                <w:sz w:val="24"/>
                <w:szCs w:val="24"/>
              </w:rPr>
              <w:t>?</w:t>
            </w:r>
          </w:p>
        </w:tc>
      </w:tr>
      <w:tr w:rsidR="002236A9" w:rsidRPr="00015C4E" w:rsidTr="00FE76A9">
        <w:trPr>
          <w:jc w:val="center"/>
        </w:trPr>
        <w:tc>
          <w:tcPr>
            <w:tcW w:w="382" w:type="pct"/>
            <w:shd w:val="clear" w:color="auto" w:fill="CCECF9"/>
            <w:tcMar>
              <w:top w:w="113" w:type="dxa"/>
              <w:bottom w:w="113" w:type="dxa"/>
            </w:tcMar>
          </w:tcPr>
          <w:p w:rsidR="002236A9" w:rsidRDefault="00564E9F" w:rsidP="00105B4D">
            <w:pPr>
              <w:pStyle w:val="TableText"/>
            </w:pPr>
            <w:r>
              <w:t>6</w:t>
            </w:r>
            <w:r w:rsidR="001430E1">
              <w:t>.</w:t>
            </w:r>
          </w:p>
        </w:tc>
        <w:tc>
          <w:tcPr>
            <w:tcW w:w="4618" w:type="pct"/>
            <w:shd w:val="clear" w:color="auto" w:fill="CCECF9"/>
            <w:tcMar>
              <w:top w:w="113" w:type="dxa"/>
              <w:bottom w:w="113" w:type="dxa"/>
            </w:tcMar>
          </w:tcPr>
          <w:p w:rsidR="002236A9" w:rsidRPr="00BD5AE9" w:rsidRDefault="00134ED9" w:rsidP="00FB3947">
            <w:pPr>
              <w:pStyle w:val="ListParagraph1"/>
              <w:spacing w:after="0" w:line="240" w:lineRule="auto"/>
              <w:ind w:left="0"/>
              <w:rPr>
                <w:rFonts w:ascii="Arial" w:hAnsi="Arial" w:cs="Arial"/>
                <w:color w:val="000000"/>
                <w:sz w:val="24"/>
                <w:szCs w:val="24"/>
              </w:rPr>
            </w:pPr>
            <w:r w:rsidRPr="00BD5AE9">
              <w:rPr>
                <w:rFonts w:ascii="Arial" w:hAnsi="Arial" w:cs="Arial"/>
                <w:color w:val="000000"/>
                <w:sz w:val="24"/>
                <w:szCs w:val="24"/>
              </w:rPr>
              <w:t>Do you also agree that there should be an element of capacity</w:t>
            </w:r>
            <w:r w:rsidR="00FB3947" w:rsidRPr="00BD5AE9">
              <w:rPr>
                <w:rFonts w:ascii="Arial" w:hAnsi="Arial" w:cs="Arial"/>
                <w:color w:val="000000"/>
                <w:sz w:val="24"/>
                <w:szCs w:val="24"/>
              </w:rPr>
              <w:t>-</w:t>
            </w:r>
            <w:r w:rsidRPr="00BD5AE9">
              <w:rPr>
                <w:rFonts w:ascii="Arial" w:hAnsi="Arial" w:cs="Arial"/>
                <w:color w:val="000000"/>
                <w:sz w:val="24"/>
                <w:szCs w:val="24"/>
              </w:rPr>
              <w:t xml:space="preserve">based triggers that could accelerate the </w:t>
            </w:r>
            <w:proofErr w:type="spellStart"/>
            <w:r w:rsidRPr="00BD5AE9">
              <w:rPr>
                <w:rFonts w:ascii="Arial" w:hAnsi="Arial" w:cs="Arial"/>
                <w:color w:val="000000"/>
                <w:sz w:val="24"/>
                <w:szCs w:val="24"/>
              </w:rPr>
              <w:t>degression</w:t>
            </w:r>
            <w:proofErr w:type="spellEnd"/>
            <w:r w:rsidRPr="00BD5AE9">
              <w:rPr>
                <w:rFonts w:ascii="Arial" w:hAnsi="Arial" w:cs="Arial"/>
                <w:color w:val="000000"/>
                <w:sz w:val="24"/>
                <w:szCs w:val="24"/>
              </w:rPr>
              <w:t xml:space="preserve"> mechanism</w:t>
            </w:r>
            <w:r w:rsidR="000D28E5" w:rsidRPr="00BD5AE9">
              <w:rPr>
                <w:rFonts w:ascii="Arial" w:hAnsi="Arial" w:cs="Arial"/>
                <w:color w:val="000000"/>
                <w:sz w:val="24"/>
                <w:szCs w:val="24"/>
              </w:rPr>
              <w:t>? Do you agree with the proposed triggers?</w:t>
            </w:r>
          </w:p>
        </w:tc>
      </w:tr>
      <w:tr w:rsidR="002236A9" w:rsidRPr="00015C4E" w:rsidTr="00FE76A9">
        <w:trPr>
          <w:jc w:val="center"/>
        </w:trPr>
        <w:tc>
          <w:tcPr>
            <w:tcW w:w="382" w:type="pct"/>
            <w:shd w:val="clear" w:color="auto" w:fill="CCECF9"/>
            <w:tcMar>
              <w:top w:w="113" w:type="dxa"/>
              <w:bottom w:w="113" w:type="dxa"/>
            </w:tcMar>
          </w:tcPr>
          <w:p w:rsidR="002236A9" w:rsidRDefault="00564E9F" w:rsidP="00105B4D">
            <w:pPr>
              <w:pStyle w:val="TableText"/>
            </w:pPr>
            <w:r>
              <w:t>7</w:t>
            </w:r>
            <w:r w:rsidR="001430E1">
              <w:t>.</w:t>
            </w:r>
          </w:p>
        </w:tc>
        <w:tc>
          <w:tcPr>
            <w:tcW w:w="4618" w:type="pct"/>
            <w:shd w:val="clear" w:color="auto" w:fill="CCECF9"/>
            <w:tcMar>
              <w:top w:w="113" w:type="dxa"/>
              <w:bottom w:w="113" w:type="dxa"/>
            </w:tcMar>
          </w:tcPr>
          <w:p w:rsidR="002236A9" w:rsidRPr="00BD5AE9" w:rsidRDefault="00134ED9" w:rsidP="000D28E5">
            <w:pPr>
              <w:pStyle w:val="ListParagraph1"/>
              <w:spacing w:after="0" w:line="240" w:lineRule="auto"/>
              <w:ind w:left="0"/>
              <w:rPr>
                <w:rFonts w:ascii="Arial" w:hAnsi="Arial" w:cs="Arial"/>
                <w:color w:val="000000"/>
                <w:sz w:val="24"/>
                <w:szCs w:val="24"/>
              </w:rPr>
            </w:pPr>
            <w:r w:rsidRPr="00BD5AE9">
              <w:rPr>
                <w:rFonts w:ascii="Arial" w:hAnsi="Arial" w:cs="Arial"/>
                <w:color w:val="000000"/>
                <w:sz w:val="24"/>
                <w:szCs w:val="24"/>
              </w:rPr>
              <w:t xml:space="preserve">If not, can you propose an alternative model, e.g. contingent </w:t>
            </w:r>
            <w:proofErr w:type="spellStart"/>
            <w:r w:rsidRPr="00BD5AE9">
              <w:rPr>
                <w:rFonts w:ascii="Arial" w:hAnsi="Arial" w:cs="Arial"/>
                <w:color w:val="000000"/>
                <w:sz w:val="24"/>
                <w:szCs w:val="24"/>
              </w:rPr>
              <w:t>degression</w:t>
            </w:r>
            <w:proofErr w:type="spellEnd"/>
            <w:r w:rsidRPr="00BD5AE9">
              <w:rPr>
                <w:rFonts w:ascii="Arial" w:hAnsi="Arial" w:cs="Arial"/>
                <w:color w:val="000000"/>
                <w:sz w:val="24"/>
                <w:szCs w:val="24"/>
              </w:rPr>
              <w:t xml:space="preserve"> or quotas that would deliver certainty for investors and confidence that we can meet our L</w:t>
            </w:r>
            <w:r w:rsidR="00FB3947" w:rsidRPr="00BD5AE9">
              <w:rPr>
                <w:rFonts w:ascii="Arial" w:hAnsi="Arial" w:cs="Arial"/>
                <w:color w:val="000000"/>
                <w:sz w:val="24"/>
                <w:szCs w:val="24"/>
              </w:rPr>
              <w:t xml:space="preserve">evy </w:t>
            </w:r>
            <w:r w:rsidRPr="00BD5AE9">
              <w:rPr>
                <w:rFonts w:ascii="Arial" w:hAnsi="Arial" w:cs="Arial"/>
                <w:color w:val="000000"/>
                <w:sz w:val="24"/>
                <w:szCs w:val="24"/>
              </w:rPr>
              <w:t>C</w:t>
            </w:r>
            <w:r w:rsidR="00FB3947" w:rsidRPr="00BD5AE9">
              <w:rPr>
                <w:rFonts w:ascii="Arial" w:hAnsi="Arial" w:cs="Arial"/>
                <w:color w:val="000000"/>
                <w:sz w:val="24"/>
                <w:szCs w:val="24"/>
              </w:rPr>
              <w:t xml:space="preserve">ontrol </w:t>
            </w:r>
            <w:r w:rsidRPr="00BD5AE9">
              <w:rPr>
                <w:rFonts w:ascii="Arial" w:hAnsi="Arial" w:cs="Arial"/>
                <w:color w:val="000000"/>
                <w:sz w:val="24"/>
                <w:szCs w:val="24"/>
              </w:rPr>
              <w:t>F</w:t>
            </w:r>
            <w:r w:rsidR="00FB3947" w:rsidRPr="00BD5AE9">
              <w:rPr>
                <w:rFonts w:ascii="Arial" w:hAnsi="Arial" w:cs="Arial"/>
                <w:color w:val="000000"/>
                <w:sz w:val="24"/>
                <w:szCs w:val="24"/>
              </w:rPr>
              <w:t>ramework</w:t>
            </w:r>
            <w:r w:rsidRPr="00BD5AE9">
              <w:rPr>
                <w:rFonts w:ascii="Arial" w:hAnsi="Arial" w:cs="Arial"/>
                <w:color w:val="000000"/>
                <w:sz w:val="24"/>
                <w:szCs w:val="24"/>
              </w:rPr>
              <w:t xml:space="preserve"> obligations?</w:t>
            </w:r>
          </w:p>
        </w:tc>
      </w:tr>
    </w:tbl>
    <w:p w:rsidR="006F3E5E" w:rsidRPr="00BD5AE9" w:rsidRDefault="006F3E5E" w:rsidP="00DA785C">
      <w:pPr>
        <w:pStyle w:val="Heading2"/>
        <w:spacing w:after="240"/>
        <w:rPr>
          <w:color w:val="00B0F0"/>
        </w:rPr>
      </w:pPr>
      <w:bookmarkStart w:id="524" w:name="_Toc316544911"/>
      <w:bookmarkEnd w:id="522"/>
      <w:bookmarkEnd w:id="523"/>
      <w:r w:rsidRPr="00BD5AE9">
        <w:rPr>
          <w:color w:val="00B0F0"/>
        </w:rPr>
        <w:lastRenderedPageBreak/>
        <w:t>Energy Efficiency</w:t>
      </w:r>
      <w:bookmarkEnd w:id="524"/>
      <w:r w:rsidRPr="00BD5AE9">
        <w:rPr>
          <w:color w:val="00B0F0"/>
        </w:rPr>
        <w:t xml:space="preserve"> </w:t>
      </w:r>
    </w:p>
    <w:p w:rsidR="00FB5DDE" w:rsidRDefault="00FB5DDE" w:rsidP="00986EAF">
      <w:pPr>
        <w:pStyle w:val="DECCnumberingBold"/>
      </w:pPr>
      <w:r>
        <w:t xml:space="preserve">The final proposals for Phase 1 include requirements for energy efficiency of buildings to which solar PV installations are attached. It should be expected that equivalent </w:t>
      </w:r>
      <w:r w:rsidR="00992B51">
        <w:t>principles</w:t>
      </w:r>
      <w:r>
        <w:t xml:space="preserve"> should apply across all </w:t>
      </w:r>
      <w:r w:rsidR="00992B51">
        <w:t>technologies</w:t>
      </w:r>
      <w:r>
        <w:t>.  However, there are a number of specific issues that need to be considered before these requirements could be applied to non-PV technologies.</w:t>
      </w:r>
    </w:p>
    <w:p w:rsidR="00FB5DDE" w:rsidRDefault="00FB5DDE" w:rsidP="00986EAF">
      <w:pPr>
        <w:pStyle w:val="DECCnumberingBold"/>
      </w:pPr>
      <w:r>
        <w:t>Firstly, the larger scale technologies such as hydro and the larger scale wind bands are generally not associated with domestic or commercial buildings and are in generally remote locations. They may be associated with other buildings e.g. farm sheds, mill buildings etc, but methodologies and capacities to assess the energy performance of these buildings through EPCs do not currently exist</w:t>
      </w:r>
      <w:r w:rsidR="004F4CC0">
        <w:t xml:space="preserve"> in many cases</w:t>
      </w:r>
      <w:r>
        <w:t xml:space="preserve">. A tariff penalty that applied to an installation that was attached to a low EPC-rated building relative to a stand-alone installation would create a perverse incentive not to seek out opportunities for on-site use, which is clearly the most cost effective and environmentally beneficial use of small-scale renewable generation. </w:t>
      </w:r>
    </w:p>
    <w:p w:rsidR="00FB5DDE" w:rsidRDefault="00FB5DDE" w:rsidP="00986EAF">
      <w:pPr>
        <w:pStyle w:val="DECCnumberingBold"/>
      </w:pPr>
      <w:r>
        <w:t>The only significant exception to this is the smallest categories of wind generation where they are building mounted</w:t>
      </w:r>
      <w:r w:rsidR="00B5775B">
        <w:t>,</w:t>
      </w:r>
      <w:r>
        <w:t xml:space="preserve"> and </w:t>
      </w:r>
      <w:proofErr w:type="spellStart"/>
      <w:r>
        <w:t>microCHP</w:t>
      </w:r>
      <w:proofErr w:type="spellEnd"/>
      <w:r>
        <w:t xml:space="preserve">. We are seeking views on whether energy efficiency requirements equivalent to PV should be applied. However, it should be noted that there may be significant barriers to implementing this policy, </w:t>
      </w:r>
      <w:r w:rsidR="00DC72CC">
        <w:t>including the fact  that i</w:t>
      </w:r>
      <w:r>
        <w:t xml:space="preserve">n the case of </w:t>
      </w:r>
      <w:proofErr w:type="spellStart"/>
      <w:r>
        <w:t>microCHP</w:t>
      </w:r>
      <w:proofErr w:type="spellEnd"/>
      <w:r w:rsidR="00DC72CC">
        <w:t>,</w:t>
      </w:r>
      <w:r>
        <w:t xml:space="preserve"> installations are likely to be distress purchases at the time of boiler failure; imposing an energ</w:t>
      </w:r>
      <w:r w:rsidR="00DC72CC">
        <w:t>y efficiency requirement may</w:t>
      </w:r>
      <w:r>
        <w:t xml:space="preserve"> therefore be a major disincentive. In addition, for both of these technologies there is no clear default tariff rate to apply if the energy efficiency requirements were not met.</w:t>
      </w:r>
    </w:p>
    <w:p w:rsidR="00FB5DDE" w:rsidRDefault="00FB5DDE" w:rsidP="00986EAF">
      <w:pPr>
        <w:pStyle w:val="DECCnumberingBold"/>
      </w:pPr>
      <w:r>
        <w:t xml:space="preserve">We </w:t>
      </w:r>
      <w:r w:rsidR="00DC72CC">
        <w:t xml:space="preserve">proposed to </w:t>
      </w:r>
      <w:r>
        <w:t xml:space="preserve">revisit this question in the future, in the light of emerging policy on energy efficiency and the </w:t>
      </w:r>
      <w:r w:rsidR="004F4CC0">
        <w:t>G</w:t>
      </w:r>
      <w:r>
        <w:t xml:space="preserve">reen </w:t>
      </w:r>
      <w:r w:rsidR="004F4CC0">
        <w:t>D</w:t>
      </w:r>
      <w:r>
        <w:t xml:space="preserve">eal. </w:t>
      </w:r>
    </w:p>
    <w:p w:rsidR="00904A64" w:rsidRDefault="00904A64" w:rsidP="00553F55">
      <w:pPr>
        <w:pStyle w:val="EndpageText"/>
        <w:spacing w:line="240" w:lineRule="auto"/>
        <w:jc w:val="both"/>
        <w:rPr>
          <w:color w:val="auto"/>
          <w:sz w:val="22"/>
          <w:szCs w:val="22"/>
        </w:rPr>
      </w:pP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D22CD2" w:rsidRPr="00015C4E" w:rsidTr="00FE76A9">
        <w:trPr>
          <w:jc w:val="center"/>
        </w:trPr>
        <w:tc>
          <w:tcPr>
            <w:tcW w:w="5000" w:type="pct"/>
            <w:gridSpan w:val="2"/>
            <w:shd w:val="clear" w:color="auto" w:fill="CCECF9"/>
            <w:tcMar>
              <w:top w:w="113" w:type="dxa"/>
              <w:bottom w:w="113" w:type="dxa"/>
            </w:tcMar>
          </w:tcPr>
          <w:p w:rsidR="00D22CD2" w:rsidRPr="00226F71" w:rsidRDefault="00D22CD2" w:rsidP="00D22CD2">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083782">
              <w:rPr>
                <w:rStyle w:val="PantoneCyan"/>
                <w:b/>
                <w:i/>
              </w:rPr>
              <w:t xml:space="preserve"> and evidence</w:t>
            </w:r>
          </w:p>
        </w:tc>
      </w:tr>
      <w:tr w:rsidR="00D22CD2" w:rsidRPr="00015C4E" w:rsidTr="00FE76A9">
        <w:trPr>
          <w:jc w:val="center"/>
        </w:trPr>
        <w:tc>
          <w:tcPr>
            <w:tcW w:w="355" w:type="pct"/>
            <w:shd w:val="clear" w:color="auto" w:fill="CCECF9"/>
            <w:tcMar>
              <w:top w:w="113" w:type="dxa"/>
              <w:bottom w:w="113" w:type="dxa"/>
            </w:tcMar>
          </w:tcPr>
          <w:p w:rsidR="00D22CD2" w:rsidRPr="00015C4E" w:rsidRDefault="00564E9F" w:rsidP="00D22CD2">
            <w:pPr>
              <w:pStyle w:val="TableText"/>
            </w:pPr>
            <w:r>
              <w:t>8</w:t>
            </w:r>
            <w:r w:rsidR="00D22CD2">
              <w:t>.</w:t>
            </w:r>
          </w:p>
        </w:tc>
        <w:tc>
          <w:tcPr>
            <w:tcW w:w="4645" w:type="pct"/>
            <w:shd w:val="clear" w:color="auto" w:fill="CCECF9"/>
            <w:tcMar>
              <w:top w:w="113" w:type="dxa"/>
              <w:bottom w:w="113" w:type="dxa"/>
            </w:tcMar>
          </w:tcPr>
          <w:p w:rsidR="00D22CD2" w:rsidRPr="00BD5AE9" w:rsidRDefault="00D22CD2" w:rsidP="004E70F6">
            <w:pPr>
              <w:pStyle w:val="ListParagraph1"/>
              <w:spacing w:after="0" w:line="240" w:lineRule="auto"/>
              <w:ind w:left="0"/>
              <w:rPr>
                <w:rFonts w:ascii="Arial" w:hAnsi="Arial" w:cs="Arial"/>
                <w:color w:val="000000"/>
                <w:sz w:val="24"/>
                <w:szCs w:val="24"/>
              </w:rPr>
            </w:pPr>
            <w:r w:rsidRPr="00BD5AE9">
              <w:rPr>
                <w:rFonts w:ascii="Arial" w:hAnsi="Arial" w:cs="Arial"/>
                <w:color w:val="000000"/>
                <w:sz w:val="24"/>
                <w:szCs w:val="24"/>
              </w:rPr>
              <w:t xml:space="preserve">Do you agree </w:t>
            </w:r>
            <w:r w:rsidR="002F64AD" w:rsidRPr="00BD5AE9">
              <w:rPr>
                <w:rFonts w:ascii="Arial" w:hAnsi="Arial" w:cs="Arial"/>
                <w:color w:val="000000"/>
                <w:sz w:val="24"/>
                <w:szCs w:val="24"/>
              </w:rPr>
              <w:t>that it should be a longer term objective to have an energy efficiency requirement for some or all non-PV technologies</w:t>
            </w:r>
            <w:r w:rsidRPr="00BD5AE9">
              <w:rPr>
                <w:rFonts w:ascii="Arial" w:hAnsi="Arial" w:cs="Arial"/>
                <w:color w:val="000000"/>
                <w:sz w:val="24"/>
                <w:szCs w:val="24"/>
              </w:rPr>
              <w:t>?</w:t>
            </w:r>
            <w:r w:rsidR="00F9538A" w:rsidRPr="00BD5AE9">
              <w:rPr>
                <w:rFonts w:ascii="Arial" w:hAnsi="Arial" w:cs="Arial"/>
                <w:color w:val="000000"/>
                <w:sz w:val="24"/>
                <w:szCs w:val="24"/>
              </w:rPr>
              <w:t xml:space="preserve"> How might this be done?</w:t>
            </w:r>
          </w:p>
        </w:tc>
      </w:tr>
      <w:tr w:rsidR="00DC72CC" w:rsidRPr="00015C4E" w:rsidTr="00FE76A9">
        <w:trPr>
          <w:jc w:val="center"/>
        </w:trPr>
        <w:tc>
          <w:tcPr>
            <w:tcW w:w="355" w:type="pct"/>
            <w:shd w:val="clear" w:color="auto" w:fill="CCECF9"/>
            <w:tcMar>
              <w:top w:w="113" w:type="dxa"/>
              <w:bottom w:w="113" w:type="dxa"/>
            </w:tcMar>
          </w:tcPr>
          <w:p w:rsidR="00DC72CC" w:rsidRDefault="00564E9F" w:rsidP="00D22CD2">
            <w:pPr>
              <w:pStyle w:val="TableText"/>
            </w:pPr>
            <w:r>
              <w:t>9</w:t>
            </w:r>
            <w:r w:rsidR="00E1748A">
              <w:t>.</w:t>
            </w:r>
          </w:p>
        </w:tc>
        <w:tc>
          <w:tcPr>
            <w:tcW w:w="4645" w:type="pct"/>
            <w:shd w:val="clear" w:color="auto" w:fill="CCECF9"/>
            <w:tcMar>
              <w:top w:w="113" w:type="dxa"/>
              <w:bottom w:w="113" w:type="dxa"/>
            </w:tcMar>
          </w:tcPr>
          <w:p w:rsidR="00DC72CC" w:rsidRPr="00BD5AE9" w:rsidRDefault="00DC72CC" w:rsidP="004E70F6">
            <w:pPr>
              <w:pStyle w:val="ListParagraph1"/>
              <w:spacing w:after="0" w:line="240" w:lineRule="auto"/>
              <w:ind w:left="0"/>
              <w:rPr>
                <w:rFonts w:ascii="Arial" w:hAnsi="Arial" w:cs="Arial"/>
                <w:color w:val="000000"/>
                <w:sz w:val="24"/>
                <w:szCs w:val="24"/>
              </w:rPr>
            </w:pPr>
            <w:r w:rsidRPr="00BD5AE9">
              <w:rPr>
                <w:rFonts w:ascii="Arial" w:hAnsi="Arial" w:cs="Arial"/>
                <w:color w:val="000000"/>
                <w:sz w:val="24"/>
                <w:szCs w:val="24"/>
              </w:rPr>
              <w:t xml:space="preserve">Do you consider that equivalent energy efficiency requirements to those required for solar PV should be applied to </w:t>
            </w:r>
            <w:proofErr w:type="spellStart"/>
            <w:r w:rsidRPr="00BD5AE9">
              <w:rPr>
                <w:rFonts w:ascii="Arial" w:hAnsi="Arial" w:cs="Arial"/>
                <w:color w:val="000000"/>
                <w:sz w:val="24"/>
                <w:szCs w:val="24"/>
              </w:rPr>
              <w:t>microCHP</w:t>
            </w:r>
            <w:proofErr w:type="spellEnd"/>
            <w:r w:rsidRPr="00BD5AE9">
              <w:rPr>
                <w:rFonts w:ascii="Arial" w:hAnsi="Arial" w:cs="Arial"/>
                <w:color w:val="000000"/>
                <w:sz w:val="24"/>
                <w:szCs w:val="24"/>
              </w:rPr>
              <w:t xml:space="preserve"> and wind installations?</w:t>
            </w:r>
          </w:p>
        </w:tc>
      </w:tr>
    </w:tbl>
    <w:p w:rsidR="00576BF1" w:rsidRDefault="00576BF1" w:rsidP="00BD5AE9">
      <w:pPr>
        <w:pStyle w:val="NoSpacing"/>
      </w:pPr>
    </w:p>
    <w:p w:rsidR="007111E1" w:rsidRPr="00BD5AE9" w:rsidRDefault="00024094" w:rsidP="00BD5AE9">
      <w:pPr>
        <w:pStyle w:val="NoSpacing"/>
        <w:rPr>
          <w:b/>
          <w:color w:val="00B0F0"/>
          <w:sz w:val="28"/>
          <w:szCs w:val="28"/>
        </w:rPr>
      </w:pPr>
      <w:bookmarkStart w:id="525" w:name="OLE_LINK24"/>
      <w:bookmarkStart w:id="526" w:name="OLE_LINK25"/>
      <w:r>
        <w:rPr>
          <w:b/>
          <w:color w:val="00B0F0"/>
          <w:sz w:val="28"/>
          <w:szCs w:val="28"/>
        </w:rPr>
        <w:br w:type="page"/>
      </w:r>
      <w:r w:rsidR="00A667C2" w:rsidRPr="00BD5AE9">
        <w:rPr>
          <w:b/>
          <w:color w:val="00B0F0"/>
          <w:sz w:val="28"/>
          <w:szCs w:val="28"/>
        </w:rPr>
        <w:lastRenderedPageBreak/>
        <w:t>Indexation of tariffs</w:t>
      </w:r>
    </w:p>
    <w:p w:rsidR="00BD5AE9" w:rsidRDefault="00BD5AE9" w:rsidP="00BD5AE9">
      <w:pPr>
        <w:pStyle w:val="NoSpacing"/>
      </w:pPr>
    </w:p>
    <w:p w:rsidR="003E3FC0" w:rsidRDefault="003E3FC0" w:rsidP="00986EAF">
      <w:pPr>
        <w:pStyle w:val="DECCnumberingBold"/>
      </w:pPr>
      <w:r>
        <w:t>The Phase 2A consultation seeks views on whether tariffs for solar PV should continue to be indexed for inflation. We are seeking views here on whether this should also apply to other technologies</w:t>
      </w:r>
      <w:r w:rsidR="002F64AD">
        <w:t>.</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336CB3" w:rsidRPr="00015C4E" w:rsidTr="00FE76A9">
        <w:trPr>
          <w:jc w:val="center"/>
        </w:trPr>
        <w:tc>
          <w:tcPr>
            <w:tcW w:w="5000" w:type="pct"/>
            <w:gridSpan w:val="2"/>
            <w:shd w:val="clear" w:color="auto" w:fill="CCECF9"/>
            <w:tcMar>
              <w:top w:w="113" w:type="dxa"/>
              <w:bottom w:w="113" w:type="dxa"/>
            </w:tcMar>
          </w:tcPr>
          <w:p w:rsidR="00336CB3" w:rsidRPr="00226F71" w:rsidRDefault="00336CB3" w:rsidP="00704F32">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083782">
              <w:rPr>
                <w:rStyle w:val="PantoneCyan"/>
                <w:b/>
                <w:i/>
              </w:rPr>
              <w:t xml:space="preserve"> and evidence</w:t>
            </w:r>
          </w:p>
        </w:tc>
      </w:tr>
      <w:tr w:rsidR="00336CB3" w:rsidRPr="00015C4E" w:rsidTr="00FE76A9">
        <w:trPr>
          <w:jc w:val="center"/>
        </w:trPr>
        <w:tc>
          <w:tcPr>
            <w:tcW w:w="355" w:type="pct"/>
            <w:shd w:val="clear" w:color="auto" w:fill="CCECF9"/>
            <w:tcMar>
              <w:top w:w="113" w:type="dxa"/>
              <w:bottom w:w="113" w:type="dxa"/>
            </w:tcMar>
          </w:tcPr>
          <w:p w:rsidR="00336CB3" w:rsidRPr="00015C4E" w:rsidRDefault="00564E9F" w:rsidP="00704F32">
            <w:pPr>
              <w:pStyle w:val="TableText"/>
            </w:pPr>
            <w:r>
              <w:t>10</w:t>
            </w:r>
            <w:r w:rsidR="00336CB3">
              <w:t>.</w:t>
            </w:r>
          </w:p>
        </w:tc>
        <w:tc>
          <w:tcPr>
            <w:tcW w:w="4645" w:type="pct"/>
            <w:shd w:val="clear" w:color="auto" w:fill="CCECF9"/>
            <w:tcMar>
              <w:top w:w="113" w:type="dxa"/>
              <w:bottom w:w="113" w:type="dxa"/>
            </w:tcMar>
          </w:tcPr>
          <w:p w:rsidR="00336CB3" w:rsidRPr="00BD5AE9" w:rsidRDefault="00626E2A" w:rsidP="0066280D">
            <w:pPr>
              <w:pStyle w:val="ListParagraph1"/>
              <w:spacing w:after="0" w:line="240" w:lineRule="auto"/>
              <w:ind w:left="0"/>
              <w:rPr>
                <w:rFonts w:ascii="Arial" w:hAnsi="Arial" w:cs="Arial"/>
                <w:color w:val="000000"/>
                <w:sz w:val="24"/>
                <w:szCs w:val="24"/>
              </w:rPr>
            </w:pPr>
            <w:bookmarkStart w:id="527" w:name="OLE_LINK15"/>
            <w:bookmarkStart w:id="528" w:name="OLE_LINK16"/>
            <w:r w:rsidRPr="00BD5AE9">
              <w:rPr>
                <w:rFonts w:ascii="Arial" w:hAnsi="Arial" w:cs="Arial"/>
                <w:color w:val="000000"/>
                <w:sz w:val="24"/>
                <w:szCs w:val="24"/>
              </w:rPr>
              <w:t xml:space="preserve">Do you </w:t>
            </w:r>
            <w:r w:rsidR="00632EA1" w:rsidRPr="00BD5AE9">
              <w:rPr>
                <w:rFonts w:ascii="Arial" w:hAnsi="Arial" w:cs="Arial"/>
                <w:color w:val="000000"/>
                <w:sz w:val="24"/>
                <w:szCs w:val="24"/>
              </w:rPr>
              <w:t>think that tariffs should continue to be</w:t>
            </w:r>
            <w:r w:rsidRPr="00BD5AE9">
              <w:rPr>
                <w:rFonts w:ascii="Arial" w:hAnsi="Arial" w:cs="Arial"/>
                <w:color w:val="000000"/>
                <w:sz w:val="24"/>
                <w:szCs w:val="24"/>
              </w:rPr>
              <w:t xml:space="preserve"> index</w:t>
            </w:r>
            <w:r w:rsidR="00632EA1" w:rsidRPr="00BD5AE9">
              <w:rPr>
                <w:rFonts w:ascii="Arial" w:hAnsi="Arial" w:cs="Arial"/>
                <w:color w:val="000000"/>
                <w:sz w:val="24"/>
                <w:szCs w:val="24"/>
              </w:rPr>
              <w:t>-</w:t>
            </w:r>
            <w:r w:rsidRPr="00BD5AE9">
              <w:rPr>
                <w:rFonts w:ascii="Arial" w:hAnsi="Arial" w:cs="Arial"/>
                <w:color w:val="000000"/>
                <w:sz w:val="24"/>
                <w:szCs w:val="24"/>
              </w:rPr>
              <w:t>linked</w:t>
            </w:r>
            <w:r w:rsidR="003E3FC0" w:rsidRPr="00BD5AE9">
              <w:rPr>
                <w:rFonts w:ascii="Arial" w:hAnsi="Arial" w:cs="Arial"/>
                <w:color w:val="000000"/>
                <w:sz w:val="24"/>
                <w:szCs w:val="24"/>
              </w:rPr>
              <w:t xml:space="preserve"> for </w:t>
            </w:r>
            <w:r w:rsidR="0066280D" w:rsidRPr="00BD5AE9">
              <w:rPr>
                <w:rFonts w:ascii="Arial" w:hAnsi="Arial" w:cs="Arial"/>
                <w:color w:val="000000"/>
                <w:sz w:val="24"/>
                <w:szCs w:val="24"/>
              </w:rPr>
              <w:t>all technologies</w:t>
            </w:r>
            <w:r w:rsidR="00704F32" w:rsidRPr="00BD5AE9">
              <w:rPr>
                <w:rFonts w:ascii="Arial" w:hAnsi="Arial" w:cs="Arial"/>
                <w:color w:val="000000"/>
                <w:sz w:val="24"/>
                <w:szCs w:val="24"/>
              </w:rPr>
              <w:t>?</w:t>
            </w:r>
            <w:bookmarkEnd w:id="527"/>
            <w:bookmarkEnd w:id="528"/>
          </w:p>
        </w:tc>
      </w:tr>
      <w:tr w:rsidR="00632EA1" w:rsidRPr="00015C4E" w:rsidTr="00FE76A9">
        <w:trPr>
          <w:jc w:val="center"/>
        </w:trPr>
        <w:tc>
          <w:tcPr>
            <w:tcW w:w="355" w:type="pct"/>
            <w:shd w:val="clear" w:color="auto" w:fill="CCECF9"/>
            <w:tcMar>
              <w:top w:w="113" w:type="dxa"/>
              <w:bottom w:w="113" w:type="dxa"/>
            </w:tcMar>
          </w:tcPr>
          <w:p w:rsidR="00632EA1" w:rsidRDefault="00E1748A" w:rsidP="00564E9F">
            <w:pPr>
              <w:pStyle w:val="TableText"/>
            </w:pPr>
            <w:r>
              <w:t>1</w:t>
            </w:r>
            <w:r w:rsidR="00564E9F">
              <w:t>1</w:t>
            </w:r>
            <w:r w:rsidR="00632EA1">
              <w:t>.</w:t>
            </w:r>
          </w:p>
        </w:tc>
        <w:tc>
          <w:tcPr>
            <w:tcW w:w="4645" w:type="pct"/>
            <w:shd w:val="clear" w:color="auto" w:fill="CCECF9"/>
            <w:tcMar>
              <w:top w:w="113" w:type="dxa"/>
              <w:bottom w:w="113" w:type="dxa"/>
            </w:tcMar>
          </w:tcPr>
          <w:p w:rsidR="00632EA1" w:rsidRPr="00BD5AE9" w:rsidDel="00626E2A" w:rsidRDefault="00FB3947" w:rsidP="00896A5E">
            <w:pPr>
              <w:pStyle w:val="ListParagraph1"/>
              <w:spacing w:after="0" w:line="240" w:lineRule="auto"/>
              <w:ind w:left="0"/>
              <w:rPr>
                <w:rFonts w:ascii="Arial" w:hAnsi="Arial" w:cs="Arial"/>
                <w:color w:val="000000"/>
                <w:sz w:val="24"/>
                <w:szCs w:val="24"/>
                <w:highlight w:val="yellow"/>
              </w:rPr>
            </w:pPr>
            <w:bookmarkStart w:id="529" w:name="OLE_LINK18"/>
            <w:bookmarkStart w:id="530" w:name="OLE_LINK21"/>
            <w:r w:rsidRPr="00BD5AE9">
              <w:rPr>
                <w:rFonts w:ascii="Arial" w:hAnsi="Arial" w:cs="Arial"/>
                <w:color w:val="000000"/>
                <w:sz w:val="24"/>
                <w:szCs w:val="24"/>
              </w:rPr>
              <w:t>If index-linking is maintained what would be the best model</w:t>
            </w:r>
            <w:r w:rsidR="00632EA1" w:rsidRPr="00BD5AE9">
              <w:rPr>
                <w:rFonts w:ascii="Arial" w:hAnsi="Arial" w:cs="Arial"/>
                <w:color w:val="000000"/>
                <w:sz w:val="24"/>
                <w:szCs w:val="24"/>
              </w:rPr>
              <w:t xml:space="preserve">? </w:t>
            </w:r>
            <w:r w:rsidR="00DC72CC" w:rsidRPr="00BD5AE9">
              <w:rPr>
                <w:rFonts w:ascii="Arial" w:hAnsi="Arial" w:cs="Arial"/>
                <w:color w:val="000000"/>
                <w:sz w:val="24"/>
                <w:szCs w:val="24"/>
              </w:rPr>
              <w:t xml:space="preserve">RPI, </w:t>
            </w:r>
            <w:r w:rsidR="00632EA1" w:rsidRPr="00BD5AE9">
              <w:rPr>
                <w:rFonts w:ascii="Arial" w:hAnsi="Arial" w:cs="Arial"/>
                <w:color w:val="000000"/>
                <w:sz w:val="24"/>
                <w:szCs w:val="24"/>
              </w:rPr>
              <w:t>CPI</w:t>
            </w:r>
            <w:r w:rsidR="00DC72CC" w:rsidRPr="00BD5AE9">
              <w:rPr>
                <w:rFonts w:ascii="Arial" w:hAnsi="Arial" w:cs="Arial"/>
                <w:color w:val="000000"/>
                <w:sz w:val="24"/>
                <w:szCs w:val="24"/>
              </w:rPr>
              <w:t xml:space="preserve">, </w:t>
            </w:r>
            <w:r w:rsidR="00896A5E" w:rsidRPr="00BD5AE9">
              <w:rPr>
                <w:rFonts w:ascii="Arial" w:hAnsi="Arial" w:cs="Arial"/>
                <w:color w:val="000000"/>
                <w:sz w:val="24"/>
                <w:szCs w:val="24"/>
              </w:rPr>
              <w:t>or another model</w:t>
            </w:r>
            <w:r w:rsidRPr="00BD5AE9">
              <w:rPr>
                <w:rFonts w:ascii="Arial" w:hAnsi="Arial" w:cs="Arial"/>
                <w:color w:val="000000"/>
                <w:sz w:val="24"/>
                <w:szCs w:val="24"/>
              </w:rPr>
              <w:t xml:space="preserve"> </w:t>
            </w:r>
            <w:r w:rsidR="00896A5E" w:rsidRPr="00BD5AE9">
              <w:rPr>
                <w:rFonts w:ascii="Arial" w:hAnsi="Arial" w:cs="Arial"/>
                <w:color w:val="000000"/>
                <w:sz w:val="24"/>
                <w:szCs w:val="24"/>
              </w:rPr>
              <w:t>e.g. time-limiting of indexation?</w:t>
            </w:r>
            <w:bookmarkEnd w:id="529"/>
            <w:bookmarkEnd w:id="530"/>
          </w:p>
        </w:tc>
      </w:tr>
      <w:bookmarkEnd w:id="525"/>
      <w:bookmarkEnd w:id="526"/>
    </w:tbl>
    <w:p w:rsidR="00083782" w:rsidRDefault="00083782" w:rsidP="00B96E2B">
      <w:pPr>
        <w:pStyle w:val="EndpageText"/>
        <w:spacing w:line="240" w:lineRule="auto"/>
        <w:ind w:left="0"/>
        <w:jc w:val="both"/>
        <w:rPr>
          <w:color w:val="auto"/>
          <w:sz w:val="22"/>
          <w:szCs w:val="22"/>
        </w:rPr>
      </w:pPr>
    </w:p>
    <w:p w:rsidR="00BB2FBB" w:rsidRDefault="00AC6BC1" w:rsidP="00B96E2B">
      <w:pPr>
        <w:pStyle w:val="EndpageText"/>
        <w:spacing w:line="240" w:lineRule="auto"/>
        <w:ind w:left="0"/>
        <w:jc w:val="both"/>
        <w:rPr>
          <w:b/>
          <w:bCs/>
          <w:sz w:val="22"/>
          <w:szCs w:val="22"/>
        </w:rPr>
      </w:pPr>
      <w:r>
        <w:rPr>
          <w:b/>
          <w:bCs/>
          <w:sz w:val="22"/>
          <w:szCs w:val="22"/>
        </w:rPr>
        <w:br w:type="page"/>
      </w:r>
    </w:p>
    <w:tbl>
      <w:tblPr>
        <w:tblpPr w:leftFromText="181" w:rightFromText="181" w:vertAnchor="text" w:horzAnchor="margin" w:tblpXSpec="center" w:tblpY="-39"/>
        <w:tblW w:w="4835" w:type="pct"/>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2489"/>
        <w:gridCol w:w="6407"/>
      </w:tblGrid>
      <w:tr w:rsidR="00310182" w:rsidRPr="0028755F" w:rsidTr="00FE76A9">
        <w:trPr>
          <w:trHeight w:val="165"/>
          <w:tblHeader/>
        </w:trPr>
        <w:tc>
          <w:tcPr>
            <w:tcW w:w="1399" w:type="pct"/>
            <w:shd w:val="clear" w:color="auto" w:fill="009EE3"/>
            <w:tcMar>
              <w:top w:w="113" w:type="dxa"/>
              <w:bottom w:w="113" w:type="dxa"/>
            </w:tcMar>
          </w:tcPr>
          <w:p w:rsidR="00310182" w:rsidRPr="00AC6BC1" w:rsidRDefault="00310182" w:rsidP="002262C2">
            <w:pPr>
              <w:pStyle w:val="Caption"/>
              <w:jc w:val="both"/>
              <w:rPr>
                <w:sz w:val="44"/>
                <w:szCs w:val="44"/>
              </w:rPr>
            </w:pPr>
            <w:r w:rsidRPr="00AC6BC1">
              <w:rPr>
                <w:color w:val="FFFFFF"/>
                <w:sz w:val="44"/>
                <w:szCs w:val="44"/>
              </w:rPr>
              <w:t xml:space="preserve">Chapter </w:t>
            </w:r>
            <w:r w:rsidR="00CA1E14" w:rsidRPr="00AC6BC1">
              <w:rPr>
                <w:color w:val="FFFFFF"/>
                <w:sz w:val="44"/>
                <w:szCs w:val="44"/>
              </w:rPr>
              <w:t>3</w:t>
            </w:r>
            <w:r w:rsidRPr="00AC6BC1">
              <w:rPr>
                <w:color w:val="FFFFFF"/>
                <w:sz w:val="44"/>
                <w:szCs w:val="44"/>
              </w:rPr>
              <w:t>.</w:t>
            </w:r>
          </w:p>
        </w:tc>
        <w:tc>
          <w:tcPr>
            <w:tcW w:w="3601" w:type="pct"/>
            <w:shd w:val="clear" w:color="auto" w:fill="009EE3"/>
            <w:tcMar>
              <w:top w:w="113" w:type="dxa"/>
              <w:bottom w:w="113" w:type="dxa"/>
            </w:tcMar>
          </w:tcPr>
          <w:p w:rsidR="00310182" w:rsidRPr="00AC6BC1" w:rsidRDefault="00A6128A" w:rsidP="001D3275">
            <w:pPr>
              <w:pStyle w:val="Heading1"/>
              <w:rPr>
                <w:color w:val="FFFFFF"/>
                <w:sz w:val="44"/>
                <w:szCs w:val="44"/>
              </w:rPr>
            </w:pPr>
            <w:bookmarkStart w:id="531" w:name="_Toc316544912"/>
            <w:r w:rsidRPr="00AC6BC1">
              <w:rPr>
                <w:color w:val="FFFFFF"/>
                <w:sz w:val="44"/>
                <w:szCs w:val="44"/>
              </w:rPr>
              <w:t>Eligibility and Accreditation</w:t>
            </w:r>
            <w:bookmarkEnd w:id="531"/>
          </w:p>
        </w:tc>
      </w:tr>
      <w:tr w:rsidR="00310182" w:rsidRPr="00015C4E" w:rsidTr="00FE76A9">
        <w:trPr>
          <w:trHeight w:val="488"/>
        </w:trPr>
        <w:tc>
          <w:tcPr>
            <w:tcW w:w="1399" w:type="pct"/>
            <w:shd w:val="clear" w:color="auto" w:fill="auto"/>
            <w:tcMar>
              <w:top w:w="113" w:type="dxa"/>
              <w:bottom w:w="113" w:type="dxa"/>
            </w:tcMar>
          </w:tcPr>
          <w:p w:rsidR="00310182" w:rsidRPr="001B5BC3" w:rsidRDefault="00310182" w:rsidP="00553F55">
            <w:pPr>
              <w:jc w:val="both"/>
              <w:rPr>
                <w:rFonts w:cs="Arial"/>
                <w:b/>
              </w:rPr>
            </w:pPr>
            <w:r w:rsidRPr="001B5BC3">
              <w:rPr>
                <w:rFonts w:cs="Arial"/>
                <w:b/>
              </w:rPr>
              <w:t xml:space="preserve">Summary </w:t>
            </w:r>
          </w:p>
          <w:p w:rsidR="00310182" w:rsidRPr="003654E6" w:rsidRDefault="00310182" w:rsidP="00553F55">
            <w:pPr>
              <w:pStyle w:val="TableText"/>
              <w:jc w:val="both"/>
            </w:pPr>
          </w:p>
        </w:tc>
        <w:tc>
          <w:tcPr>
            <w:tcW w:w="3601" w:type="pct"/>
            <w:shd w:val="clear" w:color="auto" w:fill="auto"/>
            <w:tcMar>
              <w:top w:w="113" w:type="dxa"/>
              <w:bottom w:w="113" w:type="dxa"/>
            </w:tcMar>
          </w:tcPr>
          <w:p w:rsidR="00C623D2" w:rsidRPr="00997251" w:rsidRDefault="00846AA3" w:rsidP="00451FA9">
            <w:pPr>
              <w:numPr>
                <w:ilvl w:val="0"/>
                <w:numId w:val="6"/>
              </w:numPr>
              <w:spacing w:after="200"/>
              <w:ind w:left="777" w:right="113" w:hanging="357"/>
              <w:jc w:val="both"/>
            </w:pPr>
            <w:r>
              <w:t>Sets out some key definitions considered during the review</w:t>
            </w:r>
          </w:p>
          <w:p w:rsidR="00846AA3" w:rsidRPr="00846AA3" w:rsidRDefault="00846AA3" w:rsidP="00451FA9">
            <w:pPr>
              <w:numPr>
                <w:ilvl w:val="0"/>
                <w:numId w:val="6"/>
              </w:numPr>
              <w:spacing w:after="200"/>
              <w:ind w:left="777" w:right="113" w:hanging="357"/>
              <w:jc w:val="both"/>
              <w:rPr>
                <w:sz w:val="22"/>
                <w:szCs w:val="22"/>
              </w:rPr>
            </w:pPr>
            <w:r>
              <w:t>Examines matters on pre-accreditation for eligibility for FITs</w:t>
            </w:r>
          </w:p>
          <w:p w:rsidR="00846AA3" w:rsidRPr="005F0CAB" w:rsidRDefault="00083782" w:rsidP="00451FA9">
            <w:pPr>
              <w:numPr>
                <w:ilvl w:val="0"/>
                <w:numId w:val="6"/>
              </w:numPr>
              <w:spacing w:after="200"/>
              <w:ind w:left="777" w:right="113" w:hanging="357"/>
              <w:jc w:val="both"/>
              <w:rPr>
                <w:sz w:val="22"/>
                <w:szCs w:val="22"/>
              </w:rPr>
            </w:pPr>
            <w:r>
              <w:t>Considers t</w:t>
            </w:r>
            <w:r w:rsidR="00846AA3">
              <w:t xml:space="preserve">he </w:t>
            </w:r>
            <w:r w:rsidR="005F0CAB">
              <w:t xml:space="preserve">role of the Microgeneration </w:t>
            </w:r>
            <w:r>
              <w:t>C</w:t>
            </w:r>
            <w:r w:rsidR="005F0CAB">
              <w:t xml:space="preserve">ertification </w:t>
            </w:r>
            <w:r>
              <w:t>S</w:t>
            </w:r>
            <w:r w:rsidR="005F0CAB">
              <w:t>cheme or equivalent.</w:t>
            </w:r>
          </w:p>
          <w:p w:rsidR="00310182" w:rsidRPr="00531FFD" w:rsidRDefault="00083782" w:rsidP="00451FA9">
            <w:pPr>
              <w:numPr>
                <w:ilvl w:val="0"/>
                <w:numId w:val="6"/>
              </w:numPr>
              <w:spacing w:after="200"/>
              <w:ind w:left="777" w:right="113" w:hanging="357"/>
              <w:jc w:val="both"/>
            </w:pPr>
            <w:r>
              <w:t>Proposes r</w:t>
            </w:r>
            <w:r w:rsidR="005F0CAB">
              <w:t>equirements for micro-hydro for FITs.</w:t>
            </w:r>
          </w:p>
          <w:p w:rsidR="00531FFD" w:rsidRPr="005F0CAB" w:rsidRDefault="00083782" w:rsidP="00451FA9">
            <w:pPr>
              <w:numPr>
                <w:ilvl w:val="0"/>
                <w:numId w:val="6"/>
              </w:numPr>
              <w:spacing w:after="200"/>
              <w:ind w:left="777" w:right="113" w:hanging="357"/>
              <w:jc w:val="both"/>
              <w:rPr>
                <w:sz w:val="22"/>
                <w:szCs w:val="22"/>
              </w:rPr>
            </w:pPr>
            <w:r>
              <w:t>Covers a range of s</w:t>
            </w:r>
            <w:r w:rsidR="00531FFD">
              <w:t>ustainability issues</w:t>
            </w:r>
          </w:p>
        </w:tc>
      </w:tr>
    </w:tbl>
    <w:p w:rsidR="0051412C" w:rsidRPr="00FE76A9" w:rsidRDefault="0051412C" w:rsidP="00AB006C">
      <w:pPr>
        <w:pStyle w:val="Heading3"/>
        <w:spacing w:after="120"/>
        <w:rPr>
          <w:color w:val="00B0F0"/>
          <w:sz w:val="28"/>
          <w:szCs w:val="28"/>
        </w:rPr>
      </w:pPr>
      <w:bookmarkStart w:id="532" w:name="_Toc316544913"/>
      <w:r w:rsidRPr="00FE76A9">
        <w:rPr>
          <w:color w:val="00B0F0"/>
          <w:sz w:val="28"/>
          <w:szCs w:val="28"/>
        </w:rPr>
        <w:t>Eligibility</w:t>
      </w:r>
      <w:bookmarkEnd w:id="532"/>
    </w:p>
    <w:p w:rsidR="00A4776C" w:rsidRDefault="00704F32" w:rsidP="00986EAF">
      <w:pPr>
        <w:pStyle w:val="DECCnumberingBold"/>
      </w:pPr>
      <w:r>
        <w:t>Under the Energy Act 2008, t</w:t>
      </w:r>
      <w:r w:rsidR="0051412C">
        <w:t xml:space="preserve">he specified maximum capacity for </w:t>
      </w:r>
      <w:r w:rsidR="00083782">
        <w:t>installations accredited</w:t>
      </w:r>
      <w:r w:rsidR="00D25DA6">
        <w:t xml:space="preserve"> under</w:t>
      </w:r>
      <w:r w:rsidR="00083782">
        <w:t xml:space="preserve"> </w:t>
      </w:r>
      <w:r w:rsidR="0051412C">
        <w:t xml:space="preserve">the scheme </w:t>
      </w:r>
      <w:r>
        <w:t xml:space="preserve">may be set at any level up to </w:t>
      </w:r>
      <w:r w:rsidR="0051412C" w:rsidRPr="00CA1E14">
        <w:t>5 megawatts (MW)</w:t>
      </w:r>
      <w:r w:rsidRPr="00CA1E14">
        <w:t>.</w:t>
      </w:r>
      <w:r>
        <w:t xml:space="preserve"> This was set as the maximum level for the scheme</w:t>
      </w:r>
      <w:r w:rsidR="00083782">
        <w:t xml:space="preserve"> when it began operation</w:t>
      </w:r>
      <w:r>
        <w:t xml:space="preserve"> </w:t>
      </w:r>
      <w:r w:rsidR="0051412C">
        <w:t xml:space="preserve">in 2010. </w:t>
      </w:r>
      <w:r>
        <w:t xml:space="preserve">Renewable technologies supported by FITs </w:t>
      </w:r>
      <w:r w:rsidR="0051412C">
        <w:t>currently</w:t>
      </w:r>
      <w:r>
        <w:t xml:space="preserve"> comprise</w:t>
      </w:r>
      <w:r w:rsidR="0051412C">
        <w:t xml:space="preserve"> new anaerobic digestion, hydro (excluding wave and tidal and pumped storage), solar photovoltaic (PV) and wind projects up to that 5</w:t>
      </w:r>
      <w:r>
        <w:t xml:space="preserve"> </w:t>
      </w:r>
      <w:r w:rsidR="0051412C">
        <w:t xml:space="preserve">MW limit, with differing generation tariffs for different scales of each of those technologies. </w:t>
      </w:r>
      <w:r w:rsidR="00551327" w:rsidRPr="00C52F94">
        <w:t xml:space="preserve">The scheme </w:t>
      </w:r>
      <w:r w:rsidR="00551327">
        <w:t>a</w:t>
      </w:r>
      <w:r w:rsidR="000663AB">
        <w:t>l</w:t>
      </w:r>
      <w:r w:rsidR="00551327">
        <w:t>s</w:t>
      </w:r>
      <w:r w:rsidR="000663AB">
        <w:t>o</w:t>
      </w:r>
      <w:r w:rsidR="00551327" w:rsidRPr="00C52F94">
        <w:t xml:space="preserve"> </w:t>
      </w:r>
      <w:r w:rsidR="00551327">
        <w:t xml:space="preserve">supports a pilot scheme for non-renewable </w:t>
      </w:r>
      <w:proofErr w:type="spellStart"/>
      <w:r w:rsidR="00551327">
        <w:t>microCHP</w:t>
      </w:r>
      <w:proofErr w:type="spellEnd"/>
      <w:r w:rsidR="00551327">
        <w:t xml:space="preserve"> </w:t>
      </w:r>
      <w:r w:rsidR="00551327" w:rsidRPr="00C52F94">
        <w:t xml:space="preserve">with an electrical capacity of 2 kilowatts (kW) or less, </w:t>
      </w:r>
      <w:r w:rsidR="000663AB">
        <w:t xml:space="preserve">on which </w:t>
      </w:r>
      <w:r w:rsidR="00551327">
        <w:t xml:space="preserve">a cap of </w:t>
      </w:r>
      <w:r w:rsidR="00551327" w:rsidRPr="00C52F94">
        <w:t xml:space="preserve">30,000 micro </w:t>
      </w:r>
      <w:r w:rsidR="00551327">
        <w:t xml:space="preserve">installations has been set. </w:t>
      </w:r>
      <w:r w:rsidR="0051412C" w:rsidRPr="00C52F94">
        <w:t xml:space="preserve">The scheme </w:t>
      </w:r>
      <w:r w:rsidR="0051412C">
        <w:t>does not</w:t>
      </w:r>
      <w:r w:rsidR="0051412C" w:rsidRPr="00C52F94">
        <w:t xml:space="preserve"> support solid and liquid biomass technologies, though these continue to be supported under the Renewables Obligation</w:t>
      </w:r>
      <w:r w:rsidR="00EC6F89">
        <w:t xml:space="preserve"> (RO),</w:t>
      </w:r>
      <w:r w:rsidR="0051412C" w:rsidRPr="00C52F94">
        <w:t xml:space="preserve"> at all scales.</w:t>
      </w:r>
      <w:r w:rsidR="0051412C" w:rsidRPr="00C52F94">
        <w:rPr>
          <w:rStyle w:val="FootnoteReference"/>
        </w:rPr>
        <w:footnoteReference w:id="3"/>
      </w:r>
      <w:r w:rsidR="0051412C">
        <w:t xml:space="preserve"> </w:t>
      </w:r>
    </w:p>
    <w:p w:rsidR="006E1326" w:rsidRDefault="00EC6F89" w:rsidP="00986EAF">
      <w:pPr>
        <w:pStyle w:val="DECCnumberingBold"/>
      </w:pPr>
      <w:r>
        <w:t xml:space="preserve">Currently, installations in the range of 50kW to 5 MW may choose to be in either the RO and FITs. The interaction of tariffs between those proposed by this review and those that may emerge from the current RO banding review may lead to </w:t>
      </w:r>
      <w:r w:rsidRPr="00EC6F89">
        <w:t>confusion and/or to</w:t>
      </w:r>
      <w:r>
        <w:rPr>
          <w:color w:val="1F497D"/>
        </w:rPr>
        <w:t xml:space="preserve"> </w:t>
      </w:r>
      <w:r>
        <w:t>perverse incentives</w:t>
      </w:r>
      <w:r w:rsidRPr="00EC6F89">
        <w:t>. We will need to consider further how to address these boundary issues, including whether it makes sense to retain this choice</w:t>
      </w:r>
      <w:r w:rsidR="006E1326" w:rsidRPr="006E1326">
        <w:t xml:space="preserve"> </w:t>
      </w:r>
    </w:p>
    <w:p w:rsidR="00A93692" w:rsidRPr="00EC6F89" w:rsidRDefault="006E1326" w:rsidP="00986EAF">
      <w:pPr>
        <w:pStyle w:val="DECCnumberingBold"/>
      </w:pPr>
      <w:r>
        <w:t xml:space="preserve">The FITs scheme was designed to support the widespread deployment of proven technologies that can be realistically and effectively deployed in the short term, rather than to support the development of unproven technologies. We do not believe that there are other technologies </w:t>
      </w:r>
      <w:r w:rsidR="00D25DA6">
        <w:t xml:space="preserve">currently </w:t>
      </w:r>
      <w:r>
        <w:t>at this stage</w:t>
      </w:r>
      <w:r w:rsidR="00D25DA6">
        <w:t xml:space="preserve"> of development</w:t>
      </w:r>
      <w:r>
        <w:t>, so we propose that the list of eligible technologies remains unchanged.</w:t>
      </w:r>
    </w:p>
    <w:p w:rsidR="00A93692" w:rsidRDefault="00A93692" w:rsidP="00986EAF">
      <w:pPr>
        <w:pStyle w:val="DECCnumberingBold"/>
      </w:pPr>
      <w:r>
        <w:t xml:space="preserve">The current definition of “hydro generating station” in the FITs Order </w:t>
      </w:r>
      <w:r w:rsidRPr="00BC49A1">
        <w:t xml:space="preserve">excludes tidal mills and locks that tend to use both the fluvial flow/head and the tidal energy to </w:t>
      </w:r>
      <w:r w:rsidRPr="00BC49A1">
        <w:lastRenderedPageBreak/>
        <w:t>generate power</w:t>
      </w:r>
      <w:r w:rsidR="00D84611">
        <w:t>,</w:t>
      </w:r>
      <w:r w:rsidRPr="00BC49A1">
        <w:t xml:space="preserve"> </w:t>
      </w:r>
      <w:r w:rsidR="00D84611">
        <w:t xml:space="preserve">but </w:t>
      </w:r>
      <w:r w:rsidRPr="00BC49A1">
        <w:t xml:space="preserve">are </w:t>
      </w:r>
      <w:r w:rsidR="00D84611">
        <w:t xml:space="preserve">instead </w:t>
      </w:r>
      <w:r w:rsidRPr="00BC49A1">
        <w:t>more akin to micro or small hydro schemes, which are eligible for FITs, than they are to tidal stream or tidal range projects, whose size makes them more appropriate for ROCs. </w:t>
      </w:r>
      <w:r w:rsidR="00551327">
        <w:t xml:space="preserve">A number of representations have been made </w:t>
      </w:r>
      <w:r w:rsidR="00D84611">
        <w:t xml:space="preserve">to DECC </w:t>
      </w:r>
      <w:r w:rsidR="00551327">
        <w:t>that this excludes the red</w:t>
      </w:r>
      <w:r w:rsidR="00B64B3C">
        <w:t>evelopment of several potential</w:t>
      </w:r>
      <w:r w:rsidR="00551327">
        <w:t xml:space="preserve"> sites that may provide useful small scale renewable generation and broader community benefits.</w:t>
      </w:r>
    </w:p>
    <w:tbl>
      <w:tblPr>
        <w:tblW w:w="4857"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51412C" w:rsidRPr="00015C4E" w:rsidTr="0051412C">
        <w:tc>
          <w:tcPr>
            <w:tcW w:w="5000" w:type="pct"/>
            <w:gridSpan w:val="2"/>
            <w:shd w:val="clear" w:color="auto" w:fill="CCECF9"/>
            <w:tcMar>
              <w:top w:w="113" w:type="dxa"/>
              <w:bottom w:w="113" w:type="dxa"/>
            </w:tcMar>
          </w:tcPr>
          <w:p w:rsidR="0051412C" w:rsidRPr="00226F71" w:rsidRDefault="0051412C" w:rsidP="0051412C">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B64B3C">
              <w:rPr>
                <w:rStyle w:val="PantoneCyan"/>
                <w:b/>
                <w:i/>
              </w:rPr>
              <w:t xml:space="preserve"> and evidence</w:t>
            </w:r>
          </w:p>
        </w:tc>
      </w:tr>
      <w:tr w:rsidR="0051412C" w:rsidRPr="00015C4E" w:rsidTr="0051412C">
        <w:trPr>
          <w:trHeight w:val="599"/>
        </w:trPr>
        <w:tc>
          <w:tcPr>
            <w:tcW w:w="355" w:type="pct"/>
            <w:shd w:val="clear" w:color="auto" w:fill="CCECF9"/>
            <w:tcMar>
              <w:top w:w="113" w:type="dxa"/>
              <w:bottom w:w="113" w:type="dxa"/>
            </w:tcMar>
            <w:vAlign w:val="center"/>
          </w:tcPr>
          <w:p w:rsidR="0051412C" w:rsidRPr="00015C4E" w:rsidRDefault="00E1748A" w:rsidP="00E1748A">
            <w:pPr>
              <w:pStyle w:val="TableText"/>
              <w:jc w:val="center"/>
            </w:pPr>
            <w:r>
              <w:t>12</w:t>
            </w:r>
            <w:r w:rsidR="0051412C">
              <w:t>.</w:t>
            </w:r>
          </w:p>
        </w:tc>
        <w:tc>
          <w:tcPr>
            <w:tcW w:w="4645" w:type="pct"/>
            <w:shd w:val="clear" w:color="auto" w:fill="CCECF9"/>
            <w:tcMar>
              <w:top w:w="113" w:type="dxa"/>
              <w:bottom w:w="113" w:type="dxa"/>
            </w:tcMar>
          </w:tcPr>
          <w:p w:rsidR="0051412C" w:rsidRPr="00FE76A9" w:rsidRDefault="0051412C" w:rsidP="007D7E91">
            <w:pPr>
              <w:spacing w:before="100" w:beforeAutospacing="1" w:after="100" w:afterAutospacing="1"/>
              <w:rPr>
                <w:rFonts w:eastAsia="Calibri" w:cs="Arial"/>
                <w:color w:val="000000"/>
              </w:rPr>
            </w:pPr>
            <w:r w:rsidRPr="00FE76A9">
              <w:rPr>
                <w:rFonts w:eastAsia="Calibri" w:cs="Arial"/>
                <w:color w:val="000000"/>
              </w:rPr>
              <w:t>Do you agree that the 5</w:t>
            </w:r>
            <w:r w:rsidR="00D94830" w:rsidRPr="00FE76A9">
              <w:rPr>
                <w:rFonts w:eastAsia="Calibri" w:cs="Arial"/>
                <w:color w:val="000000"/>
              </w:rPr>
              <w:t xml:space="preserve"> </w:t>
            </w:r>
            <w:r w:rsidRPr="00FE76A9">
              <w:rPr>
                <w:rFonts w:eastAsia="Calibri" w:cs="Arial"/>
                <w:color w:val="000000"/>
              </w:rPr>
              <w:t xml:space="preserve">MW cap remains the </w:t>
            </w:r>
            <w:r w:rsidR="00704F32" w:rsidRPr="00FE76A9">
              <w:rPr>
                <w:rFonts w:eastAsia="Calibri" w:cs="Arial"/>
                <w:color w:val="000000"/>
              </w:rPr>
              <w:t>appropriate</w:t>
            </w:r>
            <w:r w:rsidRPr="00FE76A9">
              <w:rPr>
                <w:rFonts w:eastAsia="Calibri" w:cs="Arial"/>
                <w:color w:val="000000"/>
              </w:rPr>
              <w:t xml:space="preserve"> limit</w:t>
            </w:r>
            <w:r w:rsidR="00D94830" w:rsidRPr="00FE76A9">
              <w:rPr>
                <w:rFonts w:eastAsia="Calibri" w:cs="Arial"/>
                <w:color w:val="000000"/>
              </w:rPr>
              <w:t xml:space="preserve"> or should a lower limit apply</w:t>
            </w:r>
            <w:r w:rsidRPr="00FE76A9">
              <w:rPr>
                <w:rFonts w:eastAsia="Calibri" w:cs="Arial"/>
                <w:color w:val="000000"/>
              </w:rPr>
              <w:t xml:space="preserve">? </w:t>
            </w:r>
          </w:p>
        </w:tc>
      </w:tr>
      <w:tr w:rsidR="00C9203E" w:rsidRPr="00015C4E" w:rsidTr="0051412C">
        <w:trPr>
          <w:trHeight w:val="599"/>
        </w:trPr>
        <w:tc>
          <w:tcPr>
            <w:tcW w:w="355" w:type="pct"/>
            <w:shd w:val="clear" w:color="auto" w:fill="CCECF9"/>
            <w:tcMar>
              <w:top w:w="113" w:type="dxa"/>
              <w:bottom w:w="113" w:type="dxa"/>
            </w:tcMar>
            <w:vAlign w:val="center"/>
          </w:tcPr>
          <w:p w:rsidR="00C9203E" w:rsidRDefault="00E1748A" w:rsidP="00E1748A">
            <w:pPr>
              <w:pStyle w:val="TableText"/>
              <w:jc w:val="center"/>
            </w:pPr>
            <w:r>
              <w:t>13</w:t>
            </w:r>
            <w:r w:rsidR="00C9203E">
              <w:t>.</w:t>
            </w:r>
          </w:p>
        </w:tc>
        <w:tc>
          <w:tcPr>
            <w:tcW w:w="4645" w:type="pct"/>
            <w:shd w:val="clear" w:color="auto" w:fill="CCECF9"/>
            <w:tcMar>
              <w:top w:w="113" w:type="dxa"/>
              <w:bottom w:w="113" w:type="dxa"/>
            </w:tcMar>
          </w:tcPr>
          <w:p w:rsidR="00C9203E" w:rsidRPr="00FE76A9" w:rsidRDefault="004A6F8F" w:rsidP="00336718">
            <w:pPr>
              <w:spacing w:before="100" w:beforeAutospacing="1" w:after="100" w:afterAutospacing="1"/>
              <w:rPr>
                <w:rFonts w:eastAsia="Calibri" w:cs="Arial"/>
                <w:color w:val="000000"/>
              </w:rPr>
            </w:pPr>
            <w:r w:rsidRPr="00FE76A9">
              <w:rPr>
                <w:rFonts w:eastAsia="Calibri" w:cs="Arial"/>
                <w:color w:val="000000"/>
              </w:rPr>
              <w:t>Are there other technologies you think should be supported under the FITs scheme?</w:t>
            </w:r>
          </w:p>
        </w:tc>
      </w:tr>
      <w:tr w:rsidR="00A93692" w:rsidRPr="00015C4E" w:rsidTr="0051412C">
        <w:trPr>
          <w:trHeight w:val="599"/>
        </w:trPr>
        <w:tc>
          <w:tcPr>
            <w:tcW w:w="355" w:type="pct"/>
            <w:shd w:val="clear" w:color="auto" w:fill="CCECF9"/>
            <w:tcMar>
              <w:top w:w="113" w:type="dxa"/>
              <w:bottom w:w="113" w:type="dxa"/>
            </w:tcMar>
            <w:vAlign w:val="center"/>
          </w:tcPr>
          <w:p w:rsidR="00A93692" w:rsidRDefault="00E1748A" w:rsidP="00E1748A">
            <w:pPr>
              <w:pStyle w:val="TableText"/>
              <w:jc w:val="center"/>
            </w:pPr>
            <w:r>
              <w:t>14</w:t>
            </w:r>
            <w:r w:rsidR="00A93692">
              <w:t>.</w:t>
            </w:r>
          </w:p>
        </w:tc>
        <w:tc>
          <w:tcPr>
            <w:tcW w:w="4645" w:type="pct"/>
            <w:shd w:val="clear" w:color="auto" w:fill="CCECF9"/>
            <w:tcMar>
              <w:top w:w="113" w:type="dxa"/>
              <w:bottom w:w="113" w:type="dxa"/>
            </w:tcMar>
          </w:tcPr>
          <w:p w:rsidR="00A93692" w:rsidRPr="00FE76A9" w:rsidRDefault="00A93692" w:rsidP="00336718">
            <w:pPr>
              <w:spacing w:before="100" w:beforeAutospacing="1" w:after="100" w:afterAutospacing="1"/>
              <w:rPr>
                <w:rFonts w:eastAsia="Calibri" w:cs="Arial"/>
                <w:color w:val="000000"/>
              </w:rPr>
            </w:pPr>
            <w:r w:rsidRPr="00FE76A9">
              <w:rPr>
                <w:rFonts w:eastAsia="Calibri" w:cs="Arial"/>
                <w:color w:val="000000"/>
              </w:rPr>
              <w:t>Should the definition of hydro generating station be extended to include small tidal projects such as tidal mills and tidal loc</w:t>
            </w:r>
            <w:r w:rsidR="00336718" w:rsidRPr="00FE76A9">
              <w:rPr>
                <w:rFonts w:eastAsia="Calibri" w:cs="Arial"/>
                <w:color w:val="000000"/>
              </w:rPr>
              <w:t xml:space="preserve">ks that use a mixture of </w:t>
            </w:r>
            <w:r w:rsidRPr="00FE76A9">
              <w:rPr>
                <w:rFonts w:eastAsia="Calibri" w:cs="Arial"/>
                <w:color w:val="000000"/>
              </w:rPr>
              <w:t xml:space="preserve">fluvial and tidal power? </w:t>
            </w:r>
          </w:p>
        </w:tc>
      </w:tr>
    </w:tbl>
    <w:p w:rsidR="00451FA9" w:rsidRPr="00451FA9" w:rsidRDefault="00451FA9" w:rsidP="00AB006C">
      <w:pPr>
        <w:pStyle w:val="Heading3"/>
        <w:spacing w:after="120"/>
        <w:rPr>
          <w:color w:val="00B0F0"/>
          <w:sz w:val="24"/>
          <w:szCs w:val="24"/>
        </w:rPr>
      </w:pPr>
    </w:p>
    <w:p w:rsidR="00F016FF" w:rsidRPr="00FE76A9" w:rsidRDefault="00F016FF" w:rsidP="00AB006C">
      <w:pPr>
        <w:pStyle w:val="Heading3"/>
        <w:spacing w:after="120"/>
        <w:rPr>
          <w:color w:val="00B0F0"/>
          <w:sz w:val="28"/>
          <w:szCs w:val="28"/>
        </w:rPr>
      </w:pPr>
      <w:bookmarkStart w:id="533" w:name="_Toc316544914"/>
      <w:r w:rsidRPr="00FE76A9">
        <w:rPr>
          <w:color w:val="00B0F0"/>
          <w:sz w:val="28"/>
          <w:szCs w:val="28"/>
        </w:rPr>
        <w:t>New equipment versus second hand</w:t>
      </w:r>
      <w:bookmarkEnd w:id="533"/>
    </w:p>
    <w:p w:rsidR="00F016FF" w:rsidRDefault="00F016FF" w:rsidP="00986EAF">
      <w:pPr>
        <w:pStyle w:val="DECCnumberingBold"/>
      </w:pPr>
      <w:r>
        <w:t>Under the current scheme t</w:t>
      </w:r>
      <w:r w:rsidRPr="00E85265">
        <w:t>he use of generating equipment that has previously received support under the RO or FITs is not permitted. This restriction is in place because a key objective of the FITs Scheme is to encourage new installations, the cost of which is factored into the generation tariff.</w:t>
      </w:r>
      <w:r>
        <w:t xml:space="preserve"> </w:t>
      </w:r>
      <w:r w:rsidRPr="00E85265">
        <w:t>Second-hand technology has a different (lower) cost base and may have received other financial support during its life.</w:t>
      </w:r>
      <w:r>
        <w:t xml:space="preserve"> </w:t>
      </w:r>
      <w:r w:rsidRPr="00E85265">
        <w:t>Ofgem</w:t>
      </w:r>
      <w:r w:rsidR="00410D0E">
        <w:t>’s</w:t>
      </w:r>
      <w:r w:rsidRPr="00E85265">
        <w:t xml:space="preserve"> consult</w:t>
      </w:r>
      <w:r w:rsidR="00410D0E">
        <w:t>ation</w:t>
      </w:r>
      <w:r w:rsidRPr="00E85265">
        <w:t xml:space="preserve"> on the term “generating equipment”</w:t>
      </w:r>
      <w:r>
        <w:rPr>
          <w:rStyle w:val="FootnoteReference"/>
          <w:color w:val="000000"/>
        </w:rPr>
        <w:footnoteReference w:id="4"/>
      </w:r>
      <w:r w:rsidRPr="00E85265">
        <w:t xml:space="preserve"> </w:t>
      </w:r>
      <w:r w:rsidR="00410D0E">
        <w:t>closed on 21 October 2011</w:t>
      </w:r>
      <w:r w:rsidRPr="00E85265">
        <w:t xml:space="preserve">and is currently reviewing responses; </w:t>
      </w:r>
      <w:r w:rsidR="00A33FEA">
        <w:t xml:space="preserve">it is planned to publish </w:t>
      </w:r>
      <w:r w:rsidRPr="00E85265">
        <w:t xml:space="preserve">decisions </w:t>
      </w:r>
      <w:r w:rsidR="005813E7">
        <w:t>before Easter</w:t>
      </w:r>
      <w:r w:rsidR="00410D0E">
        <w:t xml:space="preserve"> 2012</w:t>
      </w:r>
      <w:r>
        <w:t>.</w:t>
      </w:r>
    </w:p>
    <w:tbl>
      <w:tblPr>
        <w:tblW w:w="4857"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F016FF" w:rsidRPr="00015C4E" w:rsidTr="00854559">
        <w:tc>
          <w:tcPr>
            <w:tcW w:w="5000" w:type="pct"/>
            <w:gridSpan w:val="2"/>
            <w:shd w:val="clear" w:color="auto" w:fill="CCECF9"/>
            <w:tcMar>
              <w:top w:w="113" w:type="dxa"/>
              <w:bottom w:w="113" w:type="dxa"/>
            </w:tcMar>
          </w:tcPr>
          <w:p w:rsidR="00F016FF" w:rsidRPr="00226F71" w:rsidRDefault="00F016FF" w:rsidP="00854559">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410D0E">
              <w:rPr>
                <w:rStyle w:val="PantoneCyan"/>
                <w:b/>
                <w:i/>
              </w:rPr>
              <w:t xml:space="preserve"> and evidence</w:t>
            </w:r>
          </w:p>
        </w:tc>
      </w:tr>
      <w:tr w:rsidR="00F016FF" w:rsidRPr="00015C4E" w:rsidTr="00854559">
        <w:trPr>
          <w:trHeight w:val="783"/>
        </w:trPr>
        <w:tc>
          <w:tcPr>
            <w:tcW w:w="355" w:type="pct"/>
            <w:shd w:val="clear" w:color="auto" w:fill="CCECF9"/>
            <w:tcMar>
              <w:top w:w="113" w:type="dxa"/>
              <w:bottom w:w="113" w:type="dxa"/>
            </w:tcMar>
            <w:vAlign w:val="center"/>
          </w:tcPr>
          <w:p w:rsidR="00F016FF" w:rsidRPr="00015C4E" w:rsidRDefault="00E1748A" w:rsidP="00E1748A">
            <w:pPr>
              <w:pStyle w:val="TableText"/>
              <w:jc w:val="center"/>
            </w:pPr>
            <w:r>
              <w:t>15</w:t>
            </w:r>
            <w:r w:rsidR="00F016FF">
              <w:t>.</w:t>
            </w:r>
          </w:p>
        </w:tc>
        <w:tc>
          <w:tcPr>
            <w:tcW w:w="4645" w:type="pct"/>
            <w:shd w:val="clear" w:color="auto" w:fill="CCECF9"/>
            <w:tcMar>
              <w:top w:w="113" w:type="dxa"/>
              <w:bottom w:w="113" w:type="dxa"/>
            </w:tcMar>
          </w:tcPr>
          <w:p w:rsidR="00F016FF" w:rsidRPr="00FE76A9" w:rsidRDefault="00F016FF" w:rsidP="00D94830">
            <w:pPr>
              <w:spacing w:before="100" w:beforeAutospacing="1" w:after="100" w:afterAutospacing="1"/>
              <w:rPr>
                <w:rFonts w:cs="Arial"/>
                <w:color w:val="000000"/>
              </w:rPr>
            </w:pPr>
            <w:r w:rsidRPr="00FE76A9">
              <w:rPr>
                <w:rFonts w:cs="Arial"/>
                <w:color w:val="000000"/>
              </w:rPr>
              <w:t xml:space="preserve">Should second-hand and refurbished equipment be permitted for FITs accreditation? </w:t>
            </w:r>
          </w:p>
        </w:tc>
      </w:tr>
      <w:tr w:rsidR="00F016FF" w:rsidRPr="00015C4E" w:rsidTr="00854559">
        <w:tc>
          <w:tcPr>
            <w:tcW w:w="355" w:type="pct"/>
            <w:shd w:val="clear" w:color="auto" w:fill="CCECF9"/>
            <w:tcMar>
              <w:top w:w="113" w:type="dxa"/>
              <w:bottom w:w="113" w:type="dxa"/>
            </w:tcMar>
            <w:vAlign w:val="center"/>
          </w:tcPr>
          <w:p w:rsidR="00F016FF" w:rsidRDefault="00E1748A" w:rsidP="00E1748A">
            <w:pPr>
              <w:pStyle w:val="TableText"/>
              <w:jc w:val="center"/>
            </w:pPr>
            <w:r>
              <w:t>16</w:t>
            </w:r>
            <w:r w:rsidR="00F016FF">
              <w:t>.</w:t>
            </w:r>
          </w:p>
        </w:tc>
        <w:tc>
          <w:tcPr>
            <w:tcW w:w="4645" w:type="pct"/>
            <w:shd w:val="clear" w:color="auto" w:fill="CCECF9"/>
            <w:tcMar>
              <w:top w:w="113" w:type="dxa"/>
              <w:bottom w:w="113" w:type="dxa"/>
            </w:tcMar>
          </w:tcPr>
          <w:p w:rsidR="00F016FF" w:rsidRPr="00FE76A9" w:rsidRDefault="00F016FF" w:rsidP="00D94830">
            <w:pPr>
              <w:spacing w:before="100" w:beforeAutospacing="1" w:after="100" w:afterAutospacing="1"/>
              <w:rPr>
                <w:rFonts w:cs="Arial"/>
                <w:color w:val="000000"/>
              </w:rPr>
            </w:pPr>
            <w:r w:rsidRPr="00FE76A9">
              <w:rPr>
                <w:rFonts w:cs="Arial"/>
                <w:color w:val="000000"/>
              </w:rPr>
              <w:t>As this equipment has a different cost base, would you support the payment of a lower tariff for such equipment, and how much lower should the tariff be compared with the standard tariffs? How would this tariff be calculated?</w:t>
            </w:r>
          </w:p>
        </w:tc>
      </w:tr>
    </w:tbl>
    <w:p w:rsidR="00D316E5" w:rsidRPr="00FE76A9" w:rsidRDefault="00552660" w:rsidP="00AB006C">
      <w:pPr>
        <w:pStyle w:val="Heading3"/>
        <w:spacing w:after="120"/>
        <w:rPr>
          <w:color w:val="00B0F0"/>
          <w:sz w:val="28"/>
          <w:szCs w:val="28"/>
        </w:rPr>
      </w:pPr>
      <w:bookmarkStart w:id="534" w:name="_Toc316544915"/>
      <w:r w:rsidRPr="00FE76A9">
        <w:rPr>
          <w:color w:val="00B0F0"/>
          <w:sz w:val="28"/>
          <w:szCs w:val="28"/>
        </w:rPr>
        <w:lastRenderedPageBreak/>
        <w:t>Metering issues</w:t>
      </w:r>
      <w:bookmarkEnd w:id="534"/>
    </w:p>
    <w:p w:rsidR="00D316E5" w:rsidRPr="00396735" w:rsidRDefault="005D1613" w:rsidP="00986EAF">
      <w:pPr>
        <w:pStyle w:val="DECCnumberingBold"/>
      </w:pPr>
      <w:r>
        <w:t xml:space="preserve">Installations that are not connected to the national electricity </w:t>
      </w:r>
      <w:r w:rsidR="00551327">
        <w:t>network</w:t>
      </w:r>
      <w:r>
        <w:t xml:space="preserve"> are </w:t>
      </w:r>
      <w:r w:rsidR="00410D0E">
        <w:t xml:space="preserve">still </w:t>
      </w:r>
      <w:r>
        <w:t xml:space="preserve">eligible for FITs. However, they must comply with all the relevant </w:t>
      </w:r>
      <w:r w:rsidR="007B359A">
        <w:t xml:space="preserve">accreditation </w:t>
      </w:r>
      <w:r>
        <w:t xml:space="preserve">standards and with the relevant metering regulations. </w:t>
      </w:r>
      <w:r w:rsidR="00D316E5" w:rsidRPr="00396735">
        <w:t xml:space="preserve">Currently there are no DC meters </w:t>
      </w:r>
      <w:r w:rsidR="00BB78FF">
        <w:t>that</w:t>
      </w:r>
      <w:r w:rsidR="00BB78FF" w:rsidRPr="00396735">
        <w:t xml:space="preserve"> </w:t>
      </w:r>
      <w:r w:rsidR="00D316E5" w:rsidRPr="00396735">
        <w:t>meet the FITs metering legislation requirements.</w:t>
      </w:r>
      <w:r w:rsidR="00D316E5">
        <w:t xml:space="preserve"> </w:t>
      </w:r>
      <w:r w:rsidR="004E1AEF">
        <w:t>This means that electricity eligible for FITs must be grid-ready i.e. provided and metered in AC fo</w:t>
      </w:r>
      <w:r w:rsidR="00410D0E">
        <w:t>r</w:t>
      </w:r>
      <w:r w:rsidR="004E1AEF">
        <w:t xml:space="preserve">m. </w:t>
      </w:r>
      <w:r w:rsidR="00D316E5" w:rsidRPr="00396735">
        <w:t xml:space="preserve">We have no plans to change </w:t>
      </w:r>
      <w:r w:rsidR="00D316E5">
        <w:t>the FIT metering requirements.</w:t>
      </w:r>
    </w:p>
    <w:p w:rsidR="00552660" w:rsidRDefault="00552660" w:rsidP="00986EAF">
      <w:pPr>
        <w:pStyle w:val="DECCnumberingBold"/>
      </w:pPr>
      <w:r>
        <w:t xml:space="preserve">Some stakeholders have raised the issue that the location of meters and related factors can influence the metered output of and therefore the FITs payable to installations. For example if meters are located upstream of transformers feeding </w:t>
      </w:r>
      <w:r w:rsidR="00992B51">
        <w:t>into</w:t>
      </w:r>
      <w:r>
        <w:t xml:space="preserve"> the grid, or </w:t>
      </w:r>
      <w:r w:rsidR="0029461F">
        <w:t xml:space="preserve">long distances from grid connection points, local losses are not accounted for and generators would receive FITs for more than the usable energy that they export. We propose to ensure that </w:t>
      </w:r>
      <w:r w:rsidR="00992B51">
        <w:t>installations</w:t>
      </w:r>
      <w:r w:rsidR="0029461F">
        <w:t xml:space="preserve"> standards under the MCS or ROO-FIT accreditation route take account of this issue and only usable energy is eligible for FITs.</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D316E5" w:rsidRPr="00015C4E" w:rsidTr="00FE76A9">
        <w:trPr>
          <w:jc w:val="center"/>
        </w:trPr>
        <w:tc>
          <w:tcPr>
            <w:tcW w:w="5000" w:type="pct"/>
            <w:gridSpan w:val="2"/>
            <w:shd w:val="clear" w:color="auto" w:fill="CCECF9"/>
            <w:tcMar>
              <w:top w:w="113" w:type="dxa"/>
              <w:bottom w:w="113" w:type="dxa"/>
            </w:tcMar>
          </w:tcPr>
          <w:p w:rsidR="00D316E5" w:rsidRPr="00226F71" w:rsidRDefault="00D316E5" w:rsidP="004F2498">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410D0E">
              <w:rPr>
                <w:rStyle w:val="PantoneCyan"/>
                <w:b/>
                <w:i/>
              </w:rPr>
              <w:t xml:space="preserve"> and evidence</w:t>
            </w:r>
          </w:p>
        </w:tc>
      </w:tr>
      <w:tr w:rsidR="00D316E5" w:rsidRPr="00015C4E" w:rsidTr="00FE76A9">
        <w:trPr>
          <w:trHeight w:val="634"/>
          <w:jc w:val="center"/>
        </w:trPr>
        <w:tc>
          <w:tcPr>
            <w:tcW w:w="355" w:type="pct"/>
            <w:shd w:val="clear" w:color="auto" w:fill="CCECF9"/>
            <w:tcMar>
              <w:top w:w="113" w:type="dxa"/>
              <w:bottom w:w="113" w:type="dxa"/>
            </w:tcMar>
            <w:vAlign w:val="center"/>
          </w:tcPr>
          <w:p w:rsidR="00D316E5" w:rsidRPr="00F45D50" w:rsidRDefault="00E1748A" w:rsidP="00E1748A">
            <w:pPr>
              <w:pStyle w:val="TableText"/>
              <w:jc w:val="center"/>
            </w:pPr>
            <w:r w:rsidRPr="00F45D50">
              <w:t>1</w:t>
            </w:r>
            <w:r>
              <w:t>7</w:t>
            </w:r>
            <w:r w:rsidR="00D316E5" w:rsidRPr="00F45D50">
              <w:t>.</w:t>
            </w:r>
          </w:p>
        </w:tc>
        <w:tc>
          <w:tcPr>
            <w:tcW w:w="4645" w:type="pct"/>
            <w:shd w:val="clear" w:color="auto" w:fill="CCECF9"/>
            <w:tcMar>
              <w:top w:w="113" w:type="dxa"/>
              <w:bottom w:w="113" w:type="dxa"/>
            </w:tcMar>
          </w:tcPr>
          <w:p w:rsidR="00D316E5" w:rsidRPr="00FE76A9" w:rsidRDefault="00D316E5" w:rsidP="004F2498">
            <w:pPr>
              <w:spacing w:before="100" w:beforeAutospacing="1" w:after="100" w:afterAutospacing="1"/>
              <w:jc w:val="both"/>
              <w:rPr>
                <w:rFonts w:cs="Arial"/>
                <w:color w:val="000000"/>
              </w:rPr>
            </w:pPr>
            <w:r w:rsidRPr="00FE76A9">
              <w:rPr>
                <w:rFonts w:cs="Arial"/>
                <w:color w:val="000000"/>
              </w:rPr>
              <w:t>Do you think that the position relating to metering should be changed?</w:t>
            </w:r>
          </w:p>
        </w:tc>
      </w:tr>
      <w:tr w:rsidR="0029461F" w:rsidRPr="00015C4E" w:rsidTr="00FE76A9">
        <w:trPr>
          <w:trHeight w:val="634"/>
          <w:jc w:val="center"/>
        </w:trPr>
        <w:tc>
          <w:tcPr>
            <w:tcW w:w="355" w:type="pct"/>
            <w:shd w:val="clear" w:color="auto" w:fill="CCECF9"/>
            <w:tcMar>
              <w:top w:w="113" w:type="dxa"/>
              <w:bottom w:w="113" w:type="dxa"/>
            </w:tcMar>
            <w:vAlign w:val="center"/>
          </w:tcPr>
          <w:p w:rsidR="0029461F" w:rsidRPr="00F45D50" w:rsidRDefault="00E1748A" w:rsidP="003A5F2F">
            <w:pPr>
              <w:pStyle w:val="TableText"/>
              <w:jc w:val="center"/>
            </w:pPr>
            <w:r>
              <w:t>18.</w:t>
            </w:r>
          </w:p>
        </w:tc>
        <w:tc>
          <w:tcPr>
            <w:tcW w:w="4645" w:type="pct"/>
            <w:shd w:val="clear" w:color="auto" w:fill="CCECF9"/>
            <w:tcMar>
              <w:top w:w="113" w:type="dxa"/>
              <w:bottom w:w="113" w:type="dxa"/>
            </w:tcMar>
          </w:tcPr>
          <w:p w:rsidR="0029461F" w:rsidRPr="00FE76A9" w:rsidRDefault="0029461F" w:rsidP="004F2498">
            <w:pPr>
              <w:spacing w:before="100" w:beforeAutospacing="1" w:after="100" w:afterAutospacing="1"/>
              <w:jc w:val="both"/>
              <w:rPr>
                <w:rFonts w:cs="Arial"/>
                <w:color w:val="000000"/>
              </w:rPr>
            </w:pPr>
            <w:r w:rsidRPr="00FE76A9">
              <w:rPr>
                <w:rFonts w:cs="Arial"/>
                <w:color w:val="000000"/>
              </w:rPr>
              <w:t xml:space="preserve">Do you agree that FITs should only be payable for usable </w:t>
            </w:r>
            <w:r w:rsidR="00992B51" w:rsidRPr="00FE76A9">
              <w:rPr>
                <w:rFonts w:cs="Arial"/>
                <w:color w:val="000000"/>
              </w:rPr>
              <w:t>energy</w:t>
            </w:r>
            <w:r w:rsidRPr="00FE76A9">
              <w:rPr>
                <w:rFonts w:cs="Arial"/>
                <w:color w:val="000000"/>
              </w:rPr>
              <w:t xml:space="preserve"> and that metering installation standards should reflect this?</w:t>
            </w:r>
          </w:p>
        </w:tc>
      </w:tr>
    </w:tbl>
    <w:p w:rsidR="00FE76A9" w:rsidRDefault="00FE76A9" w:rsidP="00FE76A9">
      <w:pPr>
        <w:pStyle w:val="NoSpacing"/>
      </w:pPr>
    </w:p>
    <w:p w:rsidR="00A855DC" w:rsidRPr="00FE76A9" w:rsidRDefault="00A6128A" w:rsidP="00FE76A9">
      <w:pPr>
        <w:pStyle w:val="NoSpacing"/>
        <w:rPr>
          <w:b/>
          <w:color w:val="00B0F0"/>
          <w:sz w:val="28"/>
          <w:szCs w:val="28"/>
        </w:rPr>
      </w:pPr>
      <w:r w:rsidRPr="00FE76A9">
        <w:rPr>
          <w:b/>
          <w:color w:val="00B0F0"/>
          <w:sz w:val="28"/>
          <w:szCs w:val="28"/>
        </w:rPr>
        <w:t>Definitions</w:t>
      </w:r>
    </w:p>
    <w:p w:rsidR="00FE76A9" w:rsidRPr="00FE76A9" w:rsidRDefault="00FE76A9" w:rsidP="00FE76A9">
      <w:pPr>
        <w:pStyle w:val="NoSpacing"/>
        <w:rPr>
          <w:b/>
          <w:color w:val="00B0F0"/>
          <w:sz w:val="28"/>
          <w:szCs w:val="28"/>
        </w:rPr>
      </w:pPr>
    </w:p>
    <w:p w:rsidR="00A855DC" w:rsidRPr="00FE76A9" w:rsidRDefault="00A6128A" w:rsidP="000E0DCA">
      <w:pPr>
        <w:pStyle w:val="Heading3"/>
      </w:pPr>
      <w:bookmarkStart w:id="535" w:name="_Toc316544916"/>
      <w:r w:rsidRPr="00FE76A9">
        <w:t>Site</w:t>
      </w:r>
      <w:bookmarkEnd w:id="535"/>
    </w:p>
    <w:p w:rsidR="00FE76A9" w:rsidRPr="00505103" w:rsidRDefault="00FE76A9" w:rsidP="00FE76A9">
      <w:pPr>
        <w:pStyle w:val="NoSpacing"/>
        <w:rPr>
          <w:rFonts w:cs="Arial"/>
        </w:rPr>
      </w:pPr>
    </w:p>
    <w:p w:rsidR="00CE59C6" w:rsidRDefault="003C1CC3" w:rsidP="00986EAF">
      <w:pPr>
        <w:pStyle w:val="DECCnumberingBold"/>
        <w:spacing w:after="0"/>
      </w:pPr>
      <w:r w:rsidRPr="00B27454">
        <w:t>In Schedule A to Standard Condition 33 of the Electricity Supply License </w:t>
      </w:r>
      <w:r w:rsidR="00A85EB8">
        <w:t>a</w:t>
      </w:r>
      <w:r w:rsidRPr="00B27454">
        <w:t xml:space="preserve"> site is defined as:</w:t>
      </w:r>
    </w:p>
    <w:p w:rsidR="00B4255D" w:rsidRDefault="00B4255D" w:rsidP="00B4255D">
      <w:pPr>
        <w:pStyle w:val="DECCnumberingBold"/>
        <w:numPr>
          <w:ilvl w:val="0"/>
          <w:numId w:val="0"/>
        </w:numPr>
        <w:spacing w:after="0"/>
        <w:ind w:left="426"/>
      </w:pPr>
    </w:p>
    <w:p w:rsidR="0075197B" w:rsidRDefault="003B5CF9" w:rsidP="00986EAF">
      <w:pPr>
        <w:pStyle w:val="Quote"/>
        <w:spacing w:after="0"/>
        <w:ind w:left="499"/>
      </w:pPr>
      <w:r>
        <w:tab/>
      </w:r>
      <w:r w:rsidR="003C1CC3" w:rsidRPr="00A27AC3">
        <w:t xml:space="preserve">"...premises to which is attached one or more Accredited FITs installations or Eligible installations in close geographical proximity to each other, to be determined by: </w:t>
      </w:r>
    </w:p>
    <w:p w:rsidR="0075197B" w:rsidRDefault="003C1CC3" w:rsidP="00986EAF">
      <w:pPr>
        <w:pStyle w:val="Quote"/>
        <w:numPr>
          <w:ilvl w:val="0"/>
          <w:numId w:val="19"/>
        </w:numPr>
        <w:spacing w:after="0"/>
      </w:pPr>
      <w:r w:rsidRPr="00A27AC3">
        <w:t xml:space="preserve">the relevant meter point administration number for the electricity supply </w:t>
      </w:r>
    </w:p>
    <w:p w:rsidR="0075197B" w:rsidRDefault="003C1CC3" w:rsidP="00986EAF">
      <w:pPr>
        <w:pStyle w:val="Quote"/>
        <w:numPr>
          <w:ilvl w:val="0"/>
          <w:numId w:val="19"/>
        </w:numPr>
        <w:spacing w:after="0"/>
      </w:pPr>
      <w:r w:rsidRPr="00A27AC3">
        <w:t xml:space="preserve">the street address </w:t>
      </w:r>
    </w:p>
    <w:p w:rsidR="0075197B" w:rsidRDefault="003C1CC3" w:rsidP="00986EAF">
      <w:pPr>
        <w:pStyle w:val="Quote"/>
        <w:numPr>
          <w:ilvl w:val="0"/>
          <w:numId w:val="19"/>
        </w:numPr>
        <w:spacing w:after="0"/>
      </w:pPr>
      <w:r w:rsidRPr="00A27AC3">
        <w:t xml:space="preserve">the Ordnance Survey Grid Reference and </w:t>
      </w:r>
    </w:p>
    <w:p w:rsidR="0075197B" w:rsidRDefault="003C1CC3" w:rsidP="005957AB">
      <w:pPr>
        <w:pStyle w:val="Quote"/>
        <w:numPr>
          <w:ilvl w:val="0"/>
          <w:numId w:val="19"/>
        </w:numPr>
      </w:pPr>
      <w:r w:rsidRPr="00A27AC3">
        <w:t>any other factors which the Authority at its discretion views as relevant."</w:t>
      </w:r>
      <w:r w:rsidR="008A56AC">
        <w:t xml:space="preserve"> </w:t>
      </w:r>
    </w:p>
    <w:p w:rsidR="00697D76" w:rsidRDefault="003C1CC3" w:rsidP="00B4255D">
      <w:pPr>
        <w:pStyle w:val="DECCnumberingBold"/>
        <w:numPr>
          <w:ilvl w:val="0"/>
          <w:numId w:val="0"/>
        </w:numPr>
        <w:ind w:left="426"/>
      </w:pPr>
      <w:r w:rsidRPr="00B27454">
        <w:t xml:space="preserve">These </w:t>
      </w:r>
      <w:r w:rsidR="00A85EB8">
        <w:t>“</w:t>
      </w:r>
      <w:r w:rsidRPr="00B27454">
        <w:t>other factors</w:t>
      </w:r>
      <w:r w:rsidR="00A27AC3">
        <w:t>”</w:t>
      </w:r>
      <w:r w:rsidRPr="00B27454">
        <w:t xml:space="preserve"> include planning permission and any electrical/mechanical interactions between the installations.</w:t>
      </w:r>
      <w:r w:rsidR="008A56AC">
        <w:t xml:space="preserve"> </w:t>
      </w:r>
    </w:p>
    <w:p w:rsidR="009075CD" w:rsidRDefault="003C1CC3" w:rsidP="00986EAF">
      <w:pPr>
        <w:pStyle w:val="DECCnumberingBold"/>
      </w:pPr>
      <w:r w:rsidRPr="00B27454">
        <w:t xml:space="preserve">This definition </w:t>
      </w:r>
      <w:r w:rsidR="00977430">
        <w:t xml:space="preserve">deliberately </w:t>
      </w:r>
      <w:r w:rsidR="00551327">
        <w:t>gives</w:t>
      </w:r>
      <w:r w:rsidR="00977430">
        <w:t xml:space="preserve"> Ofgem a degree of discretion in determining the </w:t>
      </w:r>
      <w:r w:rsidR="00551327">
        <w:t>definition</w:t>
      </w:r>
      <w:r w:rsidR="00977430">
        <w:t xml:space="preserve"> of </w:t>
      </w:r>
      <w:r w:rsidR="00B1327C">
        <w:t>“</w:t>
      </w:r>
      <w:r w:rsidR="00977430">
        <w:t>site</w:t>
      </w:r>
      <w:r w:rsidR="00B1327C">
        <w:t>”</w:t>
      </w:r>
      <w:r w:rsidR="00977430">
        <w:t xml:space="preserve"> in order </w:t>
      </w:r>
      <w:r w:rsidRPr="00B27454">
        <w:t xml:space="preserve">to deal with a range of different technologies and scenarios, and is a critical test in determining whether an installation is eligible for FITs and what tariff applies. Also, it plays a key role in reducing the risk of fraud </w:t>
      </w:r>
      <w:r w:rsidRPr="00B27454">
        <w:lastRenderedPageBreak/>
        <w:t>and gaming i.e. projects being artificially split in order to benefit from FITs or a higher tariff within FITs.</w:t>
      </w:r>
      <w:r w:rsidR="008A56AC">
        <w:t xml:space="preserve"> </w:t>
      </w:r>
      <w:r w:rsidRPr="00B27454">
        <w:t>However, a number of concerns have been raised about the application of the existing definition.</w:t>
      </w:r>
    </w:p>
    <w:p w:rsidR="009075CD" w:rsidRDefault="003C1CC3" w:rsidP="00986EAF">
      <w:pPr>
        <w:pStyle w:val="DECCnumberingBold"/>
      </w:pPr>
      <w:r w:rsidRPr="00B27454">
        <w:t xml:space="preserve">Many stakeholders have claimed that, in practice, too much emphasis has been placed by Ofgem and </w:t>
      </w:r>
      <w:r w:rsidR="007A32EC">
        <w:t>licensee</w:t>
      </w:r>
      <w:r w:rsidRPr="00B27454">
        <w:t>s</w:t>
      </w:r>
      <w:r w:rsidR="008A56AC">
        <w:t xml:space="preserve"> </w:t>
      </w:r>
      <w:r w:rsidRPr="00B27454">
        <w:t>on the Meter Point Administration Number (MPAN) as the determining factor in most cases</w:t>
      </w:r>
      <w:r w:rsidR="00977430">
        <w:t xml:space="preserve"> to the exclusion of the other factors that may legitimately be considered</w:t>
      </w:r>
      <w:r w:rsidRPr="00B27454">
        <w:t xml:space="preserve">. This has lead to potentially perverse outcomes, for example projects being considered </w:t>
      </w:r>
      <w:r w:rsidR="00B1327C">
        <w:t xml:space="preserve">as being </w:t>
      </w:r>
      <w:r w:rsidRPr="00B27454">
        <w:t>on the same ‘site’ despite being geographically separate</w:t>
      </w:r>
      <w:r w:rsidR="00B1327C">
        <w:t>,</w:t>
      </w:r>
      <w:r w:rsidRPr="00B27454">
        <w:t xml:space="preserve"> because they connect into the public electricity network through a shared private wire network (i.e. a number of installations connect together through a privately owned electricity network before connecting into the national grid network through one grid connection</w:t>
      </w:r>
      <w:r w:rsidR="00977430">
        <w:t>.</w:t>
      </w:r>
      <w:r w:rsidR="00B1327C">
        <w:t>)</w:t>
      </w:r>
      <w:r w:rsidR="00977430">
        <w:t xml:space="preserve"> This has been particularly the case for hydro developments in remote locations and for multiple residences connected by </w:t>
      </w:r>
      <w:r w:rsidR="00551327">
        <w:t>private</w:t>
      </w:r>
      <w:r w:rsidR="00B1327C">
        <w:t xml:space="preserve"> wires e.g.</w:t>
      </w:r>
      <w:r w:rsidR="00977430">
        <w:t xml:space="preserve"> </w:t>
      </w:r>
      <w:r w:rsidR="008F4D53">
        <w:t>park homes</w:t>
      </w:r>
      <w:r w:rsidRPr="00B27454">
        <w:t>.</w:t>
      </w:r>
      <w:r w:rsidR="008F4D53">
        <w:t xml:space="preserve"> </w:t>
      </w:r>
    </w:p>
    <w:p w:rsidR="009075CD" w:rsidRDefault="003C1CC3" w:rsidP="00986EAF">
      <w:pPr>
        <w:pStyle w:val="DECCnumberingBold"/>
      </w:pPr>
      <w:r w:rsidRPr="00B27454">
        <w:t xml:space="preserve">We wish to consider how this definition </w:t>
      </w:r>
      <w:r w:rsidR="00EE788E">
        <w:t>might be revised so as to</w:t>
      </w:r>
      <w:r w:rsidRPr="00B27454">
        <w:t xml:space="preserve"> provide greater clarity for generators.</w:t>
      </w:r>
      <w:r w:rsidR="008A56AC">
        <w:t xml:space="preserve"> </w:t>
      </w:r>
      <w:r w:rsidRPr="00B27454">
        <w:t xml:space="preserve">It may also be appropriate to provide bespoke definitions </w:t>
      </w:r>
      <w:r w:rsidR="00EE788E">
        <w:t>for each</w:t>
      </w:r>
      <w:r w:rsidRPr="00B27454">
        <w:t xml:space="preserve"> technology rather than tak</w:t>
      </w:r>
      <w:r w:rsidR="00EE788E">
        <w:t>ing</w:t>
      </w:r>
      <w:r w:rsidRPr="00B27454">
        <w:t xml:space="preserve"> a one-size-fits-all approach. However, we </w:t>
      </w:r>
      <w:r w:rsidR="00977430">
        <w:t xml:space="preserve">do </w:t>
      </w:r>
      <w:r w:rsidRPr="00B27454">
        <w:t xml:space="preserve">not </w:t>
      </w:r>
      <w:r w:rsidR="00977430">
        <w:t xml:space="preserve">wish </w:t>
      </w:r>
      <w:r w:rsidRPr="00B27454">
        <w:t xml:space="preserve">to complicate the definition further if </w:t>
      </w:r>
      <w:r w:rsidR="00EE788E">
        <w:t>it can be avoided</w:t>
      </w:r>
      <w:r w:rsidRPr="00B27454">
        <w:t>.</w:t>
      </w:r>
      <w:r w:rsidR="008A56AC">
        <w:t xml:space="preserve"> </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3C1CC3" w:rsidRPr="00015C4E" w:rsidTr="00FE76A9">
        <w:trPr>
          <w:jc w:val="center"/>
        </w:trPr>
        <w:tc>
          <w:tcPr>
            <w:tcW w:w="5000" w:type="pct"/>
            <w:gridSpan w:val="2"/>
            <w:shd w:val="clear" w:color="auto" w:fill="CCECF9"/>
            <w:tcMar>
              <w:top w:w="113" w:type="dxa"/>
              <w:bottom w:w="113" w:type="dxa"/>
            </w:tcMar>
          </w:tcPr>
          <w:p w:rsidR="003C1CC3" w:rsidRPr="00226F71" w:rsidRDefault="00986EAF" w:rsidP="003C1CC3">
            <w:pPr>
              <w:pStyle w:val="TableTitle"/>
              <w:rPr>
                <w:rStyle w:val="PantoneCyan"/>
                <w:b/>
              </w:rPr>
            </w:pPr>
            <w:r>
              <w:br w:type="page"/>
            </w:r>
            <w:r>
              <w:br w:type="page"/>
            </w:r>
            <w:r w:rsidR="00DA6678" w:rsidRPr="00226F71">
              <w:rPr>
                <w:rStyle w:val="PantoneCyan"/>
                <w:b/>
              </w:rPr>
              <w:t>Consultation Question</w:t>
            </w:r>
            <w:r w:rsidR="00DA6678">
              <w:rPr>
                <w:rStyle w:val="PantoneCyan"/>
                <w:b/>
              </w:rPr>
              <w:t xml:space="preserve">s: </w:t>
            </w:r>
            <w:r w:rsidR="0031178B">
              <w:rPr>
                <w:rStyle w:val="PantoneCyan"/>
                <w:b/>
                <w:i/>
              </w:rPr>
              <w:t>Please support your response with arguments</w:t>
            </w:r>
            <w:r w:rsidR="007A37A8">
              <w:rPr>
                <w:rStyle w:val="PantoneCyan"/>
                <w:b/>
                <w:i/>
              </w:rPr>
              <w:t xml:space="preserve"> and evidence</w:t>
            </w:r>
          </w:p>
        </w:tc>
      </w:tr>
      <w:tr w:rsidR="003C1CC3" w:rsidRPr="00015C4E" w:rsidTr="00FE76A9">
        <w:trPr>
          <w:jc w:val="center"/>
        </w:trPr>
        <w:tc>
          <w:tcPr>
            <w:tcW w:w="355" w:type="pct"/>
            <w:shd w:val="clear" w:color="auto" w:fill="CCECF9"/>
            <w:tcMar>
              <w:top w:w="113" w:type="dxa"/>
              <w:bottom w:w="113" w:type="dxa"/>
            </w:tcMar>
          </w:tcPr>
          <w:p w:rsidR="003C1CC3" w:rsidRDefault="00E1748A" w:rsidP="00E1748A">
            <w:pPr>
              <w:pStyle w:val="TableText"/>
            </w:pPr>
            <w:bookmarkStart w:id="536" w:name="_Hlk314756607"/>
            <w:r>
              <w:t>19</w:t>
            </w:r>
            <w:r w:rsidR="00493463">
              <w:t>.</w:t>
            </w:r>
          </w:p>
        </w:tc>
        <w:tc>
          <w:tcPr>
            <w:tcW w:w="4645" w:type="pct"/>
            <w:shd w:val="clear" w:color="auto" w:fill="CCECF9"/>
            <w:tcMar>
              <w:top w:w="113" w:type="dxa"/>
              <w:bottom w:w="113" w:type="dxa"/>
            </w:tcMar>
          </w:tcPr>
          <w:p w:rsidR="003C1CC3" w:rsidRPr="00FE76A9" w:rsidRDefault="003C1CC3" w:rsidP="00DA6678">
            <w:pPr>
              <w:spacing w:before="100" w:beforeAutospacing="1" w:after="100" w:afterAutospacing="1"/>
              <w:jc w:val="both"/>
              <w:rPr>
                <w:rFonts w:cs="Arial"/>
                <w:color w:val="000000"/>
              </w:rPr>
            </w:pPr>
            <w:r w:rsidRPr="00FE76A9">
              <w:rPr>
                <w:rFonts w:cs="Arial"/>
                <w:color w:val="000000"/>
              </w:rPr>
              <w:t xml:space="preserve">Is the existing definition </w:t>
            </w:r>
            <w:r w:rsidR="00316F30" w:rsidRPr="00FE76A9">
              <w:rPr>
                <w:rFonts w:cs="Arial"/>
                <w:color w:val="000000"/>
              </w:rPr>
              <w:t xml:space="preserve">of site </w:t>
            </w:r>
            <w:r w:rsidRPr="00FE76A9">
              <w:rPr>
                <w:rFonts w:cs="Arial"/>
                <w:color w:val="000000"/>
              </w:rPr>
              <w:t>sufficient?</w:t>
            </w:r>
            <w:r w:rsidR="008A56AC" w:rsidRPr="00FE76A9">
              <w:rPr>
                <w:rFonts w:cs="Arial"/>
                <w:color w:val="000000"/>
              </w:rPr>
              <w:t xml:space="preserve"> </w:t>
            </w:r>
            <w:r w:rsidRPr="00FE76A9">
              <w:rPr>
                <w:rFonts w:cs="Arial"/>
                <w:color w:val="000000"/>
              </w:rPr>
              <w:t>Do any of the criteria require further definition?</w:t>
            </w:r>
          </w:p>
        </w:tc>
      </w:tr>
      <w:tr w:rsidR="003C1CC3" w:rsidRPr="00015C4E" w:rsidTr="00FE76A9">
        <w:trPr>
          <w:jc w:val="center"/>
        </w:trPr>
        <w:tc>
          <w:tcPr>
            <w:tcW w:w="355" w:type="pct"/>
            <w:shd w:val="clear" w:color="auto" w:fill="CCECF9"/>
            <w:tcMar>
              <w:top w:w="113" w:type="dxa"/>
              <w:bottom w:w="113" w:type="dxa"/>
            </w:tcMar>
          </w:tcPr>
          <w:p w:rsidR="003C1CC3" w:rsidRDefault="00E1748A" w:rsidP="00E1748A">
            <w:pPr>
              <w:pStyle w:val="TableText"/>
            </w:pPr>
            <w:r>
              <w:t>20</w:t>
            </w:r>
            <w:r w:rsidR="00493463">
              <w:t>.</w:t>
            </w:r>
          </w:p>
        </w:tc>
        <w:tc>
          <w:tcPr>
            <w:tcW w:w="4645" w:type="pct"/>
            <w:shd w:val="clear" w:color="auto" w:fill="CCECF9"/>
            <w:tcMar>
              <w:top w:w="113" w:type="dxa"/>
              <w:bottom w:w="113" w:type="dxa"/>
            </w:tcMar>
          </w:tcPr>
          <w:p w:rsidR="003C1CC3" w:rsidRPr="00FE76A9" w:rsidRDefault="003C1CC3" w:rsidP="00DA6678">
            <w:pPr>
              <w:spacing w:before="100" w:beforeAutospacing="1" w:after="100" w:afterAutospacing="1"/>
              <w:jc w:val="both"/>
              <w:rPr>
                <w:rFonts w:cs="Arial"/>
                <w:color w:val="000000"/>
              </w:rPr>
            </w:pPr>
            <w:r w:rsidRPr="00FE76A9">
              <w:rPr>
                <w:rFonts w:cs="Arial"/>
                <w:color w:val="000000"/>
              </w:rPr>
              <w:t>What additional criteria or definitions could be used?</w:t>
            </w:r>
            <w:r w:rsidR="00FD1AC9" w:rsidRPr="00FE76A9">
              <w:rPr>
                <w:rFonts w:cs="Arial"/>
                <w:color w:val="000000"/>
              </w:rPr>
              <w:t xml:space="preserve"> </w:t>
            </w:r>
          </w:p>
        </w:tc>
      </w:tr>
      <w:tr w:rsidR="003C1CC3" w:rsidRPr="00015C4E" w:rsidTr="00FE76A9">
        <w:trPr>
          <w:jc w:val="center"/>
        </w:trPr>
        <w:tc>
          <w:tcPr>
            <w:tcW w:w="355" w:type="pct"/>
            <w:shd w:val="clear" w:color="auto" w:fill="CCECF9"/>
            <w:tcMar>
              <w:top w:w="113" w:type="dxa"/>
              <w:bottom w:w="113" w:type="dxa"/>
            </w:tcMar>
          </w:tcPr>
          <w:p w:rsidR="003C1CC3" w:rsidRDefault="00E1748A" w:rsidP="0075099D">
            <w:pPr>
              <w:pStyle w:val="TableText"/>
            </w:pPr>
            <w:r>
              <w:t>21</w:t>
            </w:r>
            <w:r w:rsidR="00493463">
              <w:t>.</w:t>
            </w:r>
          </w:p>
        </w:tc>
        <w:tc>
          <w:tcPr>
            <w:tcW w:w="4645" w:type="pct"/>
            <w:shd w:val="clear" w:color="auto" w:fill="CCECF9"/>
            <w:tcMar>
              <w:top w:w="113" w:type="dxa"/>
              <w:bottom w:w="113" w:type="dxa"/>
            </w:tcMar>
          </w:tcPr>
          <w:p w:rsidR="003C1CC3" w:rsidRPr="00FE76A9" w:rsidRDefault="003C1CC3" w:rsidP="00DA6678">
            <w:pPr>
              <w:spacing w:before="100" w:beforeAutospacing="1" w:after="100" w:afterAutospacing="1"/>
              <w:jc w:val="both"/>
              <w:rPr>
                <w:rFonts w:cs="Arial"/>
                <w:color w:val="000000"/>
              </w:rPr>
            </w:pPr>
            <w:r w:rsidRPr="00FE76A9">
              <w:rPr>
                <w:rFonts w:cs="Arial"/>
                <w:color w:val="000000"/>
              </w:rPr>
              <w:t>How would you resolve the private wire issue?</w:t>
            </w:r>
            <w:r w:rsidR="008A56AC" w:rsidRPr="00FE76A9">
              <w:rPr>
                <w:rFonts w:cs="Arial"/>
                <w:color w:val="000000"/>
              </w:rPr>
              <w:t xml:space="preserve"> </w:t>
            </w:r>
            <w:r w:rsidRPr="00FE76A9">
              <w:rPr>
                <w:rFonts w:cs="Arial"/>
                <w:color w:val="000000"/>
              </w:rPr>
              <w:t>Should there be a separate definition?</w:t>
            </w:r>
            <w:r w:rsidR="00FD1AC9" w:rsidRPr="00FE76A9">
              <w:rPr>
                <w:rFonts w:cs="Arial"/>
                <w:color w:val="000000"/>
              </w:rPr>
              <w:t xml:space="preserve"> </w:t>
            </w:r>
          </w:p>
        </w:tc>
      </w:tr>
      <w:bookmarkEnd w:id="536"/>
    </w:tbl>
    <w:p w:rsidR="0075197B" w:rsidRDefault="0075197B" w:rsidP="00FE76A9">
      <w:pPr>
        <w:pStyle w:val="NoSpacing"/>
      </w:pPr>
    </w:p>
    <w:p w:rsidR="00C34CBE" w:rsidRPr="00FE76A9" w:rsidRDefault="007A37A8" w:rsidP="000E0DCA">
      <w:pPr>
        <w:pStyle w:val="Heading3"/>
      </w:pPr>
      <w:bookmarkStart w:id="537" w:name="_Toc316544917"/>
      <w:r w:rsidRPr="00FE76A9">
        <w:t>Stand-</w:t>
      </w:r>
      <w:r w:rsidR="00C34CBE" w:rsidRPr="00FE76A9">
        <w:t>alone</w:t>
      </w:r>
      <w:bookmarkEnd w:id="537"/>
    </w:p>
    <w:p w:rsidR="00FE76A9" w:rsidRPr="00FE76A9" w:rsidRDefault="00FE76A9" w:rsidP="00FE76A9">
      <w:pPr>
        <w:pStyle w:val="NoSpacing"/>
      </w:pPr>
    </w:p>
    <w:p w:rsidR="001E768A" w:rsidRDefault="00C34CBE" w:rsidP="00986EAF">
      <w:pPr>
        <w:pStyle w:val="DECCnumberingBold"/>
      </w:pPr>
      <w:r w:rsidRPr="00C34CBE">
        <w:t>The FITs stand-alone tariff applies to “Stand-alone (autonomous) solar photovoltaic (not attached to a building and not wired to provide electricity to an occupied building).”</w:t>
      </w:r>
      <w:r w:rsidR="008A56AC">
        <w:t xml:space="preserve"> </w:t>
      </w:r>
      <w:r w:rsidRPr="00C34CBE">
        <w:t>Issues have been raised about this definition</w:t>
      </w:r>
      <w:r w:rsidR="00F74A88">
        <w:t>,</w:t>
      </w:r>
      <w:r w:rsidRPr="00C34CBE">
        <w:t xml:space="preserve"> such as what do “attached to a building” or “occupied” mean?</w:t>
      </w:r>
      <w:r w:rsidR="008A56AC">
        <w:t xml:space="preserve"> </w:t>
      </w:r>
      <w:r w:rsidRPr="00C34CBE">
        <w:t>The purpose of the definition is to differentiate those installations whose principal justification is to generate for export from those whose primary function is to provide power onsite into a building.</w:t>
      </w:r>
      <w:r w:rsidRPr="00C34CBE" w:rsidDel="00907FD1">
        <w:t xml:space="preserve"> </w:t>
      </w:r>
      <w:r w:rsidRPr="00C34CBE">
        <w:t>We are aware of the possibility that there is scope to get around this distinction by providing only token on-site demand in order to get higher on-site tariffs.</w:t>
      </w:r>
      <w:r w:rsidR="008136BD">
        <w:t xml:space="preserve"> </w:t>
      </w:r>
      <w:r w:rsidRPr="00C34CBE">
        <w:t>We could look to clarify the wording of the stand-alone tariff.</w:t>
      </w:r>
    </w:p>
    <w:p w:rsidR="001E768A" w:rsidRDefault="001E768A">
      <w:r>
        <w:br w:type="page"/>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C34CBE" w:rsidRPr="00015C4E" w:rsidTr="00FE76A9">
        <w:trPr>
          <w:jc w:val="center"/>
        </w:trPr>
        <w:tc>
          <w:tcPr>
            <w:tcW w:w="5000" w:type="pct"/>
            <w:gridSpan w:val="2"/>
            <w:shd w:val="clear" w:color="auto" w:fill="CCECF9"/>
            <w:tcMar>
              <w:top w:w="113" w:type="dxa"/>
              <w:bottom w:w="113" w:type="dxa"/>
            </w:tcMar>
          </w:tcPr>
          <w:p w:rsidR="00C34CBE" w:rsidRPr="00226F71" w:rsidRDefault="001E768A" w:rsidP="00C34CBE">
            <w:pPr>
              <w:pStyle w:val="TableTitle"/>
              <w:rPr>
                <w:rStyle w:val="PantoneCyan"/>
                <w:b/>
              </w:rPr>
            </w:pPr>
            <w:r>
              <w:br w:type="page"/>
            </w:r>
            <w:r w:rsidR="00C34CBE" w:rsidRPr="00226F71">
              <w:rPr>
                <w:rStyle w:val="PantoneCyan"/>
                <w:b/>
              </w:rPr>
              <w:t>Consultation Question</w:t>
            </w:r>
            <w:r w:rsidR="00C34CBE">
              <w:rPr>
                <w:rStyle w:val="PantoneCyan"/>
                <w:b/>
              </w:rPr>
              <w:t xml:space="preserve">s: </w:t>
            </w:r>
            <w:r w:rsidR="0031178B">
              <w:rPr>
                <w:rStyle w:val="PantoneCyan"/>
                <w:b/>
                <w:i/>
              </w:rPr>
              <w:t>Please support your response with arguments</w:t>
            </w:r>
            <w:r w:rsidR="007A37A8">
              <w:rPr>
                <w:rStyle w:val="PantoneCyan"/>
                <w:b/>
                <w:i/>
              </w:rPr>
              <w:t xml:space="preserve"> and evidence</w:t>
            </w:r>
          </w:p>
        </w:tc>
      </w:tr>
      <w:tr w:rsidR="00C34CBE" w:rsidRPr="00015C4E" w:rsidTr="00FE76A9">
        <w:trPr>
          <w:jc w:val="center"/>
        </w:trPr>
        <w:tc>
          <w:tcPr>
            <w:tcW w:w="355" w:type="pct"/>
            <w:shd w:val="clear" w:color="auto" w:fill="CCECF9"/>
            <w:tcMar>
              <w:top w:w="113" w:type="dxa"/>
              <w:bottom w:w="113" w:type="dxa"/>
            </w:tcMar>
          </w:tcPr>
          <w:p w:rsidR="00C34CBE" w:rsidRDefault="00E1748A" w:rsidP="00E1748A">
            <w:pPr>
              <w:pStyle w:val="TableText"/>
            </w:pPr>
            <w:r>
              <w:t>22</w:t>
            </w:r>
            <w:r w:rsidR="00493463">
              <w:t>.</w:t>
            </w:r>
          </w:p>
        </w:tc>
        <w:tc>
          <w:tcPr>
            <w:tcW w:w="4645" w:type="pct"/>
            <w:shd w:val="clear" w:color="auto" w:fill="CCECF9"/>
            <w:tcMar>
              <w:top w:w="113" w:type="dxa"/>
              <w:bottom w:w="113" w:type="dxa"/>
            </w:tcMar>
          </w:tcPr>
          <w:p w:rsidR="00C34CBE" w:rsidRPr="00FE76A9" w:rsidRDefault="00C34CBE" w:rsidP="00DA6678">
            <w:pPr>
              <w:spacing w:before="100" w:beforeAutospacing="1" w:after="100" w:afterAutospacing="1"/>
              <w:jc w:val="both"/>
              <w:rPr>
                <w:rFonts w:cs="Arial"/>
                <w:color w:val="000000"/>
              </w:rPr>
            </w:pPr>
            <w:r w:rsidRPr="00FE76A9">
              <w:rPr>
                <w:rFonts w:cs="Arial"/>
                <w:color w:val="000000"/>
              </w:rPr>
              <w:t xml:space="preserve">Do you think that the definition </w:t>
            </w:r>
            <w:r w:rsidR="00AE339E" w:rsidRPr="00FE76A9">
              <w:rPr>
                <w:rFonts w:cs="Arial"/>
                <w:color w:val="000000"/>
              </w:rPr>
              <w:t xml:space="preserve">of stand-alone </w:t>
            </w:r>
            <w:r w:rsidRPr="00FE76A9">
              <w:rPr>
                <w:rFonts w:cs="Arial"/>
                <w:color w:val="000000"/>
              </w:rPr>
              <w:t>needs to be clarified, for example to specify a minimum amount of onsite use?</w:t>
            </w:r>
          </w:p>
        </w:tc>
      </w:tr>
      <w:tr w:rsidR="00C34CBE" w:rsidRPr="00015C4E" w:rsidTr="00FE76A9">
        <w:trPr>
          <w:jc w:val="center"/>
        </w:trPr>
        <w:tc>
          <w:tcPr>
            <w:tcW w:w="355" w:type="pct"/>
            <w:shd w:val="clear" w:color="auto" w:fill="CCECF9"/>
            <w:tcMar>
              <w:top w:w="113" w:type="dxa"/>
              <w:bottom w:w="113" w:type="dxa"/>
            </w:tcMar>
          </w:tcPr>
          <w:p w:rsidR="00C34CBE" w:rsidRPr="00DA6678" w:rsidRDefault="00E1748A" w:rsidP="00E1748A">
            <w:pPr>
              <w:spacing w:before="100" w:beforeAutospacing="1" w:after="100" w:afterAutospacing="1"/>
              <w:jc w:val="both"/>
              <w:rPr>
                <w:rFonts w:cs="Arial"/>
                <w:b/>
                <w:color w:val="000000"/>
              </w:rPr>
            </w:pPr>
            <w:r>
              <w:rPr>
                <w:rFonts w:cs="Arial"/>
                <w:b/>
                <w:color w:val="000000"/>
              </w:rPr>
              <w:t>23</w:t>
            </w:r>
            <w:r w:rsidR="00493463">
              <w:rPr>
                <w:rFonts w:cs="Arial"/>
                <w:b/>
                <w:color w:val="000000"/>
              </w:rPr>
              <w:t>.</w:t>
            </w:r>
          </w:p>
        </w:tc>
        <w:tc>
          <w:tcPr>
            <w:tcW w:w="4645" w:type="pct"/>
            <w:shd w:val="clear" w:color="auto" w:fill="CCECF9"/>
            <w:tcMar>
              <w:top w:w="113" w:type="dxa"/>
              <w:bottom w:w="113" w:type="dxa"/>
            </w:tcMar>
          </w:tcPr>
          <w:p w:rsidR="00C34CBE" w:rsidRPr="00FE76A9" w:rsidRDefault="00C34CBE" w:rsidP="007A37A8">
            <w:pPr>
              <w:spacing w:before="100" w:beforeAutospacing="1" w:after="100" w:afterAutospacing="1"/>
              <w:jc w:val="both"/>
              <w:rPr>
                <w:rFonts w:cs="Arial"/>
                <w:color w:val="000000"/>
              </w:rPr>
            </w:pPr>
            <w:r w:rsidRPr="00FE76A9">
              <w:rPr>
                <w:rFonts w:cs="Arial"/>
                <w:color w:val="000000"/>
              </w:rPr>
              <w:t>Should consideration be given to the use being made of the building</w:t>
            </w:r>
            <w:r w:rsidR="007A37A8" w:rsidRPr="00FE76A9">
              <w:rPr>
                <w:rFonts w:cs="Arial"/>
                <w:color w:val="000000"/>
              </w:rPr>
              <w:t xml:space="preserve"> such as whether </w:t>
            </w:r>
            <w:r w:rsidRPr="00FE76A9">
              <w:rPr>
                <w:rFonts w:cs="Arial"/>
                <w:color w:val="000000"/>
              </w:rPr>
              <w:t>it</w:t>
            </w:r>
            <w:r w:rsidR="007A37A8" w:rsidRPr="00FE76A9">
              <w:rPr>
                <w:rFonts w:cs="Arial"/>
                <w:color w:val="000000"/>
              </w:rPr>
              <w:t xml:space="preserve"> is</w:t>
            </w:r>
            <w:r w:rsidRPr="00FE76A9">
              <w:rPr>
                <w:rFonts w:cs="Arial"/>
                <w:color w:val="000000"/>
              </w:rPr>
              <w:t xml:space="preserve"> occupied?</w:t>
            </w:r>
          </w:p>
        </w:tc>
      </w:tr>
    </w:tbl>
    <w:p w:rsidR="00C34CBE" w:rsidRDefault="00C34CBE" w:rsidP="00A6128A">
      <w:pPr>
        <w:pStyle w:val="Heading4"/>
      </w:pPr>
    </w:p>
    <w:p w:rsidR="00A6128A" w:rsidRPr="000E0DCA" w:rsidRDefault="00A6128A" w:rsidP="000E0DCA">
      <w:pPr>
        <w:pStyle w:val="Heading3"/>
      </w:pPr>
      <w:bookmarkStart w:id="538" w:name="_Toc316544918"/>
      <w:r w:rsidRPr="000E0DCA">
        <w:t>Mobile/Moving installations</w:t>
      </w:r>
      <w:bookmarkEnd w:id="538"/>
    </w:p>
    <w:p w:rsidR="00DA6678" w:rsidRPr="00B27454" w:rsidRDefault="00DA6678" w:rsidP="00986EAF">
      <w:pPr>
        <w:pStyle w:val="DECCnumberingBold"/>
      </w:pPr>
      <w:r w:rsidRPr="00B27454">
        <w:t>In the context of the definition of a FITs-eligible site, we are aware that a number of proposals have been put to Ofgem for installations which can be moved around.</w:t>
      </w:r>
      <w:r w:rsidR="008A56AC">
        <w:t xml:space="preserve"> </w:t>
      </w:r>
      <w:r w:rsidRPr="00B27454">
        <w:t xml:space="preserve">Such installations include those mounted on boats, trains and </w:t>
      </w:r>
      <w:proofErr w:type="spellStart"/>
      <w:r w:rsidRPr="00B27454">
        <w:t>relocatable</w:t>
      </w:r>
      <w:proofErr w:type="spellEnd"/>
      <w:r w:rsidRPr="00B27454">
        <w:t xml:space="preserve"> buildings (e.g. </w:t>
      </w:r>
      <w:proofErr w:type="spellStart"/>
      <w:r w:rsidRPr="00B27454">
        <w:t>portakabins</w:t>
      </w:r>
      <w:proofErr w:type="spellEnd"/>
      <w:r w:rsidRPr="00B27454">
        <w:t>).</w:t>
      </w:r>
      <w:r w:rsidR="008A56AC">
        <w:t xml:space="preserve"> </w:t>
      </w:r>
      <w:r w:rsidRPr="00B27454">
        <w:t>Because of the definition of “site”, these installations have been effectively excluded from</w:t>
      </w:r>
      <w:r w:rsidR="008A56AC">
        <w:t xml:space="preserve"> </w:t>
      </w:r>
      <w:r w:rsidRPr="00B27454">
        <w:t>FITs. Because of the difficulty of defining these installations and their generally small size,</w:t>
      </w:r>
      <w:r w:rsidR="007A37A8">
        <w:t xml:space="preserve"> and for the removal of doubt</w:t>
      </w:r>
      <w:r w:rsidRPr="00B27454">
        <w:t xml:space="preserve"> we propose to make it clear that mobile installations are </w:t>
      </w:r>
      <w:r w:rsidR="007A37A8">
        <w:t xml:space="preserve">definitely </w:t>
      </w:r>
      <w:r w:rsidRPr="00B27454">
        <w:t>not eligible for FITs.</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DA6678" w:rsidRPr="00015C4E" w:rsidTr="00FE76A9">
        <w:trPr>
          <w:jc w:val="center"/>
        </w:trPr>
        <w:tc>
          <w:tcPr>
            <w:tcW w:w="5000" w:type="pct"/>
            <w:gridSpan w:val="2"/>
            <w:shd w:val="clear" w:color="auto" w:fill="CCECF9"/>
            <w:tcMar>
              <w:top w:w="113" w:type="dxa"/>
              <w:bottom w:w="113" w:type="dxa"/>
            </w:tcMar>
          </w:tcPr>
          <w:p w:rsidR="00DA6678" w:rsidRPr="00FE76A9" w:rsidRDefault="00DA6678" w:rsidP="00DA6678">
            <w:pPr>
              <w:pStyle w:val="TableTitle"/>
              <w:rPr>
                <w:rStyle w:val="PantoneCyan"/>
                <w:b/>
                <w:color w:val="00B0F0"/>
              </w:rPr>
            </w:pPr>
            <w:r w:rsidRPr="00FE76A9">
              <w:rPr>
                <w:rStyle w:val="PantoneCyan"/>
                <w:b/>
                <w:color w:val="00B0F0"/>
              </w:rPr>
              <w:t xml:space="preserve">Consultation Questions: </w:t>
            </w:r>
            <w:r w:rsidR="0031178B" w:rsidRPr="00FE76A9">
              <w:rPr>
                <w:rStyle w:val="PantoneCyan"/>
                <w:b/>
                <w:i/>
                <w:color w:val="00B0F0"/>
              </w:rPr>
              <w:t>Please support your response with arguments</w:t>
            </w:r>
            <w:r w:rsidR="007A37A8" w:rsidRPr="00FE76A9">
              <w:rPr>
                <w:rStyle w:val="PantoneCyan"/>
                <w:b/>
                <w:i/>
                <w:color w:val="00B0F0"/>
              </w:rPr>
              <w:t xml:space="preserve"> and evidence</w:t>
            </w:r>
          </w:p>
        </w:tc>
      </w:tr>
      <w:tr w:rsidR="00DA6678" w:rsidRPr="00015C4E" w:rsidTr="00FE76A9">
        <w:trPr>
          <w:jc w:val="center"/>
        </w:trPr>
        <w:tc>
          <w:tcPr>
            <w:tcW w:w="355" w:type="pct"/>
            <w:shd w:val="clear" w:color="auto" w:fill="CCECF9"/>
            <w:tcMar>
              <w:top w:w="113" w:type="dxa"/>
              <w:bottom w:w="113" w:type="dxa"/>
            </w:tcMar>
          </w:tcPr>
          <w:p w:rsidR="00DA6678" w:rsidRPr="00015C4E" w:rsidRDefault="00E1748A" w:rsidP="00E1748A">
            <w:pPr>
              <w:pStyle w:val="TableText"/>
            </w:pPr>
            <w:r>
              <w:t>24</w:t>
            </w:r>
            <w:r w:rsidR="00493463">
              <w:t>.</w:t>
            </w:r>
          </w:p>
        </w:tc>
        <w:tc>
          <w:tcPr>
            <w:tcW w:w="4645" w:type="pct"/>
            <w:shd w:val="clear" w:color="auto" w:fill="CCECF9"/>
            <w:tcMar>
              <w:top w:w="113" w:type="dxa"/>
              <w:bottom w:w="113" w:type="dxa"/>
            </w:tcMar>
          </w:tcPr>
          <w:p w:rsidR="00DA6678" w:rsidRPr="00FE76A9" w:rsidRDefault="00DA6678" w:rsidP="00DA6678">
            <w:pPr>
              <w:spacing w:before="100" w:beforeAutospacing="1" w:after="100" w:afterAutospacing="1"/>
              <w:jc w:val="both"/>
              <w:rPr>
                <w:rFonts w:cs="Arial"/>
                <w:color w:val="000000"/>
              </w:rPr>
            </w:pPr>
            <w:r w:rsidRPr="00FE76A9">
              <w:rPr>
                <w:rFonts w:cs="Arial"/>
                <w:color w:val="000000"/>
              </w:rPr>
              <w:t>Do you agree with DECC’s position</w:t>
            </w:r>
            <w:r w:rsidR="00696F5B" w:rsidRPr="00FE76A9">
              <w:rPr>
                <w:rFonts w:cs="Arial"/>
                <w:color w:val="000000"/>
              </w:rPr>
              <w:t xml:space="preserve"> on mobile installations</w:t>
            </w:r>
            <w:r w:rsidRPr="00FE76A9">
              <w:rPr>
                <w:rFonts w:cs="Arial"/>
                <w:color w:val="000000"/>
              </w:rPr>
              <w:t>?</w:t>
            </w:r>
            <w:r w:rsidR="000617DE" w:rsidRPr="00FE76A9">
              <w:rPr>
                <w:rFonts w:cs="Arial"/>
                <w:color w:val="000000"/>
              </w:rPr>
              <w:t xml:space="preserve"> If not, what alternative would you propose?</w:t>
            </w:r>
          </w:p>
        </w:tc>
      </w:tr>
    </w:tbl>
    <w:p w:rsidR="004852AD" w:rsidRPr="00FE76A9" w:rsidRDefault="004852AD" w:rsidP="004852AD">
      <w:pPr>
        <w:pStyle w:val="ListParagraph1"/>
        <w:spacing w:after="0" w:line="240" w:lineRule="auto"/>
        <w:ind w:left="360"/>
        <w:rPr>
          <w:rFonts w:ascii="Arial" w:hAnsi="Arial" w:cs="Arial"/>
          <w:color w:val="00B0F0"/>
          <w:sz w:val="28"/>
          <w:szCs w:val="28"/>
        </w:rPr>
      </w:pPr>
    </w:p>
    <w:p w:rsidR="009B3DFA" w:rsidRPr="000E0DCA" w:rsidRDefault="009B3DFA" w:rsidP="000E0DCA">
      <w:pPr>
        <w:pStyle w:val="Heading3"/>
      </w:pPr>
      <w:bookmarkStart w:id="539" w:name="OLE_LINK5"/>
      <w:bookmarkStart w:id="540" w:name="_Toc316544919"/>
      <w:r w:rsidRPr="000E0DCA">
        <w:t>Commissioned</w:t>
      </w:r>
      <w:bookmarkEnd w:id="540"/>
    </w:p>
    <w:p w:rsidR="00462798" w:rsidRDefault="00462798" w:rsidP="00986EAF">
      <w:pPr>
        <w:pStyle w:val="DECCnumberingBold"/>
      </w:pPr>
      <w:r>
        <w:t xml:space="preserve">Some stakeholders have suggested that there is some ambiguity in the definition of “commissioned” used in the FIT licence conditions. For example, the terms “capable” and “demonstrate” contained within the current definition could make it unclear as to whether installations need to be operating before they can be regarded as “commissioned”. Any ambiguity may create risk, especially in the context of </w:t>
      </w:r>
      <w:proofErr w:type="spellStart"/>
      <w:r>
        <w:t>degressing</w:t>
      </w:r>
      <w:proofErr w:type="spellEnd"/>
      <w:r>
        <w:t xml:space="preserve"> tariffs and eligibility date</w:t>
      </w:r>
      <w:r w:rsidR="00687D25">
        <w:t>,</w:t>
      </w:r>
      <w:r>
        <w:t xml:space="preserve"> where it is important to establish the point at which an installation has actually commenced operation.</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9B3DFA" w:rsidRPr="00015C4E" w:rsidTr="00FE76A9">
        <w:trPr>
          <w:jc w:val="center"/>
        </w:trPr>
        <w:tc>
          <w:tcPr>
            <w:tcW w:w="5000" w:type="pct"/>
            <w:gridSpan w:val="2"/>
            <w:shd w:val="clear" w:color="auto" w:fill="CCECF9"/>
            <w:tcMar>
              <w:top w:w="113" w:type="dxa"/>
              <w:bottom w:w="113" w:type="dxa"/>
            </w:tcMar>
          </w:tcPr>
          <w:p w:rsidR="009B3DFA" w:rsidRPr="00226F71" w:rsidRDefault="009B3DFA" w:rsidP="00A442CB">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7A37A8">
              <w:rPr>
                <w:rStyle w:val="PantoneCyan"/>
                <w:b/>
                <w:i/>
              </w:rPr>
              <w:t xml:space="preserve"> and evidence</w:t>
            </w:r>
          </w:p>
        </w:tc>
      </w:tr>
      <w:tr w:rsidR="009B3DFA" w:rsidRPr="00015C4E" w:rsidTr="00FE76A9">
        <w:trPr>
          <w:jc w:val="center"/>
        </w:trPr>
        <w:tc>
          <w:tcPr>
            <w:tcW w:w="355" w:type="pct"/>
            <w:shd w:val="clear" w:color="auto" w:fill="CCECF9"/>
            <w:tcMar>
              <w:top w:w="113" w:type="dxa"/>
              <w:bottom w:w="113" w:type="dxa"/>
            </w:tcMar>
          </w:tcPr>
          <w:p w:rsidR="009B3DFA" w:rsidRDefault="00E1748A" w:rsidP="00E1748A">
            <w:pPr>
              <w:pStyle w:val="TableText"/>
            </w:pPr>
            <w:r>
              <w:t>25</w:t>
            </w:r>
            <w:r w:rsidR="009B3DFA">
              <w:t>.</w:t>
            </w:r>
          </w:p>
        </w:tc>
        <w:tc>
          <w:tcPr>
            <w:tcW w:w="4645" w:type="pct"/>
            <w:shd w:val="clear" w:color="auto" w:fill="CCECF9"/>
            <w:tcMar>
              <w:top w:w="113" w:type="dxa"/>
              <w:bottom w:w="113" w:type="dxa"/>
            </w:tcMar>
          </w:tcPr>
          <w:p w:rsidR="009B3DFA" w:rsidRPr="00FE76A9" w:rsidRDefault="009B3DFA" w:rsidP="003C2EA9">
            <w:pPr>
              <w:spacing w:before="100" w:beforeAutospacing="1" w:after="100" w:afterAutospacing="1"/>
              <w:rPr>
                <w:rFonts w:cs="Arial"/>
                <w:color w:val="000000"/>
              </w:rPr>
            </w:pPr>
            <w:r w:rsidRPr="00FE76A9">
              <w:rPr>
                <w:rFonts w:cs="Arial"/>
                <w:color w:val="000000"/>
              </w:rPr>
              <w:t xml:space="preserve">Do you think that the definition of “commissioned” needs to be clarified, </w:t>
            </w:r>
            <w:r w:rsidR="003C2EA9">
              <w:rPr>
                <w:rFonts w:cs="Arial"/>
                <w:color w:val="000000"/>
              </w:rPr>
              <w:t>e.g.</w:t>
            </w:r>
            <w:r w:rsidRPr="00FE76A9">
              <w:rPr>
                <w:rFonts w:cs="Arial"/>
                <w:color w:val="000000"/>
              </w:rPr>
              <w:t xml:space="preserve"> to specify that the installation needs to be in operation and generating electricity on which FIT generation/export payments can be made?</w:t>
            </w:r>
          </w:p>
        </w:tc>
      </w:tr>
    </w:tbl>
    <w:p w:rsidR="00FE76A9" w:rsidRDefault="00FE76A9" w:rsidP="00FE76A9">
      <w:pPr>
        <w:pStyle w:val="NoSpacing"/>
      </w:pPr>
    </w:p>
    <w:p w:rsidR="000E0DCA" w:rsidRDefault="000E0DCA" w:rsidP="00FE76A9">
      <w:pPr>
        <w:pStyle w:val="NoSpacing"/>
        <w:rPr>
          <w:b/>
          <w:color w:val="00B0F0"/>
          <w:sz w:val="28"/>
          <w:szCs w:val="28"/>
        </w:rPr>
      </w:pPr>
    </w:p>
    <w:p w:rsidR="00A855DC" w:rsidRPr="00FE76A9" w:rsidRDefault="005F0CAB" w:rsidP="00FE76A9">
      <w:pPr>
        <w:pStyle w:val="NoSpacing"/>
        <w:rPr>
          <w:b/>
          <w:color w:val="00B0F0"/>
          <w:sz w:val="28"/>
          <w:szCs w:val="28"/>
        </w:rPr>
      </w:pPr>
      <w:r w:rsidRPr="00FE76A9">
        <w:rPr>
          <w:b/>
          <w:color w:val="00B0F0"/>
          <w:sz w:val="28"/>
          <w:szCs w:val="28"/>
        </w:rPr>
        <w:t>Pre</w:t>
      </w:r>
      <w:r w:rsidR="00155371" w:rsidRPr="00FE76A9">
        <w:rPr>
          <w:b/>
          <w:color w:val="00B0F0"/>
          <w:sz w:val="28"/>
          <w:szCs w:val="28"/>
        </w:rPr>
        <w:t xml:space="preserve">liminary </w:t>
      </w:r>
      <w:r w:rsidRPr="00FE76A9">
        <w:rPr>
          <w:b/>
          <w:color w:val="00B0F0"/>
          <w:sz w:val="28"/>
          <w:szCs w:val="28"/>
        </w:rPr>
        <w:t>accreditation</w:t>
      </w:r>
      <w:r w:rsidR="0029461F" w:rsidRPr="00FE76A9">
        <w:rPr>
          <w:b/>
          <w:color w:val="00B0F0"/>
          <w:sz w:val="28"/>
          <w:szCs w:val="28"/>
        </w:rPr>
        <w:t xml:space="preserve"> and tariff guarantees</w:t>
      </w:r>
    </w:p>
    <w:p w:rsidR="00FE76A9" w:rsidRPr="00FE76A9" w:rsidRDefault="00FE76A9" w:rsidP="00FE76A9">
      <w:pPr>
        <w:pStyle w:val="NoSpacing"/>
      </w:pPr>
    </w:p>
    <w:p w:rsidR="00C67CBE" w:rsidRDefault="00071852" w:rsidP="00986EAF">
      <w:pPr>
        <w:pStyle w:val="DECCnumberingBold"/>
      </w:pPr>
      <w:r w:rsidRPr="00B27454">
        <w:t xml:space="preserve">The Renewables Obligation (RO), which runs </w:t>
      </w:r>
      <w:r w:rsidRPr="00F21243">
        <w:t xml:space="preserve">parallel with the FITs Scheme targeting larger scale installations and technologies not covered by FITs, provides the option for an installation to seek preliminary accreditation. </w:t>
      </w:r>
      <w:r w:rsidRPr="00B27454">
        <w:t xml:space="preserve">Preliminary accreditation gives applicants more certainty about future accreditation </w:t>
      </w:r>
      <w:r w:rsidR="00C256B5">
        <w:t>before making major financial commitments</w:t>
      </w:r>
      <w:r w:rsidRPr="00B27454">
        <w:t xml:space="preserve">. Once preliminary accreditation has been granted, it is only in certain situations that accreditation would not be granted automatically when applied </w:t>
      </w:r>
      <w:r w:rsidR="00702BC1">
        <w:t>for</w:t>
      </w:r>
      <w:r w:rsidR="00687D25">
        <w:t>,</w:t>
      </w:r>
      <w:r w:rsidR="00702BC1">
        <w:t xml:space="preserve"> </w:t>
      </w:r>
      <w:r w:rsidRPr="00B27454">
        <w:t>once the installation has commissioned</w:t>
      </w:r>
      <w:r w:rsidR="00C67CBE">
        <w:t>.</w:t>
      </w:r>
    </w:p>
    <w:p w:rsidR="00C67CBE" w:rsidRPr="00F21243" w:rsidRDefault="00C67CBE" w:rsidP="00986EAF">
      <w:pPr>
        <w:pStyle w:val="DECCnumberingBold"/>
      </w:pPr>
      <w:r w:rsidRPr="00F21243">
        <w:t xml:space="preserve">Many stakeholders have called for the establishment of a similar feature within the FITs scheme. They claim that the absence of a preliminary accreditation process can provide an element of uncertainty </w:t>
      </w:r>
      <w:r w:rsidR="006E7F5E">
        <w:t>before</w:t>
      </w:r>
      <w:r w:rsidRPr="00F21243">
        <w:t xml:space="preserve"> commissioning in regard to a number of issues that will affect its financial viability, including:</w:t>
      </w:r>
    </w:p>
    <w:p w:rsidR="00C67CBE" w:rsidRPr="00B27454" w:rsidRDefault="00C67CBE" w:rsidP="009D7263">
      <w:pPr>
        <w:numPr>
          <w:ilvl w:val="0"/>
          <w:numId w:val="7"/>
        </w:numPr>
        <w:spacing w:after="0"/>
        <w:jc w:val="both"/>
        <w:rPr>
          <w:rStyle w:val="yiv1636427688apple-style-span"/>
          <w:rFonts w:cs="Arial"/>
          <w:color w:val="000000"/>
        </w:rPr>
      </w:pPr>
      <w:r w:rsidRPr="00B27454">
        <w:rPr>
          <w:rStyle w:val="yiv1636427688apple-style-span"/>
          <w:rFonts w:cs="Arial"/>
          <w:color w:val="000000"/>
        </w:rPr>
        <w:t>whether a particular installation can be expected to meet the FITs eligibility criteria;</w:t>
      </w:r>
    </w:p>
    <w:p w:rsidR="00C67CBE" w:rsidRPr="00B27454" w:rsidRDefault="00C67CBE" w:rsidP="009D7263">
      <w:pPr>
        <w:numPr>
          <w:ilvl w:val="0"/>
          <w:numId w:val="7"/>
        </w:numPr>
        <w:spacing w:after="0"/>
        <w:jc w:val="both"/>
        <w:rPr>
          <w:rStyle w:val="yiv1636427688apple-style-span"/>
          <w:rFonts w:cs="Arial"/>
          <w:color w:val="000000"/>
        </w:rPr>
      </w:pPr>
      <w:r w:rsidRPr="00B27454">
        <w:rPr>
          <w:rStyle w:val="yiv1636427688apple-style-span"/>
          <w:rFonts w:cs="Arial"/>
          <w:color w:val="000000"/>
        </w:rPr>
        <w:t>the capacity;</w:t>
      </w:r>
    </w:p>
    <w:p w:rsidR="003621C2" w:rsidRDefault="00C67CBE" w:rsidP="009D7263">
      <w:pPr>
        <w:numPr>
          <w:ilvl w:val="0"/>
          <w:numId w:val="7"/>
        </w:numPr>
        <w:spacing w:after="0"/>
        <w:jc w:val="both"/>
        <w:rPr>
          <w:rStyle w:val="yiv1636427688apple-style-span"/>
          <w:rFonts w:cs="Arial"/>
          <w:color w:val="000000"/>
        </w:rPr>
      </w:pPr>
      <w:r w:rsidRPr="00B27454">
        <w:rPr>
          <w:rStyle w:val="yiv1636427688apple-style-span"/>
          <w:rFonts w:cs="Arial"/>
          <w:color w:val="000000"/>
        </w:rPr>
        <w:t>whether a complex installation will be considered as one or more sites</w:t>
      </w:r>
    </w:p>
    <w:p w:rsidR="00C67CBE" w:rsidRDefault="003621C2" w:rsidP="009D7263">
      <w:pPr>
        <w:numPr>
          <w:ilvl w:val="0"/>
          <w:numId w:val="7"/>
        </w:numPr>
        <w:spacing w:after="0"/>
        <w:jc w:val="both"/>
        <w:rPr>
          <w:rStyle w:val="yiv1636427688apple-style-span"/>
          <w:rFonts w:cs="Arial"/>
          <w:color w:val="000000"/>
        </w:rPr>
      </w:pPr>
      <w:r>
        <w:rPr>
          <w:rStyle w:val="yiv1636427688apple-style-span"/>
          <w:rFonts w:cs="Arial"/>
          <w:color w:val="000000"/>
        </w:rPr>
        <w:t xml:space="preserve">the tariff level that would apply, in the context of frequently </w:t>
      </w:r>
      <w:r w:rsidR="00551327">
        <w:rPr>
          <w:rStyle w:val="yiv1636427688apple-style-span"/>
          <w:rFonts w:cs="Arial"/>
          <w:color w:val="000000"/>
        </w:rPr>
        <w:t>changing</w:t>
      </w:r>
      <w:r>
        <w:rPr>
          <w:rStyle w:val="yiv1636427688apple-style-span"/>
          <w:rFonts w:cs="Arial"/>
          <w:color w:val="000000"/>
        </w:rPr>
        <w:t xml:space="preserve"> tariffs where the duration of availability of a particular tariff is less than the project lead time. </w:t>
      </w:r>
    </w:p>
    <w:p w:rsidR="00C21134" w:rsidRDefault="00C21134" w:rsidP="00C21134">
      <w:pPr>
        <w:spacing w:after="0"/>
        <w:ind w:left="1800"/>
        <w:jc w:val="both"/>
        <w:rPr>
          <w:rStyle w:val="yiv1636427688apple-style-span"/>
          <w:rFonts w:cs="Arial"/>
          <w:color w:val="000000"/>
        </w:rPr>
      </w:pPr>
    </w:p>
    <w:p w:rsidR="009075CD" w:rsidRDefault="00C67CBE" w:rsidP="00986EAF">
      <w:pPr>
        <w:pStyle w:val="DECCnumberingBold"/>
      </w:pPr>
      <w:r w:rsidRPr="00F21243">
        <w:t>We recognise the value of a preliminary accreditation proce</w:t>
      </w:r>
      <w:r w:rsidR="00702BC1">
        <w:t xml:space="preserve">ss, along the lines of the </w:t>
      </w:r>
      <w:r w:rsidR="008C5DB6">
        <w:t xml:space="preserve">RO. </w:t>
      </w:r>
      <w:r w:rsidR="00387AD0">
        <w:t>W</w:t>
      </w:r>
      <w:r w:rsidRPr="00B27454">
        <w:t xml:space="preserve">e believe that preliminary accreditation should be </w:t>
      </w:r>
      <w:r w:rsidR="0031796C">
        <w:t>offered</w:t>
      </w:r>
      <w:r w:rsidR="0031796C" w:rsidRPr="00B27454">
        <w:t xml:space="preserve"> </w:t>
      </w:r>
      <w:r w:rsidRPr="00B27454">
        <w:t xml:space="preserve">to </w:t>
      </w:r>
      <w:r w:rsidR="008D0797">
        <w:t>wind projects over 50</w:t>
      </w:r>
      <w:r w:rsidR="00835A2B">
        <w:t>k</w:t>
      </w:r>
      <w:r w:rsidR="008D0797">
        <w:t xml:space="preserve">W and all </w:t>
      </w:r>
      <w:r w:rsidR="0031796C">
        <w:t>hydro</w:t>
      </w:r>
      <w:r w:rsidR="008D0797">
        <w:t xml:space="preserve"> and</w:t>
      </w:r>
      <w:r w:rsidR="0031796C">
        <w:t xml:space="preserve"> anaerobic digestion</w:t>
      </w:r>
      <w:r w:rsidR="008D0797">
        <w:t xml:space="preserve"> </w:t>
      </w:r>
      <w:r w:rsidR="003621C2">
        <w:t xml:space="preserve">installations </w:t>
      </w:r>
      <w:r w:rsidR="0031796C">
        <w:t>i</w:t>
      </w:r>
      <w:r w:rsidR="00473D14">
        <w:t>.</w:t>
      </w:r>
      <w:r w:rsidR="0031796C">
        <w:t>e</w:t>
      </w:r>
      <w:r w:rsidR="00473D14">
        <w:t>.</w:t>
      </w:r>
      <w:r w:rsidR="0031796C">
        <w:t xml:space="preserve"> those </w:t>
      </w:r>
      <w:r w:rsidR="003621C2">
        <w:t xml:space="preserve">that </w:t>
      </w:r>
      <w:r w:rsidR="008D0797">
        <w:t>are</w:t>
      </w:r>
      <w:r w:rsidR="003621C2">
        <w:t xml:space="preserve"> eligible for </w:t>
      </w:r>
      <w:r w:rsidRPr="00B27454">
        <w:t xml:space="preserve">ROO-FIT. Projects eligible under the </w:t>
      </w:r>
      <w:r w:rsidR="003621C2">
        <w:t xml:space="preserve">MCS-FIT </w:t>
      </w:r>
      <w:r w:rsidR="00551327">
        <w:t>accreditation</w:t>
      </w:r>
      <w:r w:rsidR="003621C2">
        <w:t xml:space="preserve"> route </w:t>
      </w:r>
      <w:r w:rsidRPr="00B27454">
        <w:t xml:space="preserve">are </w:t>
      </w:r>
      <w:r w:rsidR="0031796C">
        <w:t xml:space="preserve">generally </w:t>
      </w:r>
      <w:r w:rsidRPr="00B27454">
        <w:t>much smaller than those seeking support under ROO</w:t>
      </w:r>
      <w:r w:rsidR="00437D53">
        <w:t>-</w:t>
      </w:r>
      <w:r w:rsidRPr="00B27454">
        <w:t>FIT. There would be few FITs installations that would need pre</w:t>
      </w:r>
      <w:r w:rsidR="003621C2">
        <w:t xml:space="preserve">liminary </w:t>
      </w:r>
      <w:r w:rsidRPr="00B27454">
        <w:t>accreditation in order to provide comfort for investors, and we do not wish to complicate what was intended to be a scheme unhampered by unnecessary bureaucracy.</w:t>
      </w:r>
      <w:r w:rsidR="00032EC6">
        <w:t xml:space="preserve"> </w:t>
      </w:r>
      <w:r w:rsidR="003621C2">
        <w:t xml:space="preserve">We also consider that the </w:t>
      </w:r>
      <w:r w:rsidR="00456054">
        <w:t xml:space="preserve">relatively </w:t>
      </w:r>
      <w:r w:rsidR="003621C2">
        <w:t>short</w:t>
      </w:r>
      <w:r w:rsidR="003B5CF9">
        <w:t>er</w:t>
      </w:r>
      <w:r w:rsidR="003621C2">
        <w:t xml:space="preserve"> lead-t</w:t>
      </w:r>
      <w:r w:rsidR="0031796C">
        <w:t>i</w:t>
      </w:r>
      <w:r w:rsidR="003621C2">
        <w:t xml:space="preserve">mes for PV installations </w:t>
      </w:r>
      <w:r w:rsidR="003B5CF9">
        <w:t xml:space="preserve">than for other technologies </w:t>
      </w:r>
      <w:r w:rsidR="003621C2">
        <w:t>makes preliminary accreditation unnecessary.</w:t>
      </w:r>
    </w:p>
    <w:p w:rsidR="00A327ED" w:rsidRDefault="00387AD0" w:rsidP="00A327ED">
      <w:pPr>
        <w:pStyle w:val="DECCnumberingBold"/>
        <w:spacing w:after="0"/>
        <w:ind w:hanging="357"/>
      </w:pPr>
      <w:r>
        <w:t>We also propose that a project that is given preliminary accreditation would be eligible for the tariff payable at the time of accreditation. There are however a number of issues that would need to be resolved in designing a system of preliminary accreditation and tariff guarantees and</w:t>
      </w:r>
      <w:r w:rsidR="00A327ED">
        <w:t xml:space="preserve"> we are seeking views on these.</w:t>
      </w:r>
    </w:p>
    <w:p w:rsidR="00A327ED" w:rsidRDefault="00A327ED" w:rsidP="00A327ED">
      <w:pPr>
        <w:pStyle w:val="DECCnumberingBold"/>
        <w:numPr>
          <w:ilvl w:val="0"/>
          <w:numId w:val="0"/>
        </w:numPr>
        <w:spacing w:after="0"/>
        <w:ind w:left="426"/>
      </w:pPr>
    </w:p>
    <w:p w:rsidR="00387AD0" w:rsidRDefault="00387AD0" w:rsidP="00A327ED">
      <w:pPr>
        <w:pStyle w:val="DECCnumberingBold"/>
        <w:spacing w:after="0"/>
        <w:ind w:hanging="357"/>
      </w:pPr>
      <w:r>
        <w:t>The major issues are:</w:t>
      </w:r>
    </w:p>
    <w:p w:rsidR="00387AD0" w:rsidRDefault="00387AD0" w:rsidP="00A327ED">
      <w:pPr>
        <w:pStyle w:val="DECCnumberingBold"/>
        <w:numPr>
          <w:ilvl w:val="0"/>
          <w:numId w:val="43"/>
        </w:numPr>
        <w:spacing w:after="0"/>
        <w:ind w:hanging="357"/>
      </w:pPr>
      <w:r>
        <w:t>at what stage would projects be eligible e.g. with planning approval, grid connection offer? or other factors?</w:t>
      </w:r>
    </w:p>
    <w:p w:rsidR="0013088F" w:rsidRDefault="00387AD0" w:rsidP="00A327ED">
      <w:pPr>
        <w:pStyle w:val="DECCnumberingBold"/>
        <w:numPr>
          <w:ilvl w:val="0"/>
          <w:numId w:val="43"/>
        </w:numPr>
        <w:spacing w:after="0"/>
        <w:ind w:hanging="357"/>
      </w:pPr>
      <w:r>
        <w:t xml:space="preserve">how long should the guarantee of tariffs last? </w:t>
      </w:r>
    </w:p>
    <w:p w:rsidR="00387AD0" w:rsidRDefault="0013088F" w:rsidP="00A327ED">
      <w:pPr>
        <w:pStyle w:val="DECCnumberingBold"/>
        <w:numPr>
          <w:ilvl w:val="0"/>
          <w:numId w:val="43"/>
        </w:numPr>
        <w:spacing w:after="0"/>
        <w:ind w:hanging="357"/>
      </w:pPr>
      <w:r>
        <w:t>s</w:t>
      </w:r>
      <w:r w:rsidR="00387AD0">
        <w:t>hould ther</w:t>
      </w:r>
      <w:r>
        <w:t>e</w:t>
      </w:r>
      <w:r w:rsidR="00387AD0">
        <w:t xml:space="preserve"> be a penalty for uncompleted projects</w:t>
      </w:r>
      <w:r>
        <w:t xml:space="preserve"> to prevent speculative applications</w:t>
      </w:r>
      <w:r w:rsidR="00387AD0">
        <w:t>?</w:t>
      </w:r>
    </w:p>
    <w:p w:rsidR="0013088F" w:rsidRDefault="0013088F" w:rsidP="00A327ED">
      <w:pPr>
        <w:pStyle w:val="DECCnumberingBold"/>
        <w:numPr>
          <w:ilvl w:val="0"/>
          <w:numId w:val="43"/>
        </w:numPr>
        <w:spacing w:after="0"/>
        <w:ind w:hanging="357"/>
      </w:pPr>
      <w:r>
        <w:t>what modification to the original application should be tolerated and still receive the tariff guarantee?</w:t>
      </w:r>
    </w:p>
    <w:p w:rsidR="00A327ED" w:rsidRDefault="001E768A" w:rsidP="003C2EA9">
      <w:pPr>
        <w:pStyle w:val="DECCnumberingBold"/>
      </w:pPr>
      <w:r>
        <w:br w:type="page"/>
      </w:r>
      <w:r w:rsidR="003B5CF9" w:rsidRPr="0013088F">
        <w:lastRenderedPageBreak/>
        <w:t>W</w:t>
      </w:r>
      <w:r w:rsidR="0013088F">
        <w:t xml:space="preserve">e propose that projects that have obtained </w:t>
      </w:r>
      <w:r w:rsidR="003B5CF9" w:rsidRPr="0013088F">
        <w:t xml:space="preserve">preliminary accreditation </w:t>
      </w:r>
      <w:r w:rsidR="0013088F">
        <w:t xml:space="preserve">should </w:t>
      </w:r>
      <w:r w:rsidR="003B5CF9" w:rsidRPr="0013088F">
        <w:t>count as ‘deploy</w:t>
      </w:r>
      <w:r w:rsidR="0013088F">
        <w:t>ed</w:t>
      </w:r>
      <w:r w:rsidR="003B5CF9" w:rsidRPr="0013088F">
        <w:t>’ for the purpose</w:t>
      </w:r>
      <w:r w:rsidR="0013088F">
        <w:t xml:space="preserve"> of triggering early </w:t>
      </w:r>
      <w:proofErr w:type="spellStart"/>
      <w:r w:rsidR="0013088F">
        <w:t>degression</w:t>
      </w:r>
      <w:proofErr w:type="spellEnd"/>
      <w:r w:rsidR="0013088F">
        <w:t>.</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F75D58" w:rsidRPr="007535D6" w:rsidTr="00FE76A9">
        <w:trPr>
          <w:jc w:val="center"/>
        </w:trPr>
        <w:tc>
          <w:tcPr>
            <w:tcW w:w="5000" w:type="pct"/>
            <w:gridSpan w:val="2"/>
            <w:shd w:val="clear" w:color="auto" w:fill="CCECF9"/>
            <w:tcMar>
              <w:top w:w="113" w:type="dxa"/>
              <w:bottom w:w="113" w:type="dxa"/>
            </w:tcMar>
          </w:tcPr>
          <w:p w:rsidR="00F75D58" w:rsidRPr="005F0CAB" w:rsidRDefault="00A327ED" w:rsidP="00A65B61">
            <w:pPr>
              <w:pStyle w:val="TableTitle"/>
              <w:rPr>
                <w:rStyle w:val="PantoneCyan"/>
                <w:b/>
              </w:rPr>
            </w:pPr>
            <w:r>
              <w:br w:type="page"/>
            </w:r>
            <w:bookmarkEnd w:id="539"/>
            <w:r w:rsidR="00D04557" w:rsidRPr="00226F71">
              <w:rPr>
                <w:rStyle w:val="PantoneCyan"/>
                <w:b/>
              </w:rPr>
              <w:t>Consultation Question</w:t>
            </w:r>
            <w:r w:rsidR="00D04557">
              <w:rPr>
                <w:rStyle w:val="PantoneCyan"/>
                <w:b/>
              </w:rPr>
              <w:t xml:space="preserve">s: </w:t>
            </w:r>
            <w:r w:rsidR="0031178B">
              <w:rPr>
                <w:rStyle w:val="PantoneCyan"/>
                <w:b/>
                <w:i/>
              </w:rPr>
              <w:t>Please support your response with arguments</w:t>
            </w:r>
            <w:r w:rsidR="007A37A8">
              <w:rPr>
                <w:rStyle w:val="PantoneCyan"/>
                <w:b/>
                <w:i/>
              </w:rPr>
              <w:t xml:space="preserve"> and evidence</w:t>
            </w:r>
          </w:p>
        </w:tc>
      </w:tr>
      <w:tr w:rsidR="00F75D58" w:rsidRPr="007535D6" w:rsidTr="00FE76A9">
        <w:trPr>
          <w:jc w:val="center"/>
        </w:trPr>
        <w:tc>
          <w:tcPr>
            <w:tcW w:w="355" w:type="pct"/>
            <w:shd w:val="clear" w:color="auto" w:fill="CCECF9"/>
            <w:tcMar>
              <w:top w:w="113" w:type="dxa"/>
              <w:bottom w:w="113" w:type="dxa"/>
            </w:tcMar>
          </w:tcPr>
          <w:p w:rsidR="00F75D58" w:rsidRPr="005F0CAB" w:rsidRDefault="00E1748A" w:rsidP="00E1748A">
            <w:pPr>
              <w:pStyle w:val="TableText"/>
            </w:pPr>
            <w:r>
              <w:t>26</w:t>
            </w:r>
            <w:r w:rsidR="00BC49A1">
              <w:t>.</w:t>
            </w:r>
          </w:p>
        </w:tc>
        <w:tc>
          <w:tcPr>
            <w:tcW w:w="4645" w:type="pct"/>
            <w:shd w:val="clear" w:color="auto" w:fill="CCECF9"/>
            <w:tcMar>
              <w:top w:w="113" w:type="dxa"/>
              <w:bottom w:w="113" w:type="dxa"/>
            </w:tcMar>
          </w:tcPr>
          <w:p w:rsidR="00F75D58" w:rsidRPr="00FE76A9" w:rsidRDefault="00437D53" w:rsidP="00336718">
            <w:pPr>
              <w:spacing w:before="100" w:beforeAutospacing="1" w:after="100" w:afterAutospacing="1"/>
              <w:rPr>
                <w:rFonts w:cs="Arial"/>
                <w:color w:val="000000"/>
              </w:rPr>
            </w:pPr>
            <w:r w:rsidRPr="00FE76A9">
              <w:rPr>
                <w:rFonts w:cs="Arial"/>
                <w:color w:val="000000"/>
              </w:rPr>
              <w:t xml:space="preserve">Do you agree with our proposal to </w:t>
            </w:r>
            <w:r w:rsidR="00A65B61" w:rsidRPr="00FE76A9">
              <w:rPr>
                <w:rFonts w:cs="Arial"/>
                <w:color w:val="000000"/>
              </w:rPr>
              <w:t xml:space="preserve">allow </w:t>
            </w:r>
            <w:r w:rsidRPr="00FE76A9">
              <w:rPr>
                <w:rFonts w:cs="Arial"/>
                <w:color w:val="000000"/>
              </w:rPr>
              <w:t xml:space="preserve">a preliminary accreditation process for </w:t>
            </w:r>
            <w:r w:rsidR="00A461D0" w:rsidRPr="00FE76A9">
              <w:rPr>
                <w:rFonts w:cs="Arial"/>
                <w:color w:val="000000"/>
              </w:rPr>
              <w:t xml:space="preserve">certain defined </w:t>
            </w:r>
            <w:r w:rsidR="00C1102B" w:rsidRPr="00FE76A9">
              <w:rPr>
                <w:rFonts w:cs="Arial"/>
                <w:color w:val="000000"/>
              </w:rPr>
              <w:t xml:space="preserve">installations in </w:t>
            </w:r>
            <w:r w:rsidRPr="00FE76A9">
              <w:rPr>
                <w:rFonts w:cs="Arial"/>
                <w:color w:val="000000"/>
              </w:rPr>
              <w:t>the FITs Scheme?</w:t>
            </w:r>
            <w:r w:rsidR="00B17049" w:rsidRPr="00FE76A9">
              <w:rPr>
                <w:rFonts w:cs="Arial"/>
                <w:color w:val="000000"/>
              </w:rPr>
              <w:t xml:space="preserve"> </w:t>
            </w:r>
          </w:p>
        </w:tc>
      </w:tr>
      <w:tr w:rsidR="00F75D58" w:rsidRPr="007535D6" w:rsidTr="00FE76A9">
        <w:trPr>
          <w:jc w:val="center"/>
        </w:trPr>
        <w:tc>
          <w:tcPr>
            <w:tcW w:w="355" w:type="pct"/>
            <w:shd w:val="clear" w:color="auto" w:fill="CCECF9"/>
            <w:tcMar>
              <w:top w:w="113" w:type="dxa"/>
              <w:bottom w:w="113" w:type="dxa"/>
            </w:tcMar>
          </w:tcPr>
          <w:p w:rsidR="00F75D58" w:rsidRPr="005F0CAB" w:rsidRDefault="00E1748A" w:rsidP="00E1748A">
            <w:pPr>
              <w:pStyle w:val="TableText"/>
            </w:pPr>
            <w:r>
              <w:t>27</w:t>
            </w:r>
            <w:r w:rsidR="00BC49A1">
              <w:t>.</w:t>
            </w:r>
          </w:p>
        </w:tc>
        <w:tc>
          <w:tcPr>
            <w:tcW w:w="4645" w:type="pct"/>
            <w:shd w:val="clear" w:color="auto" w:fill="CCECF9"/>
            <w:tcMar>
              <w:top w:w="113" w:type="dxa"/>
              <w:bottom w:w="113" w:type="dxa"/>
            </w:tcMar>
          </w:tcPr>
          <w:p w:rsidR="00F75D58" w:rsidRPr="00FE76A9" w:rsidRDefault="00437D53" w:rsidP="00336718">
            <w:pPr>
              <w:spacing w:before="100" w:beforeAutospacing="1" w:after="100" w:afterAutospacing="1"/>
              <w:rPr>
                <w:rFonts w:cs="Arial"/>
                <w:color w:val="000000"/>
              </w:rPr>
            </w:pPr>
            <w:r w:rsidRPr="00FE76A9">
              <w:rPr>
                <w:rFonts w:cs="Arial"/>
                <w:color w:val="000000"/>
              </w:rPr>
              <w:t xml:space="preserve">Do you agree that preliminary accreditation be limited to ROO-FIT </w:t>
            </w:r>
            <w:r w:rsidR="00C1102B" w:rsidRPr="00FE76A9">
              <w:rPr>
                <w:rFonts w:cs="Arial"/>
                <w:color w:val="000000"/>
              </w:rPr>
              <w:t>installations</w:t>
            </w:r>
            <w:r w:rsidR="00A65B61" w:rsidRPr="00FE76A9">
              <w:rPr>
                <w:rFonts w:cs="Arial"/>
                <w:color w:val="000000"/>
              </w:rPr>
              <w:t xml:space="preserve"> and not allowed for PV developments</w:t>
            </w:r>
            <w:r w:rsidRPr="00FE76A9">
              <w:rPr>
                <w:rFonts w:cs="Arial"/>
                <w:color w:val="000000"/>
              </w:rPr>
              <w:t>?</w:t>
            </w:r>
            <w:r w:rsidR="00B17049" w:rsidRPr="00FE76A9">
              <w:rPr>
                <w:rFonts w:cs="Arial"/>
                <w:color w:val="000000"/>
              </w:rPr>
              <w:t xml:space="preserve"> </w:t>
            </w:r>
          </w:p>
        </w:tc>
      </w:tr>
      <w:tr w:rsidR="00B96AF0" w:rsidRPr="007535D6" w:rsidTr="00FE76A9">
        <w:trPr>
          <w:jc w:val="center"/>
        </w:trPr>
        <w:tc>
          <w:tcPr>
            <w:tcW w:w="355" w:type="pct"/>
            <w:shd w:val="clear" w:color="auto" w:fill="CCECF9"/>
            <w:tcMar>
              <w:top w:w="113" w:type="dxa"/>
              <w:bottom w:w="113" w:type="dxa"/>
            </w:tcMar>
          </w:tcPr>
          <w:p w:rsidR="00B96AF0" w:rsidDel="00FE1E21" w:rsidRDefault="00E1748A" w:rsidP="00E1748A">
            <w:pPr>
              <w:pStyle w:val="TableText"/>
            </w:pPr>
            <w:r>
              <w:t>28</w:t>
            </w:r>
            <w:r w:rsidR="00B96AF0">
              <w:t>.</w:t>
            </w:r>
          </w:p>
        </w:tc>
        <w:tc>
          <w:tcPr>
            <w:tcW w:w="4645" w:type="pct"/>
            <w:shd w:val="clear" w:color="auto" w:fill="CCECF9"/>
            <w:tcMar>
              <w:top w:w="113" w:type="dxa"/>
              <w:bottom w:w="113" w:type="dxa"/>
            </w:tcMar>
          </w:tcPr>
          <w:p w:rsidR="00B96AF0" w:rsidRPr="00FE76A9" w:rsidRDefault="00B96AF0" w:rsidP="00336718">
            <w:pPr>
              <w:spacing w:before="100" w:beforeAutospacing="1" w:after="100" w:afterAutospacing="1"/>
              <w:rPr>
                <w:rFonts w:cs="Arial"/>
                <w:color w:val="000000"/>
              </w:rPr>
            </w:pPr>
            <w:r w:rsidRPr="00FE76A9">
              <w:rPr>
                <w:rFonts w:cs="Arial"/>
                <w:color w:val="000000"/>
              </w:rPr>
              <w:t xml:space="preserve">Should preliminary accreditation also involve the fixing of tariffs </w:t>
            </w:r>
            <w:r w:rsidR="00B40CED" w:rsidRPr="00FE76A9">
              <w:rPr>
                <w:rFonts w:cs="Arial"/>
                <w:color w:val="000000"/>
              </w:rPr>
              <w:t xml:space="preserve">for a set period of time </w:t>
            </w:r>
            <w:r w:rsidRPr="00FE76A9">
              <w:rPr>
                <w:rFonts w:cs="Arial"/>
                <w:color w:val="000000"/>
              </w:rPr>
              <w:t>at the point at which preliminary accreditation is achieved?</w:t>
            </w:r>
          </w:p>
        </w:tc>
      </w:tr>
      <w:tr w:rsidR="0013088F" w:rsidRPr="007535D6" w:rsidTr="00FE76A9">
        <w:trPr>
          <w:jc w:val="center"/>
        </w:trPr>
        <w:tc>
          <w:tcPr>
            <w:tcW w:w="355" w:type="pct"/>
            <w:shd w:val="clear" w:color="auto" w:fill="CCECF9"/>
            <w:tcMar>
              <w:top w:w="113" w:type="dxa"/>
              <w:bottom w:w="113" w:type="dxa"/>
            </w:tcMar>
          </w:tcPr>
          <w:p w:rsidR="0013088F" w:rsidRDefault="00E1748A" w:rsidP="00336718">
            <w:pPr>
              <w:pStyle w:val="TableText"/>
            </w:pPr>
            <w:r>
              <w:t>29.</w:t>
            </w:r>
          </w:p>
        </w:tc>
        <w:tc>
          <w:tcPr>
            <w:tcW w:w="4645" w:type="pct"/>
            <w:shd w:val="clear" w:color="auto" w:fill="CCECF9"/>
            <w:tcMar>
              <w:top w:w="113" w:type="dxa"/>
              <w:bottom w:w="113" w:type="dxa"/>
            </w:tcMar>
          </w:tcPr>
          <w:p w:rsidR="0013088F" w:rsidRPr="00FE76A9" w:rsidRDefault="0013088F" w:rsidP="00336718">
            <w:pPr>
              <w:spacing w:before="100" w:beforeAutospacing="1" w:after="100" w:afterAutospacing="1"/>
              <w:rPr>
                <w:rFonts w:cs="Arial"/>
                <w:color w:val="000000"/>
              </w:rPr>
            </w:pPr>
            <w:r w:rsidRPr="00FE76A9">
              <w:rPr>
                <w:rFonts w:cs="Arial"/>
                <w:color w:val="000000"/>
              </w:rPr>
              <w:t>What are your views on the key design issues for preliminary accreditation i.e.</w:t>
            </w:r>
          </w:p>
          <w:p w:rsidR="0013088F" w:rsidRPr="00FE76A9" w:rsidRDefault="0013088F" w:rsidP="00336718">
            <w:pPr>
              <w:spacing w:before="100" w:beforeAutospacing="1" w:after="100" w:afterAutospacing="1"/>
              <w:ind w:left="720" w:hanging="578"/>
              <w:rPr>
                <w:rFonts w:cs="Arial"/>
                <w:color w:val="000000"/>
              </w:rPr>
            </w:pPr>
            <w:r w:rsidRPr="00FE76A9">
              <w:rPr>
                <w:rFonts w:cs="Arial"/>
                <w:color w:val="000000"/>
              </w:rPr>
              <w:t>(a)</w:t>
            </w:r>
            <w:r w:rsidRPr="00FE76A9">
              <w:rPr>
                <w:rFonts w:cs="Arial"/>
                <w:color w:val="000000"/>
              </w:rPr>
              <w:tab/>
              <w:t>at what stage would projects be eligible e.g. with planning approval, grid connection offer? or other factors?</w:t>
            </w:r>
          </w:p>
          <w:p w:rsidR="0013088F" w:rsidRPr="00FE76A9" w:rsidRDefault="0013088F" w:rsidP="00336718">
            <w:pPr>
              <w:spacing w:before="100" w:beforeAutospacing="1" w:after="100" w:afterAutospacing="1"/>
              <w:ind w:left="720" w:hanging="578"/>
              <w:rPr>
                <w:rFonts w:cs="Arial"/>
                <w:color w:val="000000"/>
              </w:rPr>
            </w:pPr>
            <w:r w:rsidRPr="00FE76A9">
              <w:rPr>
                <w:rFonts w:cs="Arial"/>
                <w:color w:val="000000"/>
              </w:rPr>
              <w:t>(b)</w:t>
            </w:r>
            <w:r w:rsidRPr="00FE76A9">
              <w:rPr>
                <w:rFonts w:cs="Arial"/>
                <w:color w:val="000000"/>
              </w:rPr>
              <w:tab/>
              <w:t xml:space="preserve">how long should the guarantee of tariffs last? </w:t>
            </w:r>
          </w:p>
          <w:p w:rsidR="0013088F" w:rsidRPr="00FE76A9" w:rsidRDefault="0013088F" w:rsidP="00336718">
            <w:pPr>
              <w:spacing w:before="100" w:beforeAutospacing="1" w:after="100" w:afterAutospacing="1"/>
              <w:ind w:left="720" w:hanging="578"/>
              <w:rPr>
                <w:rFonts w:cs="Arial"/>
                <w:color w:val="000000"/>
              </w:rPr>
            </w:pPr>
            <w:r w:rsidRPr="00FE76A9">
              <w:rPr>
                <w:rFonts w:cs="Arial"/>
                <w:color w:val="000000"/>
              </w:rPr>
              <w:t>(c)</w:t>
            </w:r>
            <w:r w:rsidRPr="00FE76A9">
              <w:rPr>
                <w:rFonts w:cs="Arial"/>
                <w:color w:val="000000"/>
              </w:rPr>
              <w:tab/>
              <w:t>should there be a penalty for uncompleted projects to prevent speculative applications?</w:t>
            </w:r>
          </w:p>
          <w:p w:rsidR="0013088F" w:rsidRPr="00FE76A9" w:rsidRDefault="0013088F" w:rsidP="008C5DB6">
            <w:pPr>
              <w:spacing w:before="100" w:beforeAutospacing="1" w:after="100" w:afterAutospacing="1"/>
              <w:ind w:left="720" w:hanging="578"/>
              <w:rPr>
                <w:rFonts w:cs="Arial"/>
                <w:color w:val="000000"/>
              </w:rPr>
            </w:pPr>
            <w:r w:rsidRPr="00FE76A9">
              <w:rPr>
                <w:rFonts w:cs="Arial"/>
                <w:color w:val="000000"/>
              </w:rPr>
              <w:t>(d)</w:t>
            </w:r>
            <w:r w:rsidRPr="00FE76A9">
              <w:rPr>
                <w:rFonts w:cs="Arial"/>
                <w:color w:val="000000"/>
              </w:rPr>
              <w:tab/>
              <w:t>what modification to the original application should be tolerated and still receive the tariff guarantee?</w:t>
            </w:r>
          </w:p>
        </w:tc>
      </w:tr>
    </w:tbl>
    <w:p w:rsidR="00FE76A9" w:rsidRDefault="00FE76A9" w:rsidP="00FE76A9">
      <w:pPr>
        <w:pStyle w:val="NoSpacing"/>
      </w:pPr>
    </w:p>
    <w:p w:rsidR="004F1A39" w:rsidRPr="00FE76A9" w:rsidRDefault="005F0CAB" w:rsidP="00FE76A9">
      <w:pPr>
        <w:pStyle w:val="NoSpacing"/>
        <w:rPr>
          <w:b/>
          <w:color w:val="00B0F0"/>
          <w:sz w:val="28"/>
          <w:szCs w:val="28"/>
        </w:rPr>
      </w:pPr>
      <w:r w:rsidRPr="00FE76A9">
        <w:rPr>
          <w:b/>
          <w:color w:val="00B0F0"/>
          <w:sz w:val="28"/>
          <w:szCs w:val="28"/>
        </w:rPr>
        <w:t>MCS or Equivalent</w:t>
      </w:r>
    </w:p>
    <w:p w:rsidR="00FE76A9" w:rsidRPr="005F0CAB" w:rsidRDefault="00FE76A9" w:rsidP="00FE76A9">
      <w:pPr>
        <w:pStyle w:val="NoSpacing"/>
      </w:pPr>
    </w:p>
    <w:p w:rsidR="006D0CBA" w:rsidRDefault="006D0CBA" w:rsidP="00986EAF">
      <w:pPr>
        <w:pStyle w:val="DECCnumberingBold"/>
      </w:pPr>
      <w:bookmarkStart w:id="541" w:name="OLE_LINK4"/>
      <w:r w:rsidRPr="006D0CBA">
        <w:t xml:space="preserve">FITs accreditation for key </w:t>
      </w:r>
      <w:proofErr w:type="spellStart"/>
      <w:r w:rsidRPr="006D0CBA">
        <w:t>microgeneration</w:t>
      </w:r>
      <w:proofErr w:type="spellEnd"/>
      <w:r w:rsidRPr="006D0CBA">
        <w:t xml:space="preserve"> technologies depends on certification of installations under a third-party accreditation scheme, the “MCS or equivalent” process. The FITs Order defines Microgeneration Certification Scheme (MCS) to mean</w:t>
      </w:r>
      <w:r>
        <w:t>:</w:t>
      </w:r>
    </w:p>
    <w:p w:rsidR="009075CD" w:rsidRDefault="006D0CBA" w:rsidP="00B2656D">
      <w:pPr>
        <w:pStyle w:val="DECCnumberingBold"/>
        <w:numPr>
          <w:ilvl w:val="0"/>
          <w:numId w:val="0"/>
        </w:numPr>
        <w:ind w:left="426"/>
      </w:pPr>
      <w:r w:rsidRPr="00702BC1">
        <w:t xml:space="preserve">“ the Microgeneration Scheme or equivalent schemes accredited under EN45011 which certify Microgeneration products and installers in accordance with consistent standards.” </w:t>
      </w:r>
      <w:bookmarkEnd w:id="541"/>
    </w:p>
    <w:p w:rsidR="009075CD" w:rsidRDefault="001E768A" w:rsidP="00986EAF">
      <w:pPr>
        <w:pStyle w:val="DECCnumberingBold"/>
      </w:pPr>
      <w:r>
        <w:br w:type="page"/>
      </w:r>
      <w:r w:rsidR="006D0CBA" w:rsidRPr="00B27454">
        <w:lastRenderedPageBreak/>
        <w:t>The MCS is an independent certification scheme offered to the market by certification bodies who are accredited by the United Kingdom Accreditation Service (UKAS) for this activity and thereby:</w:t>
      </w:r>
    </w:p>
    <w:p w:rsidR="006D0CBA" w:rsidRPr="006D0CBA" w:rsidRDefault="006D0CBA" w:rsidP="009D7263">
      <w:pPr>
        <w:numPr>
          <w:ilvl w:val="0"/>
          <w:numId w:val="7"/>
        </w:numPr>
        <w:spacing w:after="0"/>
        <w:jc w:val="both"/>
        <w:rPr>
          <w:rStyle w:val="yiv1636427688apple-style-span"/>
          <w:rFonts w:cs="Arial"/>
          <w:color w:val="000000"/>
        </w:rPr>
      </w:pPr>
      <w:r w:rsidRPr="006D0CBA">
        <w:rPr>
          <w:rStyle w:val="yiv1636427688apple-style-span"/>
          <w:rFonts w:cs="Arial"/>
          <w:color w:val="000000"/>
        </w:rPr>
        <w:t>ensures a regime exists that assesses installer companies and products against robust standards;</w:t>
      </w:r>
    </w:p>
    <w:p w:rsidR="006D0CBA" w:rsidRPr="006D0CBA" w:rsidRDefault="006D0CBA" w:rsidP="009D7263">
      <w:pPr>
        <w:numPr>
          <w:ilvl w:val="0"/>
          <w:numId w:val="7"/>
        </w:numPr>
        <w:spacing w:after="0"/>
        <w:jc w:val="both"/>
        <w:rPr>
          <w:rStyle w:val="yiv1636427688apple-style-span"/>
          <w:rFonts w:cs="Arial"/>
          <w:color w:val="000000"/>
        </w:rPr>
      </w:pPr>
      <w:r w:rsidRPr="006D0CBA">
        <w:rPr>
          <w:rStyle w:val="yiv1636427688apple-style-span"/>
          <w:rFonts w:cs="Arial"/>
          <w:color w:val="000000"/>
        </w:rPr>
        <w:t xml:space="preserve">enables the provision of the forecast of energy outputs to generators as well as a level of consumer protection which meets the Office of Fair </w:t>
      </w:r>
      <w:r w:rsidR="00456054" w:rsidRPr="006D0CBA">
        <w:rPr>
          <w:rStyle w:val="yiv1636427688apple-style-span"/>
          <w:rFonts w:cs="Arial"/>
          <w:color w:val="000000"/>
        </w:rPr>
        <w:t>Trad</w:t>
      </w:r>
      <w:r w:rsidR="00456054">
        <w:rPr>
          <w:rStyle w:val="yiv1636427688apple-style-span"/>
          <w:rFonts w:cs="Arial"/>
          <w:color w:val="000000"/>
        </w:rPr>
        <w:t>ing</w:t>
      </w:r>
      <w:r w:rsidR="00456054" w:rsidRPr="006D0CBA">
        <w:rPr>
          <w:rStyle w:val="yiv1636427688apple-style-span"/>
          <w:rFonts w:cs="Arial"/>
          <w:color w:val="000000"/>
        </w:rPr>
        <w:t xml:space="preserve"> </w:t>
      </w:r>
      <w:r w:rsidRPr="006D0CBA">
        <w:rPr>
          <w:rStyle w:val="yiv1636427688apple-style-span"/>
          <w:rFonts w:cs="Arial"/>
          <w:color w:val="000000"/>
        </w:rPr>
        <w:t>(OFT) Consumer Code requirements; and</w:t>
      </w:r>
    </w:p>
    <w:p w:rsidR="006D0CBA" w:rsidRPr="00B27454" w:rsidRDefault="006D0CBA" w:rsidP="009D7263">
      <w:pPr>
        <w:numPr>
          <w:ilvl w:val="0"/>
          <w:numId w:val="7"/>
        </w:numPr>
        <w:spacing w:after="0"/>
        <w:jc w:val="both"/>
        <w:rPr>
          <w:rFonts w:cs="Arial"/>
        </w:rPr>
      </w:pPr>
      <w:r w:rsidRPr="006D0CBA">
        <w:rPr>
          <w:rStyle w:val="yiv1636427688apple-style-span"/>
          <w:rFonts w:cs="Arial"/>
          <w:color w:val="000000"/>
        </w:rPr>
        <w:t>gives assurances about the likely quality, durability and performance of installations</w:t>
      </w:r>
      <w:r w:rsidRPr="00B27454">
        <w:rPr>
          <w:rFonts w:cs="Arial"/>
        </w:rPr>
        <w:t>.</w:t>
      </w:r>
    </w:p>
    <w:p w:rsidR="006D0CBA" w:rsidRPr="00B27454" w:rsidRDefault="006D0CBA" w:rsidP="007F071D">
      <w:pPr>
        <w:jc w:val="both"/>
        <w:rPr>
          <w:rFonts w:cs="Arial"/>
        </w:rPr>
      </w:pPr>
    </w:p>
    <w:p w:rsidR="006D62E6" w:rsidRDefault="006D62E6" w:rsidP="00986EAF">
      <w:pPr>
        <w:pStyle w:val="DECCnumberingBold"/>
      </w:pPr>
      <w:r>
        <w:t>EN45011 is the recognised European Standard for Product</w:t>
      </w:r>
      <w:r w:rsidRPr="00707BEC">
        <w:rPr>
          <w:vertAlign w:val="superscript"/>
        </w:rPr>
        <w:footnoteReference w:customMarkFollows="1" w:id="5"/>
        <w:t xml:space="preserve">[1] </w:t>
      </w:r>
      <w:r>
        <w:t>Certification</w:t>
      </w:r>
      <w:r w:rsidR="00A65B61">
        <w:t>.</w:t>
      </w:r>
      <w:r>
        <w:t xml:space="preserve"> </w:t>
      </w:r>
      <w:r w:rsidR="00315ED2">
        <w:t>P</w:t>
      </w:r>
      <w:r>
        <w:t>roduct certification uses, as appropriate, a range of evaluation methodologies</w:t>
      </w:r>
      <w:r w:rsidR="008A56AC">
        <w:t xml:space="preserve"> </w:t>
      </w:r>
      <w:r>
        <w:t>e.g. type approval, inspection, testing and surveillance to ensure that the certification requirements are satisfied.</w:t>
      </w:r>
      <w:r w:rsidR="00315ED2">
        <w:t xml:space="preserve"> </w:t>
      </w:r>
      <w:r>
        <w:t>Products certified in this way can be identified depend</w:t>
      </w:r>
      <w:r w:rsidR="00315ED2">
        <w:t>ing</w:t>
      </w:r>
      <w:r>
        <w:t xml:space="preserve"> upon the certification scheme requirements, by a certificate, mark of conformity or by licence to a supplier. The three main principles of EN 45011 are: </w:t>
      </w:r>
    </w:p>
    <w:p w:rsidR="00DA7F2A" w:rsidRPr="000827E6" w:rsidRDefault="006D62E6" w:rsidP="005957AB">
      <w:pPr>
        <w:numPr>
          <w:ilvl w:val="0"/>
          <w:numId w:val="11"/>
        </w:numPr>
        <w:spacing w:after="0"/>
      </w:pPr>
      <w:r>
        <w:t xml:space="preserve">Independence; </w:t>
      </w:r>
    </w:p>
    <w:p w:rsidR="00DA7F2A" w:rsidRPr="000827E6" w:rsidRDefault="006D62E6" w:rsidP="005957AB">
      <w:pPr>
        <w:numPr>
          <w:ilvl w:val="0"/>
          <w:numId w:val="11"/>
        </w:numPr>
        <w:spacing w:after="0"/>
      </w:pPr>
      <w:r>
        <w:t xml:space="preserve">Third party checks on standards; and </w:t>
      </w:r>
    </w:p>
    <w:p w:rsidR="006D62E6" w:rsidRPr="000021C3" w:rsidRDefault="006D62E6" w:rsidP="005957AB">
      <w:pPr>
        <w:numPr>
          <w:ilvl w:val="0"/>
          <w:numId w:val="11"/>
        </w:numPr>
        <w:spacing w:after="0"/>
      </w:pPr>
      <w:r>
        <w:t>Normative documentation against which products can be measured.</w:t>
      </w:r>
    </w:p>
    <w:p w:rsidR="0075197B" w:rsidRDefault="0075197B">
      <w:pPr>
        <w:spacing w:after="0"/>
      </w:pPr>
    </w:p>
    <w:p w:rsidR="009075CD" w:rsidRDefault="006D62E6" w:rsidP="00986EAF">
      <w:pPr>
        <w:pStyle w:val="DECCnumberingBold"/>
      </w:pPr>
      <w:r>
        <w:t>Accreditation under EN 45011 ensures that a suitable certification scheme exists for the product in question, which in turn ensures that a conforming product is evaluated and ultimately certificated against the scheme requirements as documented. Additionally, the certification body must meet and demonstrate to the satisfaction of the accreditation body that all the requirements of EN 45011 have been met. The United Kingdom Accreditation Service (UKAS) has the responsibility to certify that a body is fully conversant and in full compliance with EN 45011. However, it is not within its remit to determine whether it is an equivalent scheme to MCS for the purposes of FITs.</w:t>
      </w:r>
    </w:p>
    <w:p w:rsidR="009075CD" w:rsidRDefault="006D62E6" w:rsidP="00986EAF">
      <w:pPr>
        <w:pStyle w:val="DECCnumberingBold"/>
      </w:pPr>
      <w:r>
        <w:t>Some stakeholders have raised concerns about the determinants of an equivalent scheme to MCS as the current FITs legislation is silent on:</w:t>
      </w:r>
    </w:p>
    <w:p w:rsidR="006D62E6" w:rsidRDefault="006D62E6" w:rsidP="005957AB">
      <w:pPr>
        <w:numPr>
          <w:ilvl w:val="0"/>
          <w:numId w:val="18"/>
        </w:numPr>
        <w:spacing w:after="0"/>
      </w:pPr>
      <w:r>
        <w:t xml:space="preserve">what determines an equivalent scheme; </w:t>
      </w:r>
    </w:p>
    <w:p w:rsidR="006D62E6" w:rsidRDefault="006D62E6" w:rsidP="005957AB">
      <w:pPr>
        <w:numPr>
          <w:ilvl w:val="0"/>
          <w:numId w:val="18"/>
        </w:numPr>
        <w:spacing w:after="0"/>
      </w:pPr>
      <w:r>
        <w:t>what is the process for determining if a scheme is equivalent to MCS; and</w:t>
      </w:r>
    </w:p>
    <w:p w:rsidR="006D62E6" w:rsidRDefault="006D62E6" w:rsidP="005957AB">
      <w:pPr>
        <w:numPr>
          <w:ilvl w:val="0"/>
          <w:numId w:val="18"/>
        </w:numPr>
        <w:spacing w:after="0"/>
      </w:pPr>
      <w:r>
        <w:t>who is responsible for making this decision.</w:t>
      </w:r>
    </w:p>
    <w:p w:rsidR="00E354D4" w:rsidRDefault="00E354D4" w:rsidP="00E354D4">
      <w:pPr>
        <w:spacing w:after="0"/>
      </w:pPr>
    </w:p>
    <w:p w:rsidR="00DA7F2A" w:rsidRDefault="001E768A" w:rsidP="00986EAF">
      <w:pPr>
        <w:pStyle w:val="DECCnumberingBold"/>
      </w:pPr>
      <w:r>
        <w:br w:type="page"/>
      </w:r>
      <w:r w:rsidR="00116888">
        <w:lastRenderedPageBreak/>
        <w:t>W</w:t>
      </w:r>
      <w:r w:rsidR="006D62E6">
        <w:t>e consider that these issues should be clari</w:t>
      </w:r>
      <w:r w:rsidR="00155A35">
        <w:t>fied</w:t>
      </w:r>
      <w:r w:rsidR="00116888">
        <w:t xml:space="preserve"> to </w:t>
      </w:r>
      <w:r w:rsidR="0099492E">
        <w:t xml:space="preserve">help provide certainty to generators and to </w:t>
      </w:r>
      <w:r w:rsidR="00116888">
        <w:t>avoid it being an obligation placed on Ofgem by default</w:t>
      </w:r>
      <w:r w:rsidR="00155A35">
        <w:t xml:space="preserve">. We propose </w:t>
      </w:r>
      <w:r w:rsidR="00754408">
        <w:t>therefore that</w:t>
      </w:r>
      <w:r w:rsidR="00155A35">
        <w:t xml:space="preserve"> the FITs O</w:t>
      </w:r>
      <w:r w:rsidR="006D62E6">
        <w:t xml:space="preserve">rder should be amended to give the Secretary of State the ability to recognise particular schemes as being “equivalent to MCS”. </w:t>
      </w:r>
      <w:r w:rsidR="00E528E2">
        <w:t>In order to be considered equivalent to MCS, the alternative scheme would need to:</w:t>
      </w:r>
    </w:p>
    <w:p w:rsidR="00B1638E" w:rsidRDefault="00E528E2" w:rsidP="00986EAF">
      <w:pPr>
        <w:pStyle w:val="DECCnumberingBold"/>
        <w:numPr>
          <w:ilvl w:val="0"/>
          <w:numId w:val="42"/>
        </w:numPr>
        <w:spacing w:after="0"/>
        <w:ind w:hanging="357"/>
      </w:pPr>
      <w:r>
        <w:t xml:space="preserve">be </w:t>
      </w:r>
      <w:r w:rsidR="00551327">
        <w:t>accredited</w:t>
      </w:r>
      <w:r w:rsidR="00DA7F2A">
        <w:t xml:space="preserve"> under EN45011</w:t>
      </w:r>
      <w:r>
        <w:t>;</w:t>
      </w:r>
    </w:p>
    <w:p w:rsidR="00B1638E" w:rsidRDefault="00E528E2" w:rsidP="00986EAF">
      <w:pPr>
        <w:pStyle w:val="DECCnumberingBold"/>
        <w:numPr>
          <w:ilvl w:val="0"/>
          <w:numId w:val="42"/>
        </w:numPr>
        <w:spacing w:after="0"/>
        <w:ind w:hanging="357"/>
      </w:pPr>
      <w:r>
        <w:t>be e</w:t>
      </w:r>
      <w:r w:rsidR="00DA7F2A">
        <w:t xml:space="preserve">stablished for the purpose of assessing FITs eligible </w:t>
      </w:r>
      <w:proofErr w:type="spellStart"/>
      <w:r w:rsidR="00DA7F2A">
        <w:t>microgeneration</w:t>
      </w:r>
      <w:proofErr w:type="spellEnd"/>
      <w:r w:rsidR="00DA7F2A">
        <w:t xml:space="preserve"> installations</w:t>
      </w:r>
      <w:r>
        <w:t>;</w:t>
      </w:r>
    </w:p>
    <w:p w:rsidR="00B1638E" w:rsidRDefault="003B5CF9" w:rsidP="00986EAF">
      <w:pPr>
        <w:pStyle w:val="DECCnumberingBold"/>
        <w:numPr>
          <w:ilvl w:val="0"/>
          <w:numId w:val="42"/>
        </w:numPr>
        <w:spacing w:after="0"/>
        <w:ind w:hanging="357"/>
      </w:pPr>
      <w:r>
        <w:t>h</w:t>
      </w:r>
      <w:r w:rsidR="00DA7F2A">
        <w:t>a</w:t>
      </w:r>
      <w:r w:rsidR="00E528E2">
        <w:t xml:space="preserve">ve </w:t>
      </w:r>
      <w:r w:rsidR="00DA7F2A">
        <w:t xml:space="preserve">the capability to assess products and installer companies against the </w:t>
      </w:r>
      <w:r w:rsidR="00E528E2">
        <w:t>objective quality standards;</w:t>
      </w:r>
    </w:p>
    <w:p w:rsidR="00B1638E" w:rsidRDefault="003B5CF9" w:rsidP="00986EAF">
      <w:pPr>
        <w:pStyle w:val="DECCnumberingBold"/>
        <w:numPr>
          <w:ilvl w:val="0"/>
          <w:numId w:val="42"/>
        </w:numPr>
        <w:spacing w:after="0"/>
        <w:ind w:hanging="357"/>
      </w:pPr>
      <w:r>
        <w:t>b</w:t>
      </w:r>
      <w:r w:rsidR="00E528E2">
        <w:t>e able to p</w:t>
      </w:r>
      <w:r w:rsidR="00DA7F2A">
        <w:t>rovide documentary evidence to enable the accreditation of an installation</w:t>
      </w:r>
      <w:r w:rsidR="00E528E2">
        <w:t xml:space="preserve"> on the central FITs register in a form compatible with Ofgem and licensees’ systems;</w:t>
      </w:r>
    </w:p>
    <w:p w:rsidR="00977CAA" w:rsidRDefault="003B5CF9" w:rsidP="00986EAF">
      <w:pPr>
        <w:pStyle w:val="DECCnumberingBold"/>
        <w:numPr>
          <w:ilvl w:val="0"/>
          <w:numId w:val="42"/>
        </w:numPr>
        <w:spacing w:after="0"/>
        <w:ind w:hanging="357"/>
      </w:pPr>
      <w:r>
        <w:t>e</w:t>
      </w:r>
      <w:r w:rsidR="00DA7F2A">
        <w:t xml:space="preserve">nsure that </w:t>
      </w:r>
      <w:r w:rsidR="0066280D">
        <w:t>installations comply to the technical r</w:t>
      </w:r>
      <w:r w:rsidR="00977CAA">
        <w:t>equirements of the FITs scheme,</w:t>
      </w:r>
    </w:p>
    <w:p w:rsidR="00B1638E" w:rsidRDefault="0066280D" w:rsidP="00986EAF">
      <w:pPr>
        <w:pStyle w:val="DECCnumberingBold"/>
        <w:numPr>
          <w:ilvl w:val="0"/>
          <w:numId w:val="42"/>
        </w:numPr>
        <w:spacing w:after="0"/>
        <w:ind w:hanging="357"/>
      </w:pPr>
      <w:r>
        <w:t>including</w:t>
      </w:r>
      <w:r w:rsidR="00977CAA">
        <w:t xml:space="preserve"> </w:t>
      </w:r>
      <w:r>
        <w:t xml:space="preserve">that </w:t>
      </w:r>
      <w:r w:rsidR="00DA7F2A">
        <w:t>approved meters</w:t>
      </w:r>
      <w:r w:rsidR="00E528E2">
        <w:t xml:space="preserve"> are used</w:t>
      </w:r>
      <w:r w:rsidR="00B1638E">
        <w:t>;</w:t>
      </w:r>
    </w:p>
    <w:p w:rsidR="00B1638E" w:rsidRDefault="00DA7F2A" w:rsidP="00986EAF">
      <w:pPr>
        <w:pStyle w:val="DECCnumberingBold"/>
        <w:numPr>
          <w:ilvl w:val="0"/>
          <w:numId w:val="42"/>
        </w:numPr>
        <w:spacing w:after="0"/>
        <w:ind w:hanging="357"/>
      </w:pPr>
      <w:r>
        <w:t>provide the required information to assist the manage</w:t>
      </w:r>
      <w:r w:rsidR="00977CAA">
        <w:t xml:space="preserve">ment and monitoring of the FITs </w:t>
      </w:r>
      <w:r>
        <w:t>Scheme</w:t>
      </w:r>
      <w:r w:rsidR="00B1638E">
        <w:t>;</w:t>
      </w:r>
    </w:p>
    <w:p w:rsidR="00B1638E" w:rsidRDefault="00DA7F2A" w:rsidP="00986EAF">
      <w:pPr>
        <w:pStyle w:val="DECCnumberingBold"/>
        <w:numPr>
          <w:ilvl w:val="0"/>
          <w:numId w:val="42"/>
        </w:numPr>
        <w:spacing w:after="0"/>
        <w:ind w:hanging="357"/>
      </w:pPr>
      <w:r>
        <w:t xml:space="preserve">ensure documentation is valid and the </w:t>
      </w:r>
      <w:r w:rsidR="00E528E2">
        <w:t>accreditation process is secure</w:t>
      </w:r>
      <w:r w:rsidR="00B1638E">
        <w:t>; and</w:t>
      </w:r>
    </w:p>
    <w:p w:rsidR="0075197B" w:rsidRDefault="00DA7F2A" w:rsidP="00986EAF">
      <w:pPr>
        <w:pStyle w:val="DECCnumberingBold"/>
        <w:numPr>
          <w:ilvl w:val="0"/>
          <w:numId w:val="42"/>
        </w:numPr>
        <w:spacing w:after="0"/>
        <w:ind w:hanging="357"/>
      </w:pPr>
      <w:r>
        <w:t>provide a level of consumer protection that meets the Office of Fair T</w:t>
      </w:r>
      <w:r w:rsidR="00E354D4">
        <w:t>rading</w:t>
      </w:r>
      <w:r w:rsidR="00E528E2">
        <w:t xml:space="preserve"> Consumer Code requirements</w:t>
      </w:r>
      <w:r w:rsidR="005743B9">
        <w:t>.</w:t>
      </w:r>
    </w:p>
    <w:p w:rsidR="00517750" w:rsidRDefault="00517750" w:rsidP="00517750">
      <w:pPr>
        <w:pStyle w:val="DECCnumberingBold"/>
        <w:numPr>
          <w:ilvl w:val="0"/>
          <w:numId w:val="0"/>
        </w:numPr>
        <w:spacing w:after="0"/>
        <w:ind w:left="720"/>
      </w:pPr>
    </w:p>
    <w:tbl>
      <w:tblPr>
        <w:tblW w:w="4857"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F75D58" w:rsidRPr="00015C4E" w:rsidTr="00F75D58">
        <w:tc>
          <w:tcPr>
            <w:tcW w:w="5000" w:type="pct"/>
            <w:gridSpan w:val="2"/>
            <w:shd w:val="clear" w:color="auto" w:fill="CCECF9"/>
            <w:tcMar>
              <w:top w:w="113" w:type="dxa"/>
              <w:bottom w:w="113" w:type="dxa"/>
            </w:tcMar>
          </w:tcPr>
          <w:p w:rsidR="00F75D58" w:rsidRPr="00226F71" w:rsidRDefault="00D04557" w:rsidP="007E27B8">
            <w:pPr>
              <w:pStyle w:val="TableTitle"/>
              <w:ind w:right="17"/>
              <w:rPr>
                <w:rStyle w:val="PantoneCyan"/>
                <w:b/>
              </w:rPr>
            </w:pPr>
            <w:r w:rsidRPr="00226F71">
              <w:rPr>
                <w:rStyle w:val="PantoneCyan"/>
                <w:b/>
              </w:rPr>
              <w:t>Consultation Question</w:t>
            </w:r>
            <w:r>
              <w:rPr>
                <w:rStyle w:val="PantoneCyan"/>
                <w:b/>
              </w:rPr>
              <w:t xml:space="preserve">s: </w:t>
            </w:r>
            <w:r w:rsidR="0031178B">
              <w:rPr>
                <w:rStyle w:val="PantoneCyan"/>
                <w:b/>
                <w:i/>
              </w:rPr>
              <w:t>Please support your response with arguments</w:t>
            </w:r>
            <w:r w:rsidR="007A37A8">
              <w:rPr>
                <w:rStyle w:val="PantoneCyan"/>
                <w:b/>
                <w:i/>
              </w:rPr>
              <w:t xml:space="preserve"> and evidence</w:t>
            </w:r>
          </w:p>
        </w:tc>
      </w:tr>
      <w:tr w:rsidR="001A7BC8" w:rsidRPr="00015C4E" w:rsidTr="00F75D58">
        <w:tc>
          <w:tcPr>
            <w:tcW w:w="355" w:type="pct"/>
            <w:shd w:val="clear" w:color="auto" w:fill="CCECF9"/>
            <w:tcMar>
              <w:top w:w="113" w:type="dxa"/>
              <w:bottom w:w="113" w:type="dxa"/>
            </w:tcMar>
          </w:tcPr>
          <w:p w:rsidR="001A7BC8" w:rsidRDefault="00E1748A" w:rsidP="007111E1">
            <w:pPr>
              <w:pStyle w:val="TableText"/>
            </w:pPr>
            <w:r>
              <w:t>30</w:t>
            </w:r>
            <w:r w:rsidR="007B11B8">
              <w:t>.</w:t>
            </w:r>
          </w:p>
        </w:tc>
        <w:tc>
          <w:tcPr>
            <w:tcW w:w="4645" w:type="pct"/>
            <w:shd w:val="clear" w:color="auto" w:fill="CCECF9"/>
            <w:tcMar>
              <w:top w:w="113" w:type="dxa"/>
              <w:bottom w:w="113" w:type="dxa"/>
            </w:tcMar>
          </w:tcPr>
          <w:p w:rsidR="001A7BC8" w:rsidRPr="00977CAA" w:rsidRDefault="001A7BC8" w:rsidP="001A7BC8">
            <w:pPr>
              <w:spacing w:before="100" w:beforeAutospacing="1" w:after="100" w:afterAutospacing="1"/>
              <w:jc w:val="both"/>
              <w:rPr>
                <w:rFonts w:cs="Arial"/>
                <w:color w:val="000000"/>
              </w:rPr>
            </w:pPr>
            <w:r w:rsidRPr="00977CAA">
              <w:rPr>
                <w:rFonts w:cs="Arial"/>
                <w:color w:val="000000"/>
              </w:rPr>
              <w:t xml:space="preserve">Should MCS continue to be the route for FITs accreditation </w:t>
            </w:r>
            <w:r w:rsidR="00A93692" w:rsidRPr="00977CAA">
              <w:rPr>
                <w:rFonts w:cs="Arial"/>
                <w:color w:val="000000"/>
              </w:rPr>
              <w:t xml:space="preserve">for </w:t>
            </w:r>
            <w:proofErr w:type="spellStart"/>
            <w:r w:rsidR="00551327" w:rsidRPr="00977CAA">
              <w:rPr>
                <w:rFonts w:cs="Arial"/>
                <w:color w:val="000000"/>
              </w:rPr>
              <w:t>microgeneration</w:t>
            </w:r>
            <w:proofErr w:type="spellEnd"/>
            <w:r w:rsidR="00A93692" w:rsidRPr="00977CAA">
              <w:rPr>
                <w:rFonts w:cs="Arial"/>
                <w:color w:val="000000"/>
              </w:rPr>
              <w:t xml:space="preserve"> </w:t>
            </w:r>
            <w:r w:rsidRPr="00977CAA">
              <w:rPr>
                <w:rFonts w:cs="Arial"/>
                <w:color w:val="000000"/>
              </w:rPr>
              <w:t>under the scheme or should there be a new body?</w:t>
            </w:r>
          </w:p>
        </w:tc>
      </w:tr>
      <w:tr w:rsidR="001A7BC8" w:rsidRPr="00015C4E" w:rsidTr="00F75D58">
        <w:tc>
          <w:tcPr>
            <w:tcW w:w="355" w:type="pct"/>
            <w:shd w:val="clear" w:color="auto" w:fill="CCECF9"/>
            <w:tcMar>
              <w:top w:w="113" w:type="dxa"/>
              <w:bottom w:w="113" w:type="dxa"/>
            </w:tcMar>
          </w:tcPr>
          <w:p w:rsidR="001A7BC8" w:rsidRDefault="00E1748A" w:rsidP="007111E1">
            <w:pPr>
              <w:pStyle w:val="TableText"/>
            </w:pPr>
            <w:r>
              <w:t>31</w:t>
            </w:r>
            <w:r w:rsidR="007B11B8">
              <w:t>.</w:t>
            </w:r>
          </w:p>
        </w:tc>
        <w:tc>
          <w:tcPr>
            <w:tcW w:w="4645" w:type="pct"/>
            <w:shd w:val="clear" w:color="auto" w:fill="CCECF9"/>
            <w:tcMar>
              <w:top w:w="113" w:type="dxa"/>
              <w:bottom w:w="113" w:type="dxa"/>
            </w:tcMar>
          </w:tcPr>
          <w:p w:rsidR="001A7BC8" w:rsidRPr="00977CAA" w:rsidRDefault="00155A35" w:rsidP="00155A35">
            <w:pPr>
              <w:spacing w:before="100" w:beforeAutospacing="1" w:after="100" w:afterAutospacing="1"/>
              <w:jc w:val="both"/>
              <w:rPr>
                <w:rFonts w:cs="Arial"/>
                <w:color w:val="000000"/>
              </w:rPr>
            </w:pPr>
            <w:r w:rsidRPr="00977CAA">
              <w:rPr>
                <w:rFonts w:cs="Arial"/>
                <w:color w:val="000000"/>
              </w:rPr>
              <w:t>Are the criteria listed above sufficient to be used to determine if a scheme is equivalent to MCS?</w:t>
            </w:r>
            <w:r w:rsidR="00A93692" w:rsidRPr="00977CAA">
              <w:rPr>
                <w:rFonts w:cs="Arial"/>
                <w:color w:val="000000"/>
              </w:rPr>
              <w:t xml:space="preserve"> Are there alternative criteria that could be used?</w:t>
            </w:r>
          </w:p>
        </w:tc>
      </w:tr>
      <w:tr w:rsidR="001A7BC8" w:rsidRPr="00015C4E" w:rsidTr="00F75D58">
        <w:tc>
          <w:tcPr>
            <w:tcW w:w="355" w:type="pct"/>
            <w:shd w:val="clear" w:color="auto" w:fill="CCECF9"/>
            <w:tcMar>
              <w:top w:w="113" w:type="dxa"/>
              <w:bottom w:w="113" w:type="dxa"/>
            </w:tcMar>
          </w:tcPr>
          <w:p w:rsidR="001A7BC8" w:rsidRDefault="00E1748A" w:rsidP="007111E1">
            <w:pPr>
              <w:pStyle w:val="TableText"/>
            </w:pPr>
            <w:r>
              <w:t>32</w:t>
            </w:r>
            <w:r w:rsidR="007B11B8">
              <w:t>.</w:t>
            </w:r>
          </w:p>
        </w:tc>
        <w:tc>
          <w:tcPr>
            <w:tcW w:w="4645" w:type="pct"/>
            <w:shd w:val="clear" w:color="auto" w:fill="CCECF9"/>
            <w:tcMar>
              <w:top w:w="113" w:type="dxa"/>
              <w:bottom w:w="113" w:type="dxa"/>
            </w:tcMar>
          </w:tcPr>
          <w:p w:rsidR="001A7BC8" w:rsidRPr="00977CAA" w:rsidRDefault="00A93692" w:rsidP="001F1A23">
            <w:pPr>
              <w:spacing w:before="100" w:beforeAutospacing="1" w:after="100" w:afterAutospacing="1"/>
              <w:jc w:val="both"/>
              <w:rPr>
                <w:color w:val="000000"/>
              </w:rPr>
            </w:pPr>
            <w:r w:rsidRPr="00977CAA">
              <w:rPr>
                <w:rFonts w:cs="Arial"/>
                <w:color w:val="000000"/>
              </w:rPr>
              <w:t xml:space="preserve">Do </w:t>
            </w:r>
            <w:r w:rsidR="00551327" w:rsidRPr="00977CAA">
              <w:rPr>
                <w:rFonts w:cs="Arial"/>
                <w:color w:val="000000"/>
              </w:rPr>
              <w:t>you</w:t>
            </w:r>
            <w:r w:rsidRPr="00977CAA">
              <w:rPr>
                <w:rFonts w:cs="Arial"/>
                <w:color w:val="000000"/>
              </w:rPr>
              <w:t xml:space="preserve"> have any other comments on the current operation of the MCS-FIT accreditation system</w:t>
            </w:r>
            <w:r w:rsidR="001F1A23" w:rsidRPr="00977CAA">
              <w:rPr>
                <w:rFonts w:cs="Arial"/>
                <w:color w:val="000000"/>
              </w:rPr>
              <w:t>?</w:t>
            </w:r>
          </w:p>
        </w:tc>
      </w:tr>
    </w:tbl>
    <w:p w:rsidR="00357F98" w:rsidRDefault="00357F98" w:rsidP="00977CAA">
      <w:pPr>
        <w:pStyle w:val="NoSpacing"/>
      </w:pPr>
    </w:p>
    <w:p w:rsidR="00977CAA" w:rsidRDefault="00BA0435" w:rsidP="00977CAA">
      <w:pPr>
        <w:pStyle w:val="NoSpacing"/>
        <w:rPr>
          <w:b/>
          <w:color w:val="00B0F0"/>
          <w:sz w:val="28"/>
          <w:szCs w:val="28"/>
        </w:rPr>
      </w:pPr>
      <w:bookmarkStart w:id="542" w:name="OLE_LINK12"/>
      <w:bookmarkStart w:id="543" w:name="OLE_LINK13"/>
      <w:r w:rsidRPr="00977CAA">
        <w:rPr>
          <w:b/>
          <w:color w:val="00B0F0"/>
          <w:sz w:val="28"/>
          <w:szCs w:val="28"/>
        </w:rPr>
        <w:t>Certification</w:t>
      </w:r>
      <w:r w:rsidR="009C5B8D" w:rsidRPr="00977CAA">
        <w:rPr>
          <w:b/>
          <w:color w:val="00B0F0"/>
          <w:sz w:val="28"/>
          <w:szCs w:val="28"/>
        </w:rPr>
        <w:t xml:space="preserve"> of micro-hydro installations</w:t>
      </w:r>
    </w:p>
    <w:p w:rsidR="00BA0435" w:rsidRPr="00BA0435" w:rsidRDefault="00977CAA" w:rsidP="00977CAA">
      <w:pPr>
        <w:pStyle w:val="NoSpacing"/>
      </w:pPr>
      <w:r w:rsidRPr="00BA0435">
        <w:t xml:space="preserve"> </w:t>
      </w:r>
    </w:p>
    <w:p w:rsidR="001E27E7" w:rsidRPr="001E27E7" w:rsidRDefault="00FD1AC9" w:rsidP="00986EAF">
      <w:pPr>
        <w:pStyle w:val="DECCnumberingBold"/>
      </w:pPr>
      <w:r w:rsidRPr="00FD1AC9">
        <w:t xml:space="preserve">Before the start of the FITs scheme, it was expected that, like other </w:t>
      </w:r>
      <w:r w:rsidR="00F23837">
        <w:t>Microgeneration installations,</w:t>
      </w:r>
      <w:r w:rsidRPr="00FD1AC9">
        <w:t xml:space="preserve"> hydro stations of up to 50 kW would be accredited through the</w:t>
      </w:r>
      <w:r w:rsidR="008A56AC">
        <w:t xml:space="preserve"> </w:t>
      </w:r>
      <w:r w:rsidRPr="00FD1AC9">
        <w:t xml:space="preserve">MCS scheme, i.e. based on the use of MCS certified </w:t>
      </w:r>
      <w:r w:rsidR="00E75374" w:rsidRPr="00FD1AC9">
        <w:t>equipment</w:t>
      </w:r>
      <w:r w:rsidR="00E75374">
        <w:t xml:space="preserve">, </w:t>
      </w:r>
      <w:r w:rsidR="00E75374" w:rsidRPr="00FD1AC9">
        <w:t>an</w:t>
      </w:r>
      <w:r w:rsidRPr="00FD1AC9">
        <w:t xml:space="preserve"> MCS certified installer and certification onto the MCS installation database. At the time that the scheme began, the necessary MCS standards </w:t>
      </w:r>
      <w:r w:rsidR="009C5B8D">
        <w:t xml:space="preserve">for hydro </w:t>
      </w:r>
      <w:r w:rsidRPr="00FD1AC9">
        <w:t>were not complete, and later, as part of the Microgeneration strategy, in June 2011, it was decided that the link would be broken between the MCS and FITs eligibility</w:t>
      </w:r>
      <w:r w:rsidR="00116888">
        <w:t xml:space="preserve"> for hydro</w:t>
      </w:r>
      <w:r w:rsidRPr="00FD1AC9">
        <w:t>.</w:t>
      </w:r>
      <w:r w:rsidR="008A56AC">
        <w:t xml:space="preserve"> </w:t>
      </w:r>
      <w:r w:rsidRPr="00FD1AC9">
        <w:t xml:space="preserve">Currently, a transitional arrangement is in place that allows micro-hydro projects to use the </w:t>
      </w:r>
      <w:r w:rsidR="00692C01">
        <w:t xml:space="preserve">system of accreditation that applies to larger installations </w:t>
      </w:r>
      <w:r w:rsidR="00692C01">
        <w:lastRenderedPageBreak/>
        <w:t>administered by Ofgem (</w:t>
      </w:r>
      <w:r w:rsidRPr="00FD1AC9">
        <w:t>ROO-FIT</w:t>
      </w:r>
      <w:r w:rsidR="00692C01">
        <w:t>)</w:t>
      </w:r>
      <w:r w:rsidRPr="00FD1AC9">
        <w:t>. This transitional arrangement is</w:t>
      </w:r>
      <w:r w:rsidR="001E27E7">
        <w:t xml:space="preserve"> in place until 31 March 2012</w:t>
      </w:r>
      <w:r w:rsidR="009C5B8D">
        <w:t>.</w:t>
      </w:r>
      <w:r w:rsidR="001E27E7">
        <w:t xml:space="preserve"> </w:t>
      </w:r>
    </w:p>
    <w:p w:rsidR="009075CD" w:rsidRDefault="00FD1AC9" w:rsidP="00986EAF">
      <w:pPr>
        <w:pStyle w:val="DECCnumberingBold"/>
      </w:pPr>
      <w:r w:rsidRPr="001E27E7">
        <w:t>The decision to discontinue the MCS link was based on the fact that each hydro project is unique, with elements such as location and water flow making it very difficult to define off the shelf standards. The lead time for a micro-hydro installation is around 18 months; much longer than</w:t>
      </w:r>
      <w:r w:rsidR="00F23837">
        <w:t xml:space="preserve"> for</w:t>
      </w:r>
      <w:r w:rsidRPr="001E27E7">
        <w:t xml:space="preserve"> other </w:t>
      </w:r>
      <w:r w:rsidR="001E27E7">
        <w:t xml:space="preserve">technologies eligible for MCS. </w:t>
      </w:r>
    </w:p>
    <w:p w:rsidR="000E7E77" w:rsidRDefault="000E7E77" w:rsidP="00986EAF">
      <w:pPr>
        <w:pStyle w:val="DECCnumberingBold"/>
      </w:pPr>
      <w:r w:rsidRPr="001E27E7">
        <w:t>The special and complex nature of micro-hydro development indicates that a one size fits all approach using MCS standards is unlikely to work.</w:t>
      </w:r>
      <w:r>
        <w:t xml:space="preserve"> </w:t>
      </w:r>
      <w:r w:rsidR="00FD1AC9" w:rsidRPr="001E27E7">
        <w:t>However, in the absence of MCS standards, it is necessary to ensure that there is a rigorous system in place to ensure that only installations that meet FITs cr</w:t>
      </w:r>
      <w:r w:rsidR="004072F2">
        <w:t xml:space="preserve">iteria are accredited for FITs. </w:t>
      </w:r>
      <w:r>
        <w:t xml:space="preserve">The MCS system also provides assurance on quality and consumer protection which may be </w:t>
      </w:r>
      <w:r w:rsidR="00773306">
        <w:t>desirable</w:t>
      </w:r>
      <w:r>
        <w:t xml:space="preserve"> for micro-hydro developers. </w:t>
      </w:r>
    </w:p>
    <w:p w:rsidR="009075CD" w:rsidRDefault="00551327" w:rsidP="00986EAF">
      <w:pPr>
        <w:pStyle w:val="DECCnumberingBold"/>
      </w:pPr>
      <w:r>
        <w:t>Options</w:t>
      </w:r>
      <w:r w:rsidR="009C5B8D">
        <w:t xml:space="preserve"> include extending the ROO-FIT arrangements permanently or </w:t>
      </w:r>
      <w:r w:rsidR="00692C01">
        <w:t xml:space="preserve">for the development and </w:t>
      </w:r>
      <w:r w:rsidR="00992B51">
        <w:t>application</w:t>
      </w:r>
      <w:r w:rsidR="00692C01">
        <w:t xml:space="preserve"> of industry-based </w:t>
      </w:r>
      <w:r w:rsidR="00F8071C">
        <w:t xml:space="preserve">arrangements. The </w:t>
      </w:r>
      <w:r w:rsidR="00FD1AC9" w:rsidRPr="001E27E7">
        <w:t xml:space="preserve">hydro industry </w:t>
      </w:r>
      <w:r w:rsidR="00992B51">
        <w:t>could</w:t>
      </w:r>
      <w:r w:rsidR="00F8071C">
        <w:t xml:space="preserve"> </w:t>
      </w:r>
      <w:r w:rsidR="00FD1AC9" w:rsidRPr="001E27E7">
        <w:t xml:space="preserve">take responsibility for implementing a longer-term way forward to provide quality and compliance assurances for </w:t>
      </w:r>
      <w:proofErr w:type="spellStart"/>
      <w:r w:rsidR="00FD1AC9" w:rsidRPr="001E27E7">
        <w:t>microgeneration</w:t>
      </w:r>
      <w:proofErr w:type="spellEnd"/>
      <w:r w:rsidR="00FD1AC9" w:rsidRPr="001E27E7">
        <w:t xml:space="preserve"> projects</w:t>
      </w:r>
      <w:r w:rsidR="009C5B8D">
        <w:t xml:space="preserve"> based on the </w:t>
      </w:r>
      <w:r>
        <w:t>principles</w:t>
      </w:r>
      <w:r w:rsidR="009C5B8D">
        <w:t xml:space="preserve"> set out in </w:t>
      </w:r>
      <w:r w:rsidR="001F1A23">
        <w:t>the previous section</w:t>
      </w:r>
      <w:r w:rsidR="00FD1AC9" w:rsidRPr="001E27E7">
        <w:t>.</w:t>
      </w:r>
      <w:r w:rsidR="008A56AC">
        <w:t xml:space="preserve"> </w:t>
      </w:r>
      <w:r w:rsidR="00FD1AC9" w:rsidRPr="001E27E7">
        <w:t xml:space="preserve">In the meantime, however, it is necessary to extend the use of ROO-FIT, at least until agreement </w:t>
      </w:r>
      <w:r w:rsidR="00F23837">
        <w:t>i</w:t>
      </w:r>
      <w:r w:rsidR="00FD1AC9" w:rsidRPr="001E27E7">
        <w:t>s reached.</w:t>
      </w:r>
      <w:r w:rsidR="009C5B8D">
        <w:t xml:space="preserve"> We are therefore extending the current transitional arrangement to 30 September 2012.</w:t>
      </w:r>
    </w:p>
    <w:tbl>
      <w:tblPr>
        <w:tblW w:w="4857"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F75D58" w:rsidRPr="00015C4E" w:rsidTr="00F75D58">
        <w:tc>
          <w:tcPr>
            <w:tcW w:w="5000" w:type="pct"/>
            <w:gridSpan w:val="2"/>
            <w:shd w:val="clear" w:color="auto" w:fill="CCECF9"/>
            <w:tcMar>
              <w:top w:w="113" w:type="dxa"/>
              <w:bottom w:w="113" w:type="dxa"/>
            </w:tcMar>
          </w:tcPr>
          <w:p w:rsidR="00F75D58" w:rsidRPr="00226F71" w:rsidRDefault="00D04557" w:rsidP="00F75D58">
            <w:pPr>
              <w:pStyle w:val="TableTitle"/>
              <w:rPr>
                <w:rStyle w:val="PantoneCyan"/>
                <w:b/>
              </w:rPr>
            </w:pPr>
            <w:r w:rsidRPr="00226F71">
              <w:rPr>
                <w:rStyle w:val="PantoneCyan"/>
                <w:b/>
              </w:rPr>
              <w:t>Consultation Question</w:t>
            </w:r>
            <w:r>
              <w:rPr>
                <w:rStyle w:val="PantoneCyan"/>
                <w:b/>
              </w:rPr>
              <w:t xml:space="preserve">s: </w:t>
            </w:r>
            <w:r w:rsidR="0031178B">
              <w:rPr>
                <w:rStyle w:val="PantoneCyan"/>
                <w:b/>
                <w:i/>
              </w:rPr>
              <w:t>Please support your response with arguments</w:t>
            </w:r>
            <w:r w:rsidR="007A37A8">
              <w:rPr>
                <w:rStyle w:val="PantoneCyan"/>
                <w:b/>
                <w:i/>
              </w:rPr>
              <w:t xml:space="preserve"> and evidence</w:t>
            </w:r>
          </w:p>
        </w:tc>
      </w:tr>
      <w:tr w:rsidR="00F75D58" w:rsidRPr="00015C4E" w:rsidTr="00F75D58">
        <w:tc>
          <w:tcPr>
            <w:tcW w:w="355" w:type="pct"/>
            <w:shd w:val="clear" w:color="auto" w:fill="CCECF9"/>
            <w:tcMar>
              <w:top w:w="113" w:type="dxa"/>
              <w:bottom w:w="113" w:type="dxa"/>
            </w:tcMar>
          </w:tcPr>
          <w:p w:rsidR="00F75D58" w:rsidRDefault="00E1748A" w:rsidP="00E1748A">
            <w:pPr>
              <w:pStyle w:val="TableText"/>
            </w:pPr>
            <w:r>
              <w:t>33</w:t>
            </w:r>
            <w:r w:rsidR="006D7E7C">
              <w:t>.</w:t>
            </w:r>
          </w:p>
        </w:tc>
        <w:tc>
          <w:tcPr>
            <w:tcW w:w="4645" w:type="pct"/>
            <w:shd w:val="clear" w:color="auto" w:fill="CCECF9"/>
            <w:tcMar>
              <w:top w:w="113" w:type="dxa"/>
              <w:bottom w:w="113" w:type="dxa"/>
            </w:tcMar>
          </w:tcPr>
          <w:p w:rsidR="00F75D58" w:rsidRPr="00977CAA" w:rsidRDefault="00551327" w:rsidP="004072F2">
            <w:pPr>
              <w:spacing w:before="100" w:beforeAutospacing="1" w:after="100" w:afterAutospacing="1"/>
              <w:rPr>
                <w:rFonts w:cs="Arial"/>
                <w:color w:val="000000"/>
              </w:rPr>
            </w:pPr>
            <w:r w:rsidRPr="00977CAA">
              <w:rPr>
                <w:rStyle w:val="apple-style-span"/>
                <w:rFonts w:cs="Arial"/>
                <w:color w:val="000000"/>
              </w:rPr>
              <w:t>What do you consider is the best way for micro-hydro installations to be accredited for FITs?</w:t>
            </w:r>
            <w:r w:rsidR="001E27E7" w:rsidRPr="00977CAA">
              <w:rPr>
                <w:rStyle w:val="apple-style-span"/>
                <w:rFonts w:cs="Arial"/>
                <w:color w:val="000000"/>
              </w:rPr>
              <w:t xml:space="preserve"> </w:t>
            </w:r>
          </w:p>
        </w:tc>
      </w:tr>
      <w:bookmarkEnd w:id="542"/>
      <w:bookmarkEnd w:id="543"/>
    </w:tbl>
    <w:p w:rsidR="0073698C" w:rsidRDefault="0073698C" w:rsidP="00F75D58">
      <w:pPr>
        <w:pStyle w:val="EndpageText"/>
        <w:spacing w:line="240" w:lineRule="auto"/>
        <w:ind w:left="0"/>
        <w:jc w:val="both"/>
        <w:rPr>
          <w:color w:val="auto"/>
          <w:sz w:val="22"/>
          <w:szCs w:val="22"/>
        </w:rPr>
      </w:pPr>
    </w:p>
    <w:p w:rsidR="00196549" w:rsidRPr="00977CAA" w:rsidRDefault="00196549" w:rsidP="00196549">
      <w:pPr>
        <w:pStyle w:val="Heading2"/>
        <w:spacing w:after="120"/>
        <w:rPr>
          <w:color w:val="00B0F0"/>
        </w:rPr>
      </w:pPr>
      <w:bookmarkStart w:id="544" w:name="_Toc316544920"/>
      <w:r w:rsidRPr="00977CAA">
        <w:rPr>
          <w:color w:val="00B0F0"/>
        </w:rPr>
        <w:t>Sustainability issues</w:t>
      </w:r>
      <w:bookmarkEnd w:id="544"/>
    </w:p>
    <w:p w:rsidR="00C5206B" w:rsidRPr="000E0DCA" w:rsidRDefault="00CD133B" w:rsidP="000E0DCA">
      <w:pPr>
        <w:pStyle w:val="Heading3"/>
      </w:pPr>
      <w:bookmarkStart w:id="545" w:name="_Toc316544921"/>
      <w:r w:rsidRPr="000E0DCA">
        <w:t>Hydro</w:t>
      </w:r>
      <w:bookmarkEnd w:id="545"/>
    </w:p>
    <w:p w:rsidR="00CD133B" w:rsidRDefault="00CD133B" w:rsidP="00CD133B">
      <w:pPr>
        <w:pStyle w:val="Heading3"/>
      </w:pPr>
      <w:r>
        <w:t xml:space="preserve"> </w:t>
      </w:r>
    </w:p>
    <w:p w:rsidR="00C5206B" w:rsidRDefault="00C5206B" w:rsidP="00986EAF">
      <w:pPr>
        <w:pStyle w:val="DECCnumberingBold"/>
      </w:pPr>
      <w:r>
        <w:t>It has become apparent that there have been tensions between small hydro developments and the need to safeguard environmental objectives for UK waterways. Small hydropower schemes developed in appropriate locations and with the appropriate environmental safeguards are a clean and local power source that can help secure a sustainable electricity supply.</w:t>
      </w:r>
    </w:p>
    <w:p w:rsidR="009075CD" w:rsidRDefault="00C5206B" w:rsidP="00986EAF">
      <w:pPr>
        <w:pStyle w:val="DECCnumberingBold"/>
      </w:pPr>
      <w:r>
        <w:t xml:space="preserve">There is a framework of legislation aimed at protecting fish and the ecology of a river, as well as enhancing water quality and biodiversity in the UK. Government and its agencies have a key role to deliver this legislation. Most hydropower proposals can comply with the legislation through appropriate mitigation measures. However, in some cases the practicality and cost of safeguarding the local environment will mean that not all of the schemes which developers propose </w:t>
      </w:r>
      <w:r>
        <w:lastRenderedPageBreak/>
        <w:t>will be viable. All hydro developments applying for FITs payments should comply with all the relevant legislation and take account of guidance.</w:t>
      </w:r>
    </w:p>
    <w:p w:rsidR="00F75D58" w:rsidRPr="000E0DCA" w:rsidRDefault="00196549" w:rsidP="000E0DCA">
      <w:pPr>
        <w:pStyle w:val="Heading3"/>
      </w:pPr>
      <w:bookmarkStart w:id="546" w:name="_Toc316544922"/>
      <w:r w:rsidRPr="000E0DCA">
        <w:t>Anaerobic Digestion</w:t>
      </w:r>
      <w:bookmarkEnd w:id="546"/>
    </w:p>
    <w:p w:rsidR="00F75D58" w:rsidRDefault="00F75D58" w:rsidP="00F75D58">
      <w:pPr>
        <w:pStyle w:val="EndpageText"/>
        <w:spacing w:line="240" w:lineRule="auto"/>
        <w:ind w:left="0"/>
        <w:jc w:val="both"/>
        <w:rPr>
          <w:color w:val="auto"/>
          <w:sz w:val="22"/>
          <w:szCs w:val="22"/>
        </w:rPr>
      </w:pPr>
    </w:p>
    <w:p w:rsidR="00C276D9" w:rsidRDefault="00C276D9" w:rsidP="00986EAF">
      <w:pPr>
        <w:pStyle w:val="DECCnumberingBold"/>
      </w:pPr>
      <w:r>
        <w:t>The Government strongly supports the generation of energy from waste through Anaerobic Digestion (AD). We want to create the market conditions which encourage the AD sector to be part of our green economy – supporting economic growth and improved productivity, whilst helping to achieve our goals for diverting waste from landfill, improving the natural environment and mitigating climate change.</w:t>
      </w:r>
    </w:p>
    <w:p w:rsidR="00C276D9" w:rsidRDefault="00C276D9" w:rsidP="00986EAF">
      <w:pPr>
        <w:pStyle w:val="DECCnumberingBold"/>
      </w:pPr>
      <w:r>
        <w:t>As part of the fast-track review of FITs, Government sought views on the sustainability of using purpose grown crops as a feedstock for AD in light of concerns about the potential for adverse impacts on food production, biodiversity loss and water quality. We committed to consider this as part of the Comprehensive Review.</w:t>
      </w:r>
    </w:p>
    <w:p w:rsidR="00C276D9" w:rsidRDefault="00C276D9" w:rsidP="00986EAF">
      <w:pPr>
        <w:pStyle w:val="DECCnumberingBold"/>
      </w:pPr>
      <w:r>
        <w:t xml:space="preserve">Since the fast track review, DECC and Defra have worked with industry and environmental NGOs to compile and review the available evidence. It suggests that, with the current policy framework and FIT rates, only a modest increase in the use of these crops is likely as agricultural based AD plants mainly utilise manure, slurry and residue </w:t>
      </w:r>
      <w:proofErr w:type="spellStart"/>
      <w:r>
        <w:t>feedstocks</w:t>
      </w:r>
      <w:proofErr w:type="spellEnd"/>
      <w:r>
        <w:t xml:space="preserve">, co-digested with crops. We are reassured that stakeholders agree the current framework is unlikely to lead to the creation of new large scale monocultures of crops which do not support our environmental objectives. However, concerns remain about the potential for localised impacts from, for example, diffuse pollution or habitat loss. </w:t>
      </w:r>
    </w:p>
    <w:p w:rsidR="00C276D9" w:rsidRDefault="00C276D9" w:rsidP="00986EAF">
      <w:pPr>
        <w:pStyle w:val="DECCnumberingBold"/>
      </w:pPr>
      <w:r w:rsidRPr="00C276D9">
        <w:t>The Government believes these environmental risks which could result from an increased use of purpose grown crops must be managed with appropriate standards of operator performance, harvesting techniques, site, plant and crop selection. The Government therefore proposes to work with industry and other stakeholders to develop and agree a voluntary code of practice for AD operators using purpose grown crops, with the aim of avoiding or mitigating risks, so AD can sustainably secure benefits in the context of food security, land use change, the environment and competitiveness.</w:t>
      </w:r>
    </w:p>
    <w:p w:rsidR="00C276D9" w:rsidRDefault="00C276D9" w:rsidP="00986EAF">
      <w:pPr>
        <w:pStyle w:val="DECCnumberingBold"/>
      </w:pPr>
      <w:r>
        <w:t xml:space="preserve">We recognise the important role of purpose grown crops as a feedstock used in co-digestion with food and most typically, agricultural wastes to improve the economic and in some cases, technical viability of AD plants across the full range of AD plant deployment. However, we want the limited public funds available to drive greater and wider uptake of waste </w:t>
      </w:r>
      <w:proofErr w:type="spellStart"/>
      <w:r>
        <w:t>feedstocks</w:t>
      </w:r>
      <w:proofErr w:type="spellEnd"/>
      <w:r>
        <w:t>, w</w:t>
      </w:r>
      <w:r w:rsidR="000D31AB">
        <w:t>ith crops be</w:t>
      </w:r>
      <w:r>
        <w:t xml:space="preserve">ing used to support this growth where it is required and it makes sense to do so. </w:t>
      </w:r>
    </w:p>
    <w:p w:rsidR="006016B1" w:rsidRDefault="00C276D9" w:rsidP="00986EAF">
      <w:pPr>
        <w:pStyle w:val="DECCnumberingBold"/>
        <w:rPr>
          <w:sz w:val="22"/>
        </w:rPr>
      </w:pPr>
      <w:r>
        <w:t xml:space="preserve">Defra will work with industry and other stakeholders to monitor uptake of different AD systems, the effectiveness of the voluntary code and to evaluate other options, including a regulatory approach. Monitoring of progress will occur alongside the standard FIT review mechanism. If evidence emerges that this voluntary approach does not achieve its aims we will explore regulatory controls, including for example, limiting future eligibility for FITs to plants that treat wastes. This would be </w:t>
      </w:r>
      <w:r>
        <w:lastRenderedPageBreak/>
        <w:t xml:space="preserve">subject to consultation and </w:t>
      </w:r>
      <w:r w:rsidR="00992B51">
        <w:t>Parliamentary</w:t>
      </w:r>
      <w:r>
        <w:t xml:space="preserve"> scrutiny as required by the Energy Act 2008.</w:t>
      </w:r>
    </w:p>
    <w:tbl>
      <w:tblPr>
        <w:tblW w:w="4860"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594"/>
        <w:gridCol w:w="8349"/>
        <w:gridCol w:w="9"/>
      </w:tblGrid>
      <w:tr w:rsidR="002B25C6" w:rsidRPr="00226F71" w:rsidTr="002B25C6">
        <w:tc>
          <w:tcPr>
            <w:tcW w:w="5000" w:type="pct"/>
            <w:gridSpan w:val="3"/>
            <w:shd w:val="clear" w:color="auto" w:fill="CCECF9"/>
          </w:tcPr>
          <w:p w:rsidR="002B25C6" w:rsidRDefault="002B25C6" w:rsidP="00CE59C6">
            <w:pPr>
              <w:pStyle w:val="TableTitle"/>
              <w:rPr>
                <w:rStyle w:val="PantoneCyan"/>
                <w:b/>
                <w:i/>
              </w:rPr>
            </w:pPr>
            <w:r w:rsidRPr="00226F71">
              <w:rPr>
                <w:rStyle w:val="PantoneCyan"/>
                <w:b/>
              </w:rPr>
              <w:t>Consultation Question</w:t>
            </w:r>
            <w:r>
              <w:rPr>
                <w:rStyle w:val="PantoneCyan"/>
                <w:b/>
              </w:rPr>
              <w:t xml:space="preserve">s: </w:t>
            </w:r>
            <w:r>
              <w:rPr>
                <w:rStyle w:val="PantoneCyan"/>
                <w:b/>
                <w:i/>
              </w:rPr>
              <w:t>Please support your response with arguments</w:t>
            </w:r>
            <w:r w:rsidR="007A37A8">
              <w:rPr>
                <w:rStyle w:val="PantoneCyan"/>
                <w:b/>
                <w:i/>
              </w:rPr>
              <w:t xml:space="preserve"> and evidence</w:t>
            </w:r>
          </w:p>
          <w:p w:rsidR="000617DE" w:rsidRPr="00226F71" w:rsidRDefault="000617DE" w:rsidP="00CE59C6">
            <w:pPr>
              <w:pStyle w:val="TableTitle"/>
              <w:rPr>
                <w:rStyle w:val="PantoneCyan"/>
                <w:b/>
              </w:rPr>
            </w:pPr>
          </w:p>
        </w:tc>
      </w:tr>
      <w:tr w:rsidR="002B25C6" w:rsidTr="002B25C6">
        <w:trPr>
          <w:gridAfter w:val="1"/>
          <w:wAfter w:w="5" w:type="pct"/>
        </w:trPr>
        <w:tc>
          <w:tcPr>
            <w:tcW w:w="332" w:type="pct"/>
            <w:shd w:val="clear" w:color="auto" w:fill="CCECF9"/>
            <w:tcMar>
              <w:top w:w="113" w:type="dxa"/>
              <w:bottom w:w="113" w:type="dxa"/>
            </w:tcMar>
            <w:vAlign w:val="center"/>
          </w:tcPr>
          <w:p w:rsidR="002B25C6" w:rsidRDefault="00E1748A" w:rsidP="00E1748A">
            <w:pPr>
              <w:pStyle w:val="TableText"/>
              <w:jc w:val="center"/>
            </w:pPr>
            <w:r>
              <w:t>34</w:t>
            </w:r>
            <w:r w:rsidR="006D7E7C">
              <w:t>.</w:t>
            </w:r>
          </w:p>
        </w:tc>
        <w:tc>
          <w:tcPr>
            <w:tcW w:w="4663" w:type="pct"/>
            <w:shd w:val="clear" w:color="auto" w:fill="CCECF9"/>
          </w:tcPr>
          <w:p w:rsidR="002B25C6" w:rsidRPr="00977CAA" w:rsidRDefault="000D31AB" w:rsidP="00CA3877">
            <w:pPr>
              <w:pStyle w:val="NoSpacing"/>
              <w:rPr>
                <w:color w:val="000000"/>
              </w:rPr>
            </w:pPr>
            <w:r w:rsidRPr="00977CAA">
              <w:rPr>
                <w:color w:val="000000"/>
                <w:szCs w:val="24"/>
              </w:rPr>
              <w:t xml:space="preserve">Do you support the principle of a voluntary approach to ensuring sustainable use of purpose grown crops in AD plants that benefit from FITs and to prioritise plants using waste </w:t>
            </w:r>
            <w:proofErr w:type="spellStart"/>
            <w:r w:rsidRPr="00977CAA">
              <w:rPr>
                <w:color w:val="000000"/>
                <w:szCs w:val="24"/>
              </w:rPr>
              <w:t>feedstocks</w:t>
            </w:r>
            <w:proofErr w:type="spellEnd"/>
            <w:r w:rsidRPr="00977CAA">
              <w:rPr>
                <w:color w:val="000000"/>
                <w:szCs w:val="24"/>
              </w:rPr>
              <w:t xml:space="preserve">? If not, what alternative controls should be put in place? </w:t>
            </w:r>
          </w:p>
        </w:tc>
      </w:tr>
    </w:tbl>
    <w:p w:rsidR="006016B1" w:rsidRDefault="006016B1" w:rsidP="006016B1">
      <w:pPr>
        <w:pStyle w:val="NoSpacing"/>
        <w:rPr>
          <w:sz w:val="22"/>
        </w:rPr>
      </w:pPr>
    </w:p>
    <w:p w:rsidR="00DD6AD0" w:rsidRDefault="00A855DC" w:rsidP="00553F55">
      <w:pPr>
        <w:pStyle w:val="EndpageText"/>
        <w:spacing w:line="240" w:lineRule="auto"/>
        <w:jc w:val="both"/>
        <w:rPr>
          <w:color w:val="auto"/>
          <w:sz w:val="22"/>
          <w:szCs w:val="22"/>
        </w:rPr>
      </w:pPr>
      <w:r>
        <w:rPr>
          <w:color w:val="auto"/>
          <w:sz w:val="22"/>
          <w:szCs w:val="22"/>
        </w:rPr>
        <w:br w:type="page"/>
      </w:r>
    </w:p>
    <w:tbl>
      <w:tblPr>
        <w:tblpPr w:leftFromText="181" w:rightFromText="181" w:vertAnchor="text" w:horzAnchor="margin" w:tblpY="-39"/>
        <w:tblW w:w="4835" w:type="pct"/>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2489"/>
        <w:gridCol w:w="6407"/>
      </w:tblGrid>
      <w:tr w:rsidR="00DD6AD0" w:rsidRPr="00DD5FAA" w:rsidTr="00DE1278">
        <w:trPr>
          <w:trHeight w:val="165"/>
          <w:tblHeader/>
        </w:trPr>
        <w:tc>
          <w:tcPr>
            <w:tcW w:w="1399" w:type="pct"/>
            <w:shd w:val="clear" w:color="auto" w:fill="009EE3"/>
            <w:tcMar>
              <w:top w:w="113" w:type="dxa"/>
              <w:bottom w:w="113" w:type="dxa"/>
            </w:tcMar>
          </w:tcPr>
          <w:p w:rsidR="00DD6AD0" w:rsidRPr="00AC6BC1" w:rsidRDefault="00DD6AD0" w:rsidP="00DE1278">
            <w:pPr>
              <w:pStyle w:val="Caption"/>
              <w:jc w:val="both"/>
              <w:rPr>
                <w:color w:val="FFFFFF"/>
                <w:sz w:val="44"/>
                <w:szCs w:val="44"/>
              </w:rPr>
            </w:pPr>
            <w:bookmarkStart w:id="547" w:name="OLE_LINK22"/>
            <w:r w:rsidRPr="00AC6BC1">
              <w:rPr>
                <w:color w:val="FFFFFF"/>
                <w:sz w:val="44"/>
                <w:szCs w:val="44"/>
              </w:rPr>
              <w:t>Chapter 4.</w:t>
            </w:r>
          </w:p>
          <w:p w:rsidR="00DD6AD0" w:rsidRPr="00AC6BC1" w:rsidRDefault="00DD6AD0" w:rsidP="00DE1278">
            <w:pPr>
              <w:jc w:val="both"/>
              <w:rPr>
                <w:sz w:val="44"/>
                <w:szCs w:val="44"/>
              </w:rPr>
            </w:pPr>
          </w:p>
        </w:tc>
        <w:tc>
          <w:tcPr>
            <w:tcW w:w="3601" w:type="pct"/>
            <w:shd w:val="clear" w:color="auto" w:fill="009EE3"/>
            <w:tcMar>
              <w:top w:w="113" w:type="dxa"/>
              <w:bottom w:w="113" w:type="dxa"/>
            </w:tcMar>
          </w:tcPr>
          <w:p w:rsidR="00DD6AD0" w:rsidRPr="00AC6BC1" w:rsidRDefault="00CD6EF4" w:rsidP="002420BC">
            <w:pPr>
              <w:pStyle w:val="Heading1"/>
              <w:rPr>
                <w:color w:val="FFFFFF"/>
                <w:sz w:val="44"/>
                <w:szCs w:val="44"/>
              </w:rPr>
            </w:pPr>
            <w:bookmarkStart w:id="548" w:name="_Toc316544923"/>
            <w:r w:rsidRPr="00AC6BC1">
              <w:rPr>
                <w:color w:val="FFFFFF"/>
                <w:sz w:val="44"/>
                <w:szCs w:val="44"/>
              </w:rPr>
              <w:t>Community</w:t>
            </w:r>
            <w:r w:rsidR="00DD6AD0" w:rsidRPr="00AC6BC1">
              <w:rPr>
                <w:color w:val="FFFFFF"/>
                <w:sz w:val="44"/>
                <w:szCs w:val="44"/>
              </w:rPr>
              <w:t xml:space="preserve"> </w:t>
            </w:r>
            <w:r w:rsidR="002420BC" w:rsidRPr="00AC6BC1">
              <w:rPr>
                <w:color w:val="FFFFFF"/>
                <w:sz w:val="44"/>
                <w:szCs w:val="44"/>
              </w:rPr>
              <w:t>and multi-</w:t>
            </w:r>
            <w:r w:rsidR="00DD6AD0" w:rsidRPr="00AC6BC1">
              <w:rPr>
                <w:color w:val="FFFFFF"/>
                <w:sz w:val="44"/>
                <w:szCs w:val="44"/>
              </w:rPr>
              <w:t>installation</w:t>
            </w:r>
            <w:r w:rsidR="002420BC" w:rsidRPr="00AC6BC1">
              <w:rPr>
                <w:color w:val="FFFFFF"/>
                <w:sz w:val="44"/>
                <w:szCs w:val="44"/>
              </w:rPr>
              <w:t xml:space="preserve"> projects</w:t>
            </w:r>
            <w:bookmarkEnd w:id="548"/>
          </w:p>
        </w:tc>
      </w:tr>
      <w:tr w:rsidR="00DD6AD0" w:rsidRPr="005F0CAB" w:rsidTr="00DE1278">
        <w:trPr>
          <w:trHeight w:val="488"/>
        </w:trPr>
        <w:tc>
          <w:tcPr>
            <w:tcW w:w="1399" w:type="pct"/>
            <w:shd w:val="clear" w:color="auto" w:fill="auto"/>
            <w:tcMar>
              <w:top w:w="113" w:type="dxa"/>
              <w:bottom w:w="113" w:type="dxa"/>
            </w:tcMar>
          </w:tcPr>
          <w:p w:rsidR="00DD6AD0" w:rsidRPr="001B5BC3" w:rsidRDefault="00DD6AD0" w:rsidP="00DE1278">
            <w:pPr>
              <w:jc w:val="both"/>
              <w:rPr>
                <w:rFonts w:cs="Arial"/>
                <w:b/>
              </w:rPr>
            </w:pPr>
            <w:r w:rsidRPr="001B5BC3">
              <w:rPr>
                <w:rFonts w:cs="Arial"/>
                <w:b/>
              </w:rPr>
              <w:t xml:space="preserve">Summary </w:t>
            </w:r>
          </w:p>
          <w:p w:rsidR="00DD6AD0" w:rsidRPr="003654E6" w:rsidRDefault="00DD6AD0" w:rsidP="00DE1278">
            <w:pPr>
              <w:pStyle w:val="TableText"/>
              <w:jc w:val="both"/>
            </w:pPr>
          </w:p>
        </w:tc>
        <w:tc>
          <w:tcPr>
            <w:tcW w:w="3601" w:type="pct"/>
            <w:shd w:val="clear" w:color="auto" w:fill="auto"/>
            <w:tcMar>
              <w:top w:w="113" w:type="dxa"/>
              <w:bottom w:w="113" w:type="dxa"/>
            </w:tcMar>
          </w:tcPr>
          <w:p w:rsidR="00B2394A" w:rsidRPr="00B2394A" w:rsidRDefault="00CE0784" w:rsidP="00DD6AD0">
            <w:pPr>
              <w:numPr>
                <w:ilvl w:val="0"/>
                <w:numId w:val="6"/>
              </w:numPr>
              <w:ind w:right="113"/>
              <w:jc w:val="both"/>
              <w:rPr>
                <w:sz w:val="22"/>
                <w:szCs w:val="22"/>
              </w:rPr>
            </w:pPr>
            <w:r>
              <w:t>Consults on the</w:t>
            </w:r>
            <w:r w:rsidR="00DD6AD0">
              <w:t xml:space="preserve"> definition of community </w:t>
            </w:r>
          </w:p>
          <w:p w:rsidR="00DD6AD0" w:rsidRPr="00B2394A" w:rsidRDefault="00B2394A" w:rsidP="00DD6AD0">
            <w:pPr>
              <w:numPr>
                <w:ilvl w:val="0"/>
                <w:numId w:val="6"/>
              </w:numPr>
              <w:ind w:right="113"/>
              <w:jc w:val="both"/>
              <w:rPr>
                <w:sz w:val="22"/>
                <w:szCs w:val="22"/>
              </w:rPr>
            </w:pPr>
            <w:r>
              <w:t>Looks at</w:t>
            </w:r>
            <w:r w:rsidR="00DD6AD0">
              <w:t xml:space="preserve"> how </w:t>
            </w:r>
            <w:r>
              <w:t>such a definition might be used</w:t>
            </w:r>
            <w:r w:rsidR="00DD6AD0">
              <w:t xml:space="preserve"> might be used</w:t>
            </w:r>
            <w:r>
              <w:t>:</w:t>
            </w:r>
          </w:p>
          <w:p w:rsidR="00B2394A" w:rsidRPr="00B2394A" w:rsidRDefault="00B2394A" w:rsidP="00577ED1">
            <w:pPr>
              <w:numPr>
                <w:ilvl w:val="1"/>
                <w:numId w:val="6"/>
              </w:numPr>
              <w:ind w:right="113"/>
              <w:jc w:val="both"/>
              <w:rPr>
                <w:sz w:val="22"/>
                <w:szCs w:val="22"/>
              </w:rPr>
            </w:pPr>
            <w:r>
              <w:t>Multi-installation tariffs for commercial and community projects</w:t>
            </w:r>
          </w:p>
          <w:p w:rsidR="00B2394A" w:rsidRPr="005F0CAB" w:rsidRDefault="00B2394A" w:rsidP="00577ED1">
            <w:pPr>
              <w:numPr>
                <w:ilvl w:val="1"/>
                <w:numId w:val="6"/>
              </w:numPr>
              <w:ind w:right="113"/>
              <w:jc w:val="both"/>
              <w:rPr>
                <w:sz w:val="22"/>
                <w:szCs w:val="22"/>
              </w:rPr>
            </w:pPr>
            <w:r>
              <w:t>“Fixing” the tariff rates for community projects</w:t>
            </w:r>
          </w:p>
        </w:tc>
      </w:tr>
    </w:tbl>
    <w:p w:rsidR="00A4776C" w:rsidRDefault="00826EFD" w:rsidP="00986EAF">
      <w:pPr>
        <w:pStyle w:val="DECCnumberingBold"/>
      </w:pPr>
      <w:r>
        <w:t>In the Phase 1 consultation document, we set out our ambition to consider further the role of community-owned installations in FITs.</w:t>
      </w:r>
    </w:p>
    <w:p w:rsidR="00826EFD" w:rsidRDefault="00826EFD" w:rsidP="00826EFD">
      <w:pPr>
        <w:pStyle w:val="Default"/>
        <w:ind w:left="851"/>
        <w:rPr>
          <w:i/>
        </w:rPr>
      </w:pPr>
      <w:r>
        <w:rPr>
          <w:i/>
        </w:rPr>
        <w:t>“We are also considering whether more could be done to enable genuine community projects to be able to fully benefit from FITs. We will provide more detail on this in the second consultation on the comprehensive review but would, in the meantime, welcome any views on this and whether, for example, a definition of community scheme is required and, if so, how this should be defined.”</w:t>
      </w:r>
    </w:p>
    <w:p w:rsidR="00826EFD" w:rsidRDefault="00826EFD" w:rsidP="00826EFD">
      <w:pPr>
        <w:pStyle w:val="Default"/>
        <w:ind w:left="851"/>
        <w:rPr>
          <w:i/>
        </w:rPr>
      </w:pPr>
    </w:p>
    <w:p w:rsidR="00826EFD" w:rsidRDefault="00826EFD" w:rsidP="00986EAF">
      <w:pPr>
        <w:pStyle w:val="DECCnumberingBold"/>
      </w:pPr>
      <w:r>
        <w:t>Responses to the Phase 1 consultation included proposals from a number of stakeholders that generation from certain installations linked to communities should receive preferential treatment (generally higher tariffs) to reflect the wider benefits they may deliver. These proposals were brought in particular by three types of organisation:</w:t>
      </w:r>
    </w:p>
    <w:p w:rsidR="00826EFD" w:rsidRPr="00577ED1" w:rsidRDefault="00826EFD" w:rsidP="005957AB">
      <w:pPr>
        <w:pStyle w:val="Default"/>
        <w:numPr>
          <w:ilvl w:val="0"/>
          <w:numId w:val="12"/>
        </w:numPr>
        <w:ind w:left="851"/>
        <w:rPr>
          <w:color w:val="auto"/>
        </w:rPr>
      </w:pPr>
      <w:r>
        <w:rPr>
          <w:b/>
        </w:rPr>
        <w:t>Social housing providers</w:t>
      </w:r>
      <w:r>
        <w:t xml:space="preserve">. Their case is based on the fact that they provide free electricity to their tenants and therefore potentially help to rebalance the FITs scheme in favour of the fuel poor. It is also argued that they are disadvantaged relative to other </w:t>
      </w:r>
      <w:r w:rsidR="004B4926">
        <w:t xml:space="preserve">multi-installation </w:t>
      </w:r>
      <w:r>
        <w:t xml:space="preserve">schemes </w:t>
      </w:r>
      <w:r w:rsidR="00B90430">
        <w:t>for various reasons, including</w:t>
      </w:r>
      <w:r>
        <w:t xml:space="preserve"> the complex negotiation required with social housing tenants</w:t>
      </w:r>
      <w:r w:rsidR="00581969">
        <w:t xml:space="preserve">. The proposal in the response to Phase 1 to raise the threshold for the multi-installation tariff </w:t>
      </w:r>
      <w:r w:rsidR="00F8071C">
        <w:t xml:space="preserve">for PV installations </w:t>
      </w:r>
      <w:r w:rsidR="00581969">
        <w:t xml:space="preserve">to 25, </w:t>
      </w:r>
      <w:r w:rsidR="00B90430">
        <w:t>is intended to</w:t>
      </w:r>
      <w:r w:rsidR="00581969">
        <w:t xml:space="preserve"> help some of the smaller social housing projects.</w:t>
      </w:r>
    </w:p>
    <w:p w:rsidR="00577ED1" w:rsidRDefault="00577ED1" w:rsidP="00577ED1">
      <w:pPr>
        <w:pStyle w:val="Default"/>
        <w:ind w:left="851"/>
        <w:rPr>
          <w:color w:val="auto"/>
        </w:rPr>
      </w:pPr>
    </w:p>
    <w:p w:rsidR="00826EFD" w:rsidRDefault="00826EFD" w:rsidP="005957AB">
      <w:pPr>
        <w:pStyle w:val="Default"/>
        <w:numPr>
          <w:ilvl w:val="0"/>
          <w:numId w:val="12"/>
        </w:numPr>
        <w:ind w:left="851"/>
      </w:pPr>
      <w:r>
        <w:rPr>
          <w:b/>
        </w:rPr>
        <w:t>The community energy sector.</w:t>
      </w:r>
      <w:r>
        <w:t xml:space="preserve"> This sector consists of local and regional organisations that promote and develop small</w:t>
      </w:r>
      <w:r w:rsidR="004B4926">
        <w:t>-</w:t>
      </w:r>
      <w:r>
        <w:t>scale distributed energy for enviro</w:t>
      </w:r>
      <w:r w:rsidR="00773306">
        <w:t>nmental and community benefits including specific purpose vehicles set up by other organisations individually or jointly.</w:t>
      </w:r>
    </w:p>
    <w:p w:rsidR="00577ED1" w:rsidRDefault="00577ED1" w:rsidP="00577ED1">
      <w:pPr>
        <w:pStyle w:val="Default"/>
      </w:pPr>
    </w:p>
    <w:p w:rsidR="00826EFD" w:rsidRDefault="00826EFD" w:rsidP="005957AB">
      <w:pPr>
        <w:pStyle w:val="Default"/>
        <w:numPr>
          <w:ilvl w:val="0"/>
          <w:numId w:val="12"/>
        </w:numPr>
        <w:ind w:left="851"/>
      </w:pPr>
      <w:r>
        <w:rPr>
          <w:b/>
        </w:rPr>
        <w:lastRenderedPageBreak/>
        <w:t>Small individual community groups</w:t>
      </w:r>
      <w:r>
        <w:t xml:space="preserve"> including individual installations on buildings such as churches, community centres and schools, which may not be viable at reduced tariffs.</w:t>
      </w:r>
    </w:p>
    <w:p w:rsidR="007B1402" w:rsidRDefault="007B1402" w:rsidP="00577ED1">
      <w:pPr>
        <w:pStyle w:val="NoSpacing"/>
      </w:pPr>
    </w:p>
    <w:p w:rsidR="00826EFD" w:rsidRPr="00577ED1" w:rsidRDefault="00826EFD" w:rsidP="00577ED1">
      <w:pPr>
        <w:pStyle w:val="NoSpacing"/>
        <w:rPr>
          <w:b/>
          <w:color w:val="00B0F0"/>
          <w:sz w:val="28"/>
          <w:szCs w:val="28"/>
        </w:rPr>
      </w:pPr>
      <w:r w:rsidRPr="00577ED1">
        <w:rPr>
          <w:b/>
          <w:color w:val="00B0F0"/>
          <w:sz w:val="28"/>
          <w:szCs w:val="28"/>
        </w:rPr>
        <w:t>Definition</w:t>
      </w:r>
    </w:p>
    <w:p w:rsidR="00577ED1" w:rsidRDefault="00577ED1" w:rsidP="00577ED1">
      <w:pPr>
        <w:pStyle w:val="NoSpacing"/>
      </w:pPr>
    </w:p>
    <w:p w:rsidR="00826EFD" w:rsidRDefault="00826EFD" w:rsidP="00986EAF">
      <w:pPr>
        <w:pStyle w:val="DECCnumberingBold"/>
      </w:pPr>
      <w:r>
        <w:t xml:space="preserve">This consultation seeks views on the definition of “community” installations and the uses to which such a definition may be put. In developing such a definition, it is important that it targets the appropriate group, is not too wide, and can be legally implemented and enforced. </w:t>
      </w:r>
    </w:p>
    <w:p w:rsidR="00826EFD" w:rsidRDefault="00826EFD" w:rsidP="00986EAF">
      <w:pPr>
        <w:pStyle w:val="DECCnumberingBold"/>
      </w:pPr>
      <w:r>
        <w:t>The key areas that may be targeted by a definition are:</w:t>
      </w:r>
    </w:p>
    <w:p w:rsidR="00826EFD" w:rsidRDefault="00826EFD" w:rsidP="005957AB">
      <w:pPr>
        <w:pStyle w:val="ListParagraph1"/>
        <w:numPr>
          <w:ilvl w:val="0"/>
          <w:numId w:val="13"/>
        </w:numPr>
        <w:spacing w:after="0" w:line="240" w:lineRule="auto"/>
        <w:ind w:left="1418"/>
        <w:rPr>
          <w:rFonts w:ascii="Arial" w:hAnsi="Arial" w:cs="Arial"/>
          <w:sz w:val="24"/>
          <w:szCs w:val="24"/>
        </w:rPr>
      </w:pPr>
      <w:r>
        <w:rPr>
          <w:rFonts w:ascii="Arial" w:hAnsi="Arial" w:cs="Arial"/>
          <w:b/>
          <w:sz w:val="24"/>
          <w:szCs w:val="24"/>
        </w:rPr>
        <w:t>Social enterprises</w:t>
      </w:r>
      <w:r>
        <w:rPr>
          <w:rFonts w:ascii="Arial" w:hAnsi="Arial" w:cs="Arial"/>
          <w:sz w:val="24"/>
          <w:szCs w:val="24"/>
        </w:rPr>
        <w:t>: These include organisations that may be structured as businesses but which exist for the purposes of community benefit. These enterprises are recognised in various tax laws, including those that relate to FITs (e.g. the recent changes to eligibility for FITs for Venture Capital Trusts) so an enforceable legal definition exists and is well understood. The definition used by HMRC for this purpose is:</w:t>
      </w:r>
    </w:p>
    <w:p w:rsidR="00826EFD" w:rsidRDefault="00826EFD" w:rsidP="00826EFD">
      <w:pPr>
        <w:pStyle w:val="ListParagraph1"/>
        <w:spacing w:after="0" w:line="240" w:lineRule="auto"/>
        <w:ind w:left="1353"/>
        <w:rPr>
          <w:rFonts w:ascii="Arial" w:hAnsi="Arial" w:cs="Arial"/>
          <w:sz w:val="24"/>
          <w:szCs w:val="24"/>
        </w:rPr>
      </w:pPr>
      <w:r>
        <w:rPr>
          <w:rFonts w:ascii="Arial" w:hAnsi="Arial" w:cs="Arial"/>
          <w:sz w:val="24"/>
          <w:szCs w:val="24"/>
        </w:rPr>
        <w:t xml:space="preserve"> “the generation or export is carried on by:</w:t>
      </w:r>
    </w:p>
    <w:p w:rsidR="00577ED1" w:rsidRDefault="00577ED1" w:rsidP="00826EFD">
      <w:pPr>
        <w:pStyle w:val="ListParagraph1"/>
        <w:spacing w:after="0" w:line="240" w:lineRule="auto"/>
        <w:ind w:left="1353"/>
        <w:rPr>
          <w:rFonts w:ascii="Arial" w:hAnsi="Arial" w:cs="Arial"/>
          <w:sz w:val="24"/>
          <w:szCs w:val="24"/>
        </w:rPr>
      </w:pPr>
    </w:p>
    <w:p w:rsidR="00826EFD" w:rsidRDefault="00826EFD" w:rsidP="00B1638E">
      <w:pPr>
        <w:pStyle w:val="ListParagraph1"/>
        <w:spacing w:after="0" w:line="240" w:lineRule="auto"/>
        <w:ind w:left="1353"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a community interest company</w:t>
      </w:r>
      <w:r>
        <w:rPr>
          <w:rStyle w:val="FootnoteReference"/>
          <w:rFonts w:ascii="Arial" w:hAnsi="Arial" w:cs="Arial"/>
          <w:sz w:val="24"/>
          <w:szCs w:val="24"/>
        </w:rPr>
        <w:footnoteReference w:id="6"/>
      </w:r>
      <w:r>
        <w:rPr>
          <w:rFonts w:ascii="Arial" w:hAnsi="Arial" w:cs="Arial"/>
          <w:sz w:val="24"/>
          <w:szCs w:val="24"/>
        </w:rPr>
        <w:t>;</w:t>
      </w:r>
    </w:p>
    <w:p w:rsidR="00826EFD" w:rsidRDefault="00826EFD" w:rsidP="00B1638E">
      <w:pPr>
        <w:pStyle w:val="ListParagraph1"/>
        <w:spacing w:after="0" w:line="240" w:lineRule="auto"/>
        <w:ind w:left="1353" w:firstLine="720"/>
        <w:rPr>
          <w:rFonts w:ascii="Arial" w:hAnsi="Arial" w:cs="Arial"/>
          <w:sz w:val="24"/>
          <w:szCs w:val="24"/>
        </w:rPr>
      </w:pPr>
      <w:r>
        <w:rPr>
          <w:rFonts w:ascii="Arial" w:hAnsi="Arial" w:cs="Arial"/>
          <w:sz w:val="24"/>
          <w:szCs w:val="24"/>
        </w:rPr>
        <w:t>(ii) a co-operative society;</w:t>
      </w:r>
    </w:p>
    <w:p w:rsidR="00826EFD" w:rsidRDefault="00826EFD" w:rsidP="00B1638E">
      <w:pPr>
        <w:pStyle w:val="ListParagraph1"/>
        <w:spacing w:after="0" w:line="240" w:lineRule="auto"/>
        <w:ind w:left="1353" w:firstLine="720"/>
        <w:rPr>
          <w:rFonts w:ascii="Arial" w:hAnsi="Arial" w:cs="Arial"/>
          <w:sz w:val="24"/>
          <w:szCs w:val="24"/>
        </w:rPr>
      </w:pPr>
      <w:r>
        <w:rPr>
          <w:rFonts w:ascii="Arial" w:hAnsi="Arial" w:cs="Arial"/>
          <w:sz w:val="24"/>
          <w:szCs w:val="24"/>
        </w:rPr>
        <w:t>(iii) a community benefit society; or</w:t>
      </w:r>
    </w:p>
    <w:p w:rsidR="00826EFD" w:rsidRDefault="00826EFD" w:rsidP="00B1638E">
      <w:pPr>
        <w:pStyle w:val="ListParagraph1"/>
        <w:spacing w:after="0" w:line="240" w:lineRule="auto"/>
        <w:ind w:left="1353" w:firstLine="720"/>
        <w:rPr>
          <w:rFonts w:ascii="Arial" w:hAnsi="Arial" w:cs="Arial"/>
          <w:sz w:val="24"/>
          <w:szCs w:val="24"/>
        </w:rPr>
      </w:pPr>
      <w:r>
        <w:rPr>
          <w:rFonts w:ascii="Arial" w:hAnsi="Arial" w:cs="Arial"/>
          <w:sz w:val="24"/>
          <w:szCs w:val="24"/>
        </w:rPr>
        <w:t>(iv) a NI industrial and provident society</w:t>
      </w:r>
      <w:r>
        <w:rPr>
          <w:rStyle w:val="FootnoteReference"/>
          <w:rFonts w:ascii="Arial" w:hAnsi="Arial" w:cs="Arial"/>
          <w:sz w:val="24"/>
          <w:szCs w:val="24"/>
        </w:rPr>
        <w:footnoteReference w:id="7"/>
      </w:r>
      <w:r>
        <w:rPr>
          <w:rFonts w:ascii="Arial" w:hAnsi="Arial" w:cs="Arial"/>
          <w:sz w:val="24"/>
          <w:szCs w:val="24"/>
        </w:rPr>
        <w:t>.”</w:t>
      </w:r>
    </w:p>
    <w:p w:rsidR="00826EFD" w:rsidRDefault="00826EFD" w:rsidP="00826EFD">
      <w:pPr>
        <w:pStyle w:val="ListParagraph1"/>
        <w:spacing w:after="0" w:line="240" w:lineRule="auto"/>
        <w:ind w:left="993"/>
        <w:rPr>
          <w:rFonts w:ascii="Arial" w:hAnsi="Arial" w:cs="Arial"/>
          <w:sz w:val="24"/>
          <w:szCs w:val="24"/>
        </w:rPr>
      </w:pPr>
    </w:p>
    <w:p w:rsidR="00826EFD" w:rsidRDefault="00826EFD" w:rsidP="00B1638E">
      <w:pPr>
        <w:pStyle w:val="ListParagraph1"/>
        <w:spacing w:after="0" w:line="240" w:lineRule="auto"/>
        <w:ind w:left="1440"/>
        <w:rPr>
          <w:rFonts w:ascii="Arial" w:hAnsi="Arial" w:cs="Arial"/>
          <w:sz w:val="24"/>
          <w:szCs w:val="24"/>
        </w:rPr>
      </w:pPr>
      <w:r>
        <w:rPr>
          <w:rFonts w:ascii="Arial" w:hAnsi="Arial" w:cs="Arial"/>
          <w:sz w:val="24"/>
          <w:szCs w:val="24"/>
        </w:rPr>
        <w:t xml:space="preserve">There is a risk, however, that a definition based </w:t>
      </w:r>
      <w:r>
        <w:rPr>
          <w:rFonts w:ascii="Arial" w:hAnsi="Arial" w:cs="Arial"/>
          <w:sz w:val="24"/>
          <w:szCs w:val="24"/>
          <w:u w:val="single"/>
        </w:rPr>
        <w:t>only</w:t>
      </w:r>
      <w:r>
        <w:rPr>
          <w:rFonts w:ascii="Arial" w:hAnsi="Arial" w:cs="Arial"/>
          <w:sz w:val="24"/>
          <w:szCs w:val="24"/>
        </w:rPr>
        <w:t xml:space="preserve"> on these criteria might be too wide. Further refining the definition to include a specific subset of community enterprises could be based on the organisation’s “primary purpose” i.e. the organisation’s articles of incorporation identify “renewable energy” or “carbon reduction” or similar terms as its primary purpose. This would however be difficult to define. Some organisations have suggested size as a further filter. This would exclude large national organisations, but would not limit application to community energy organisations. We are seeking views on options for refining the definition as part of the current consultation.</w:t>
      </w:r>
    </w:p>
    <w:p w:rsidR="00826EFD" w:rsidRDefault="00826EFD" w:rsidP="00826EFD">
      <w:pPr>
        <w:pStyle w:val="ListParagraph1"/>
        <w:spacing w:after="0" w:line="240" w:lineRule="auto"/>
        <w:ind w:left="993" w:firstLine="720"/>
        <w:rPr>
          <w:rFonts w:ascii="Arial" w:hAnsi="Arial" w:cs="Arial"/>
          <w:sz w:val="24"/>
          <w:szCs w:val="24"/>
        </w:rPr>
      </w:pPr>
    </w:p>
    <w:p w:rsidR="00826EFD" w:rsidRDefault="00826EFD" w:rsidP="005957AB">
      <w:pPr>
        <w:pStyle w:val="ListParagraph1"/>
        <w:numPr>
          <w:ilvl w:val="0"/>
          <w:numId w:val="13"/>
        </w:numPr>
        <w:spacing w:after="0" w:line="240" w:lineRule="auto"/>
        <w:ind w:left="993"/>
        <w:rPr>
          <w:rFonts w:ascii="Arial" w:hAnsi="Arial" w:cs="Arial"/>
          <w:sz w:val="24"/>
          <w:szCs w:val="24"/>
        </w:rPr>
      </w:pPr>
      <w:r>
        <w:rPr>
          <w:rFonts w:ascii="Arial" w:hAnsi="Arial" w:cs="Arial"/>
          <w:b/>
          <w:sz w:val="24"/>
          <w:szCs w:val="24"/>
        </w:rPr>
        <w:t>Charities</w:t>
      </w:r>
      <w:r>
        <w:rPr>
          <w:rFonts w:ascii="Arial" w:hAnsi="Arial" w:cs="Arial"/>
          <w:sz w:val="24"/>
          <w:szCs w:val="24"/>
        </w:rPr>
        <w:t xml:space="preserve">: These are regulated by the Charity Commission (in England and Wales) and the Office of the Scottish Charity Regulator. They are therefore straightforward to define and include in legislation. </w:t>
      </w:r>
      <w:r w:rsidR="004B4926">
        <w:rPr>
          <w:rFonts w:ascii="Arial" w:hAnsi="Arial" w:cs="Arial"/>
          <w:sz w:val="24"/>
          <w:szCs w:val="24"/>
        </w:rPr>
        <w:t>While</w:t>
      </w:r>
      <w:r>
        <w:rPr>
          <w:rFonts w:ascii="Arial" w:hAnsi="Arial" w:cs="Arial"/>
          <w:sz w:val="24"/>
          <w:szCs w:val="24"/>
        </w:rPr>
        <w:t xml:space="preserve"> it is difficult to justify including </w:t>
      </w:r>
      <w:r>
        <w:rPr>
          <w:rFonts w:ascii="Arial" w:hAnsi="Arial" w:cs="Arial"/>
          <w:sz w:val="24"/>
          <w:szCs w:val="24"/>
          <w:u w:val="single"/>
        </w:rPr>
        <w:t>all</w:t>
      </w:r>
      <w:r>
        <w:rPr>
          <w:rFonts w:ascii="Arial" w:hAnsi="Arial" w:cs="Arial"/>
          <w:sz w:val="24"/>
          <w:szCs w:val="24"/>
        </w:rPr>
        <w:t xml:space="preserve"> charities regardless of their function or orientation, this does not preclude charities from setting up specific</w:t>
      </w:r>
      <w:r w:rsidR="004B4926">
        <w:rPr>
          <w:rFonts w:ascii="Arial" w:hAnsi="Arial" w:cs="Arial"/>
          <w:sz w:val="24"/>
          <w:szCs w:val="24"/>
        </w:rPr>
        <w:t>-</w:t>
      </w:r>
      <w:r>
        <w:rPr>
          <w:rFonts w:ascii="Arial" w:hAnsi="Arial" w:cs="Arial"/>
          <w:sz w:val="24"/>
          <w:szCs w:val="24"/>
        </w:rPr>
        <w:t>purpose vehicles for the purposes of community energy that could be classified under (a) above.</w:t>
      </w:r>
    </w:p>
    <w:p w:rsidR="00826EFD" w:rsidRDefault="00826EFD" w:rsidP="00826EFD">
      <w:pPr>
        <w:pStyle w:val="ListParagraph1"/>
        <w:spacing w:after="0" w:line="240" w:lineRule="auto"/>
        <w:ind w:left="993"/>
        <w:rPr>
          <w:rFonts w:ascii="Arial" w:hAnsi="Arial" w:cs="Arial"/>
          <w:sz w:val="24"/>
          <w:szCs w:val="24"/>
        </w:rPr>
      </w:pPr>
    </w:p>
    <w:p w:rsidR="00826EFD" w:rsidRDefault="00826EFD" w:rsidP="005957AB">
      <w:pPr>
        <w:pStyle w:val="ListParagraph1"/>
        <w:numPr>
          <w:ilvl w:val="0"/>
          <w:numId w:val="13"/>
        </w:numPr>
        <w:spacing w:after="0" w:line="240" w:lineRule="auto"/>
        <w:ind w:left="993"/>
        <w:rPr>
          <w:rFonts w:ascii="Arial" w:hAnsi="Arial" w:cs="Arial"/>
          <w:sz w:val="24"/>
          <w:szCs w:val="24"/>
        </w:rPr>
      </w:pPr>
      <w:r>
        <w:rPr>
          <w:rFonts w:ascii="Arial" w:hAnsi="Arial" w:cs="Arial"/>
          <w:b/>
          <w:sz w:val="24"/>
          <w:szCs w:val="24"/>
        </w:rPr>
        <w:t>Social Housing</w:t>
      </w:r>
      <w:r>
        <w:rPr>
          <w:rFonts w:ascii="Arial" w:hAnsi="Arial" w:cs="Arial"/>
          <w:sz w:val="24"/>
          <w:szCs w:val="24"/>
        </w:rPr>
        <w:t xml:space="preserve">: The definition of “social housing” that could be targeted for a special provision is complex because of the range of service providers in this area, and the fact that the providers may be involved in other activities as well as the provision of social housing. It may be appropriate only to target only installations that are located on social housing units and provide benefits to the tenants. </w:t>
      </w:r>
    </w:p>
    <w:p w:rsidR="00577ED1" w:rsidRDefault="00577ED1" w:rsidP="00577ED1">
      <w:pPr>
        <w:pStyle w:val="ListParagraph1"/>
        <w:spacing w:after="0" w:line="240" w:lineRule="auto"/>
        <w:ind w:left="0"/>
        <w:rPr>
          <w:rFonts w:ascii="Arial" w:hAnsi="Arial" w:cs="Arial"/>
          <w:sz w:val="24"/>
          <w:szCs w:val="24"/>
        </w:rPr>
      </w:pPr>
    </w:p>
    <w:p w:rsidR="00826EFD" w:rsidRDefault="00826EFD" w:rsidP="00577ED1">
      <w:pPr>
        <w:pStyle w:val="NoSpacing"/>
        <w:rPr>
          <w:b/>
          <w:color w:val="00B0F0"/>
          <w:sz w:val="28"/>
          <w:szCs w:val="28"/>
        </w:rPr>
      </w:pPr>
      <w:r w:rsidRPr="00577ED1">
        <w:rPr>
          <w:b/>
          <w:color w:val="00B0F0"/>
          <w:sz w:val="28"/>
          <w:szCs w:val="28"/>
        </w:rPr>
        <w:t>Application</w:t>
      </w:r>
    </w:p>
    <w:p w:rsidR="00577ED1" w:rsidRPr="00577ED1" w:rsidRDefault="00577ED1" w:rsidP="00577ED1">
      <w:pPr>
        <w:pStyle w:val="NoSpacing"/>
        <w:rPr>
          <w:rFonts w:cs="Arial"/>
          <w:b/>
          <w:color w:val="00B0F0"/>
          <w:sz w:val="28"/>
          <w:szCs w:val="28"/>
        </w:rPr>
      </w:pPr>
    </w:p>
    <w:p w:rsidR="00826EFD" w:rsidRDefault="00826EFD" w:rsidP="00986EAF">
      <w:pPr>
        <w:pStyle w:val="DECCnumberingBold"/>
      </w:pPr>
      <w:r>
        <w:t xml:space="preserve">Once we have a definition of “community”, there is a range of ways in which it could be used to provide particular benefits that were not available to other installations. There </w:t>
      </w:r>
      <w:r w:rsidR="005312BB">
        <w:t>are</w:t>
      </w:r>
      <w:r>
        <w:t xml:space="preserve">, however,  </w:t>
      </w:r>
      <w:r w:rsidR="005312BB">
        <w:t>several</w:t>
      </w:r>
      <w:r>
        <w:t xml:space="preserve"> issues to consider in providing particular benefits in this way relating to affordability and the issue of over-compensation that has implications both for value for money and for state aids and competition. </w:t>
      </w:r>
    </w:p>
    <w:p w:rsidR="00F26B98" w:rsidRPr="00577ED1" w:rsidRDefault="00F26B98" w:rsidP="000E0DCA">
      <w:pPr>
        <w:pStyle w:val="Heading3"/>
      </w:pPr>
      <w:bookmarkStart w:id="549" w:name="_Toc316544924"/>
      <w:r w:rsidRPr="00577ED1">
        <w:t>Multi-installations</w:t>
      </w:r>
      <w:r w:rsidR="00B7206A" w:rsidRPr="00577ED1">
        <w:t xml:space="preserve"> for commercial and community schemes</w:t>
      </w:r>
      <w:bookmarkEnd w:id="549"/>
    </w:p>
    <w:p w:rsidR="00577ED1" w:rsidRDefault="00577ED1" w:rsidP="00577ED1">
      <w:pPr>
        <w:pStyle w:val="NoSpacing"/>
      </w:pPr>
    </w:p>
    <w:p w:rsidR="00826EFD" w:rsidRDefault="00826EFD" w:rsidP="00986EAF">
      <w:pPr>
        <w:pStyle w:val="DECCnumberingBold"/>
      </w:pPr>
      <w:r>
        <w:t>When the FITs scheme was originally set up, the scope of eligibility was set broadly; it did not distinguish between different ownership, and allowed the transfer of rights</w:t>
      </w:r>
      <w:r w:rsidR="005312BB">
        <w:t xml:space="preserve"> from one FITs recipient to another</w:t>
      </w:r>
      <w:r>
        <w:t xml:space="preserve">. The continued fall in costs for solar PV, allied with the considerable economies of scale available to the large multi-installer, have allowed the rent-a-roof business model to develop as the only major financing model other than self-funding. In order to address </w:t>
      </w:r>
      <w:r w:rsidR="00F8071C">
        <w:t>any risk of overcompensation</w:t>
      </w:r>
      <w:r w:rsidR="004B4926">
        <w:t>,</w:t>
      </w:r>
      <w:r w:rsidR="00F8071C">
        <w:t xml:space="preserve"> </w:t>
      </w:r>
      <w:r>
        <w:t xml:space="preserve">the 20% discount for multi-installation generators was proposed. We believe that even the revised tariff of 16.8p </w:t>
      </w:r>
      <w:r w:rsidR="005312BB">
        <w:t>c</w:t>
      </w:r>
      <w:r w:rsidR="002F1A06">
        <w:t>ould</w:t>
      </w:r>
      <w:r>
        <w:t xml:space="preserve"> soon result in overcompensation. </w:t>
      </w:r>
    </w:p>
    <w:p w:rsidR="00826EFD" w:rsidRDefault="00826EFD" w:rsidP="00986EAF">
      <w:pPr>
        <w:pStyle w:val="DECCnumberingBold"/>
      </w:pPr>
      <w:r>
        <w:t>In the light of the need to ensure the maximum benefit from limited FITs funds, and on the same basis as the approach taken to large-scale PV installations in the fast-track review, it is difficult to justify support for commercial rent-a-roof operators over other generators. That is, developments of this type have not been shown to deliver a sufficient level of broader behavioural benefits to warrant a level of support above the marginal cost of delivering the renewables target (i.e. what is offered for stand-alone installations).</w:t>
      </w:r>
    </w:p>
    <w:p w:rsidR="00826EFD" w:rsidRDefault="00826EFD" w:rsidP="00986EAF">
      <w:pPr>
        <w:pStyle w:val="DECCnumberingBold"/>
      </w:pPr>
      <w:r>
        <w:t xml:space="preserve">We therefore propose to reduce the </w:t>
      </w:r>
      <w:r w:rsidR="002F1A06">
        <w:t xml:space="preserve">solar PV </w:t>
      </w:r>
      <w:r>
        <w:t xml:space="preserve">tariff for non community-owned multi-installations to </w:t>
      </w:r>
      <w:r w:rsidR="005312BB">
        <w:t xml:space="preserve"> a level equivalent to </w:t>
      </w:r>
      <w:r>
        <w:t>the stand-alone tariff from October 2012. Since the stand-alone tariff is the tariff offered to installations that do not fulfil the energy efficiency requirement, there is also a question about whether the energy efficiency requirement would need to apply to these commercial multi-installations. This distinction depends on using the proposed definition of “community” to separate commercial rent-a-roof developers from social housing, which would receive a higher tariff.</w:t>
      </w:r>
    </w:p>
    <w:p w:rsidR="00826EFD" w:rsidRDefault="00826EFD" w:rsidP="00986EAF">
      <w:pPr>
        <w:pStyle w:val="DECCnumberingBold"/>
      </w:pPr>
      <w:r>
        <w:t xml:space="preserve">Any higher tariff for social housing should reflect the cost advantages of multiple installation social housing developments over individual projects. Despite the additional hurdles for social housing projects, there should still be opportunities for </w:t>
      </w:r>
      <w:r>
        <w:lastRenderedPageBreak/>
        <w:t xml:space="preserve">economies of scale, and it is necessary to ensure that no sector is over-compensated. One of the arguments made for higher payments for social housing is the use of </w:t>
      </w:r>
      <w:r w:rsidR="0064568F">
        <w:t xml:space="preserve">the </w:t>
      </w:r>
      <w:r>
        <w:t xml:space="preserve">profit for </w:t>
      </w:r>
      <w:r w:rsidR="0064568F">
        <w:t xml:space="preserve">other purposes, e.g. </w:t>
      </w:r>
      <w:r>
        <w:t xml:space="preserve">additional </w:t>
      </w:r>
      <w:r w:rsidR="0064568F">
        <w:t>low-</w:t>
      </w:r>
      <w:r w:rsidR="007A32EC">
        <w:t>carbon</w:t>
      </w:r>
      <w:r w:rsidR="0064568F">
        <w:t xml:space="preserve"> </w:t>
      </w:r>
      <w:r>
        <w:t>measures, which is not relevant in the context of the FITs scheme. Since there would also be serious financial implications to allowing these installations the full standard tariff, which would make any concession in this area unaffordable, we propose to offer “community-owned” multi-installations a continuing tariff of 80% of that offered to generators</w:t>
      </w:r>
      <w:r w:rsidR="0064568F">
        <w:t xml:space="preserve"> with up to 25</w:t>
      </w:r>
      <w:r w:rsidR="00356445">
        <w:t xml:space="preserve"> installations</w:t>
      </w:r>
      <w:r>
        <w:t xml:space="preserve">. They would thus be at an advantage compared to commercial </w:t>
      </w:r>
      <w:r w:rsidR="00136E65">
        <w:t>multi-installers</w:t>
      </w:r>
      <w:r>
        <w:t>, but with economies of scale reflected in the tariff level.</w:t>
      </w:r>
    </w:p>
    <w:p w:rsidR="00F26B98" w:rsidRDefault="00826EFD" w:rsidP="00986EAF">
      <w:pPr>
        <w:pStyle w:val="DECCnumberingBold"/>
      </w:pPr>
      <w:r>
        <w:t xml:space="preserve">Smaller scale multi-site community projects would be treated separately as they would benefit from the </w:t>
      </w:r>
      <w:r>
        <w:rPr>
          <w:i/>
        </w:rPr>
        <w:t xml:space="preserve">de </w:t>
      </w:r>
      <w:proofErr w:type="spellStart"/>
      <w:r>
        <w:rPr>
          <w:i/>
        </w:rPr>
        <w:t>minimis</w:t>
      </w:r>
      <w:proofErr w:type="spellEnd"/>
      <w:r>
        <w:t xml:space="preserve"> threshold of 25 installations announced in the Response to the Phase 1 consultation, and thus receive the full individual tariff. </w:t>
      </w:r>
    </w:p>
    <w:p w:rsidR="00992B51" w:rsidRPr="00461DDB" w:rsidRDefault="00992B51" w:rsidP="00986EAF">
      <w:pPr>
        <w:pStyle w:val="DECCnumberingBold"/>
      </w:pPr>
      <w:r>
        <w:t>In addition to these changes we propose remov</w:t>
      </w:r>
      <w:r w:rsidR="000825A0">
        <w:t>ing</w:t>
      </w:r>
      <w:r>
        <w:t xml:space="preserve"> any ambiguity that exists in regard to eligibility for FITs for installations that are not owned or operated by the electricity consumer at the site where they are located.</w:t>
      </w:r>
    </w:p>
    <w:p w:rsidR="00F26B98" w:rsidRPr="00577ED1" w:rsidRDefault="00BD7C87" w:rsidP="000E0DCA">
      <w:pPr>
        <w:pStyle w:val="Heading3"/>
      </w:pPr>
      <w:bookmarkStart w:id="550" w:name="_Toc316544925"/>
      <w:r w:rsidRPr="00577ED1">
        <w:t xml:space="preserve">More certainty for </w:t>
      </w:r>
      <w:r w:rsidR="00E10909" w:rsidRPr="00577ED1">
        <w:t>Community</w:t>
      </w:r>
      <w:r w:rsidR="00F320E1" w:rsidRPr="00577ED1">
        <w:t xml:space="preserve"> Projects</w:t>
      </w:r>
      <w:bookmarkEnd w:id="550"/>
    </w:p>
    <w:p w:rsidR="00577ED1" w:rsidRDefault="00577ED1" w:rsidP="00577ED1">
      <w:pPr>
        <w:pStyle w:val="NoSpacing"/>
      </w:pPr>
    </w:p>
    <w:p w:rsidR="004E189A" w:rsidRDefault="00577ED1" w:rsidP="00986EAF">
      <w:pPr>
        <w:pStyle w:val="DECCnumberingBold"/>
      </w:pPr>
      <w:r>
        <w:t xml:space="preserve"> </w:t>
      </w:r>
      <w:r w:rsidR="007C458D">
        <w:t xml:space="preserve">Single </w:t>
      </w:r>
      <w:r w:rsidR="008603C5">
        <w:t xml:space="preserve">installation </w:t>
      </w:r>
      <w:r w:rsidR="007C458D">
        <w:t>c</w:t>
      </w:r>
      <w:r w:rsidR="00E10909">
        <w:t xml:space="preserve">ommunity projects </w:t>
      </w:r>
      <w:r w:rsidR="008603C5">
        <w:t xml:space="preserve">are </w:t>
      </w:r>
      <w:r w:rsidR="00E10909">
        <w:t xml:space="preserve">generally </w:t>
      </w:r>
      <w:r w:rsidR="008603C5">
        <w:t>developed</w:t>
      </w:r>
      <w:r w:rsidR="00E10909">
        <w:t xml:space="preserve"> over a longer timescale than </w:t>
      </w:r>
      <w:r w:rsidR="007C458D">
        <w:t>commercial projects because they are often run by part</w:t>
      </w:r>
      <w:r w:rsidR="005A30EC">
        <w:t>-</w:t>
      </w:r>
      <w:r w:rsidR="007C458D">
        <w:t xml:space="preserve">timers and volunteers, and funding is not always as readily available as for commercial schemes. While the preliminary accreditation principle that we are consulting on in the previous chapter </w:t>
      </w:r>
      <w:r w:rsidR="00672F81">
        <w:t>w</w:t>
      </w:r>
      <w:r w:rsidR="007C458D">
        <w:t>ould mean that</w:t>
      </w:r>
      <w:r w:rsidR="00672F81">
        <w:t xml:space="preserve">  AD and hydro installations, and wind </w:t>
      </w:r>
      <w:r w:rsidR="00B46E72">
        <w:t>over 50kW would be able to fix</w:t>
      </w:r>
      <w:r w:rsidR="00672F81">
        <w:t xml:space="preserve"> their tariffs through the preliminary accreditation process, this would not be the case for </w:t>
      </w:r>
      <w:r w:rsidR="004E189A">
        <w:t>solar PV or wind projects under 5</w:t>
      </w:r>
      <w:r w:rsidR="00D432A7">
        <w:t>0</w:t>
      </w:r>
      <w:r w:rsidR="004E189A">
        <w:t xml:space="preserve">kW. </w:t>
      </w:r>
    </w:p>
    <w:p w:rsidR="00D432A7" w:rsidRDefault="00DA4226" w:rsidP="00986EAF">
      <w:pPr>
        <w:pStyle w:val="DECCnumberingBold"/>
      </w:pPr>
      <w:r>
        <w:t>S</w:t>
      </w:r>
      <w:r w:rsidR="007647C4">
        <w:t>ocial housing schemes</w:t>
      </w:r>
      <w:r w:rsidR="00F320E1">
        <w:t xml:space="preserve"> can</w:t>
      </w:r>
      <w:r w:rsidR="004E189A">
        <w:t xml:space="preserve"> also</w:t>
      </w:r>
      <w:r w:rsidR="007647C4">
        <w:t xml:space="preserve"> </w:t>
      </w:r>
      <w:r>
        <w:t xml:space="preserve">take </w:t>
      </w:r>
      <w:r w:rsidR="005821DE">
        <w:t xml:space="preserve">a </w:t>
      </w:r>
      <w:r>
        <w:t>long</w:t>
      </w:r>
      <w:r w:rsidR="005821DE">
        <w:t xml:space="preserve"> time from </w:t>
      </w:r>
      <w:r w:rsidR="00BD7C87">
        <w:t xml:space="preserve"> inception </w:t>
      </w:r>
      <w:r>
        <w:t>to complet</w:t>
      </w:r>
      <w:r w:rsidR="00BD7C87">
        <w:t>ion</w:t>
      </w:r>
      <w:r>
        <w:t xml:space="preserve"> because of </w:t>
      </w:r>
      <w:r w:rsidR="004E189A">
        <w:t xml:space="preserve">the </w:t>
      </w:r>
      <w:r>
        <w:t xml:space="preserve">lengthy procurement processes that they are required to undertake.  </w:t>
      </w:r>
      <w:r w:rsidR="004E189A">
        <w:t xml:space="preserve">Again, </w:t>
      </w:r>
      <w:r w:rsidR="005821DE">
        <w:t>investors are reluctant to invest</w:t>
      </w:r>
      <w:r w:rsidR="007647C4">
        <w:t xml:space="preserve"> </w:t>
      </w:r>
      <w:r w:rsidR="00F320E1">
        <w:t>while</w:t>
      </w:r>
      <w:r w:rsidR="00BD7C87">
        <w:t xml:space="preserve"> they </w:t>
      </w:r>
      <w:r w:rsidR="00F320E1">
        <w:t xml:space="preserve">are unsure of </w:t>
      </w:r>
      <w:r w:rsidR="00BD7C87">
        <w:t>what returns they will get</w:t>
      </w:r>
      <w:r w:rsidR="004E189A">
        <w:t xml:space="preserve"> because there is no certainty on the final FITs rate that they will receive.</w:t>
      </w:r>
    </w:p>
    <w:p w:rsidR="00BD7C87" w:rsidRDefault="008603C5" w:rsidP="00986EAF">
      <w:pPr>
        <w:pStyle w:val="DECCnumberingBold"/>
      </w:pPr>
      <w:r>
        <w:t xml:space="preserve">We believe that one </w:t>
      </w:r>
      <w:r w:rsidR="00BD7C87">
        <w:t>way of dealing with this</w:t>
      </w:r>
      <w:r w:rsidR="008625BB">
        <w:t xml:space="preserve"> issue</w:t>
      </w:r>
      <w:r w:rsidR="00BD7C87">
        <w:t xml:space="preserve"> </w:t>
      </w:r>
      <w:r w:rsidR="008625BB">
        <w:t xml:space="preserve">might </w:t>
      </w:r>
      <w:r w:rsidR="00B46E72">
        <w:t>be to fix</w:t>
      </w:r>
      <w:r w:rsidR="00BD7C87">
        <w:t xml:space="preserve"> the tariff at some point in the process to give </w:t>
      </w:r>
      <w:r w:rsidR="007647C4">
        <w:t>some certainty</w:t>
      </w:r>
      <w:r w:rsidR="004E189A">
        <w:t>, in the same</w:t>
      </w:r>
      <w:r w:rsidR="007C4BB2">
        <w:t xml:space="preserve"> way that preliminary accreditation does</w:t>
      </w:r>
      <w:r w:rsidR="007647C4">
        <w:t>.</w:t>
      </w:r>
      <w:r w:rsidR="00BD7C87">
        <w:t xml:space="preserve"> </w:t>
      </w:r>
      <w:r w:rsidR="00496EC8">
        <w:t xml:space="preserve">This would be available to projects based on the proposed definition of “community” </w:t>
      </w:r>
      <w:r w:rsidR="00414091">
        <w:t xml:space="preserve">and </w:t>
      </w:r>
      <w:bookmarkStart w:id="551" w:name="OLE_LINK23"/>
      <w:r w:rsidR="00414091">
        <w:t>would last for a set period, say 6 months</w:t>
      </w:r>
      <w:bookmarkEnd w:id="551"/>
      <w:r w:rsidR="00414091">
        <w:t>.</w:t>
      </w:r>
    </w:p>
    <w:p w:rsidR="007C4BB2" w:rsidRDefault="004364AE" w:rsidP="00986EAF">
      <w:pPr>
        <w:pStyle w:val="DECCnumberingBold"/>
      </w:pPr>
      <w:r>
        <w:t>However, t</w:t>
      </w:r>
      <w:r w:rsidRPr="00CD6EF4">
        <w:t xml:space="preserve">here </w:t>
      </w:r>
      <w:r w:rsidR="00BD7C87" w:rsidRPr="00CD6EF4">
        <w:t>are a number of practical administrative problems that would need to be considered</w:t>
      </w:r>
      <w:r w:rsidR="00771089" w:rsidRPr="00CD6EF4">
        <w:t>,</w:t>
      </w:r>
      <w:r w:rsidR="00BD7C87" w:rsidRPr="00CD6EF4">
        <w:t xml:space="preserve"> such as</w:t>
      </w:r>
      <w:r w:rsidR="007647C4" w:rsidRPr="00CD6EF4">
        <w:t xml:space="preserve"> how to link with budgetary controls </w:t>
      </w:r>
      <w:r w:rsidR="00771089" w:rsidRPr="00CD6EF4">
        <w:t>to</w:t>
      </w:r>
      <w:r w:rsidR="007647C4" w:rsidRPr="00CD6EF4">
        <w:t xml:space="preserve"> avoid a situation in which lots of prospective </w:t>
      </w:r>
      <w:r>
        <w:t>community projects</w:t>
      </w:r>
      <w:r w:rsidR="007647C4" w:rsidRPr="00CD6EF4">
        <w:t xml:space="preserve"> </w:t>
      </w:r>
      <w:r w:rsidR="00B96CFC">
        <w:t xml:space="preserve">were guaranteed </w:t>
      </w:r>
      <w:r w:rsidR="007647C4" w:rsidRPr="00CD6EF4">
        <w:t>a tariff</w:t>
      </w:r>
      <w:r w:rsidR="00E86844">
        <w:t>, without then going ahead, but still</w:t>
      </w:r>
      <w:r w:rsidR="00E86844" w:rsidRPr="00CD6EF4">
        <w:t xml:space="preserve"> </w:t>
      </w:r>
      <w:r w:rsidR="007647C4" w:rsidRPr="00CD6EF4">
        <w:t xml:space="preserve">triggering early </w:t>
      </w:r>
      <w:proofErr w:type="spellStart"/>
      <w:r w:rsidR="007647C4" w:rsidRPr="00CD6EF4">
        <w:t>degression</w:t>
      </w:r>
      <w:proofErr w:type="spellEnd"/>
      <w:r w:rsidR="007647C4" w:rsidRPr="00CD6EF4">
        <w:t xml:space="preserve"> for everything else; and how </w:t>
      </w:r>
      <w:r w:rsidR="00BD7C87" w:rsidRPr="00CD6EF4">
        <w:t>it might be</w:t>
      </w:r>
      <w:r w:rsidR="007647C4" w:rsidRPr="00CD6EF4">
        <w:t xml:space="preserve"> administer</w:t>
      </w:r>
      <w:r w:rsidR="00BD7C87" w:rsidRPr="00CD6EF4">
        <w:t>ed, since</w:t>
      </w:r>
      <w:r w:rsidR="007647C4" w:rsidRPr="00CD6EF4">
        <w:t xml:space="preserve"> a bespoke system </w:t>
      </w:r>
      <w:r w:rsidR="00F4268B" w:rsidRPr="00CD6EF4">
        <w:t>would probably be needed</w:t>
      </w:r>
      <w:r w:rsidR="007647C4" w:rsidRPr="00CD6EF4">
        <w:t>.</w:t>
      </w:r>
      <w:r w:rsidR="007C4BB2" w:rsidRPr="007C4BB2">
        <w:t xml:space="preserve"> </w:t>
      </w:r>
    </w:p>
    <w:p w:rsidR="007647C4" w:rsidRPr="00CD6EF4" w:rsidRDefault="007C4BB2" w:rsidP="00986EAF">
      <w:pPr>
        <w:pStyle w:val="DECCnumberingBold"/>
      </w:pPr>
      <w:r w:rsidRPr="00461DDB">
        <w:t xml:space="preserve">We </w:t>
      </w:r>
      <w:r>
        <w:t xml:space="preserve">would also welcome </w:t>
      </w:r>
      <w:r w:rsidR="004364AE">
        <w:t xml:space="preserve">alternative </w:t>
      </w:r>
      <w:r>
        <w:t>views on other ways to help such community projects. Ideas do not have to be framed within the boundaries of the FITs scheme</w:t>
      </w:r>
      <w:r w:rsidRPr="00461DDB">
        <w:t>.</w:t>
      </w:r>
    </w:p>
    <w:p w:rsidR="00826EFD" w:rsidRDefault="00826EFD" w:rsidP="00577ED1">
      <w:pPr>
        <w:pStyle w:val="NoSpacing"/>
      </w:pPr>
    </w:p>
    <w:tbl>
      <w:tblPr>
        <w:tblW w:w="4850"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CellMar>
          <w:left w:w="0" w:type="dxa"/>
          <w:right w:w="0" w:type="dxa"/>
        </w:tblCellMar>
        <w:tblLook w:val="01E0"/>
      </w:tblPr>
      <w:tblGrid>
        <w:gridCol w:w="634"/>
        <w:gridCol w:w="8300"/>
      </w:tblGrid>
      <w:tr w:rsidR="00826EFD" w:rsidTr="00577ED1">
        <w:trPr>
          <w:jc w:val="center"/>
        </w:trPr>
        <w:tc>
          <w:tcPr>
            <w:tcW w:w="5000" w:type="pct"/>
            <w:gridSpan w:val="2"/>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826EFD" w:rsidRDefault="00826EFD">
            <w:pPr>
              <w:pStyle w:val="TableTitle"/>
              <w:rPr>
                <w:rStyle w:val="PantoneCyan"/>
                <w:b/>
              </w:rPr>
            </w:pPr>
            <w:r>
              <w:rPr>
                <w:rStyle w:val="PantoneCyan"/>
                <w:b/>
              </w:rPr>
              <w:t xml:space="preserve">Consultation Questions: </w:t>
            </w:r>
            <w:r>
              <w:rPr>
                <w:rStyle w:val="PantoneCyan"/>
                <w:b/>
                <w:i/>
              </w:rPr>
              <w:t>Please support your response with arguments</w:t>
            </w:r>
            <w:r w:rsidR="00DD13A8">
              <w:rPr>
                <w:b/>
                <w:i/>
              </w:rPr>
              <w:t xml:space="preserve"> </w:t>
            </w:r>
            <w:r w:rsidR="00DD13A8">
              <w:rPr>
                <w:rStyle w:val="PantoneCyan"/>
                <w:b/>
                <w:i/>
              </w:rPr>
              <w:t>and evidence</w:t>
            </w:r>
          </w:p>
        </w:tc>
      </w:tr>
      <w:tr w:rsidR="00826EFD"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826EFD" w:rsidRDefault="00E1748A" w:rsidP="00E1748A">
            <w:pPr>
              <w:pStyle w:val="TableText"/>
            </w:pPr>
            <w:r>
              <w:t>35</w:t>
            </w:r>
            <w:r w:rsidR="00826EFD">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826EFD" w:rsidRPr="00577ED1" w:rsidRDefault="00826EFD">
            <w:pPr>
              <w:pStyle w:val="ListParagraph1"/>
              <w:spacing w:after="0" w:line="240" w:lineRule="auto"/>
              <w:ind w:left="125"/>
              <w:rPr>
                <w:rFonts w:ascii="Arial" w:hAnsi="Arial" w:cs="Arial"/>
                <w:color w:val="000000"/>
                <w:sz w:val="24"/>
                <w:szCs w:val="24"/>
              </w:rPr>
            </w:pPr>
            <w:r w:rsidRPr="00577ED1">
              <w:rPr>
                <w:rFonts w:ascii="Arial" w:hAnsi="Arial" w:cs="Arial"/>
                <w:color w:val="000000"/>
                <w:sz w:val="24"/>
                <w:szCs w:val="24"/>
              </w:rPr>
              <w:t>Which organisations do you consider should be included in the definition of “community</w:t>
            </w:r>
            <w:r w:rsidR="00EA15AC">
              <w:rPr>
                <w:rFonts w:ascii="Arial" w:hAnsi="Arial" w:cs="Arial"/>
                <w:color w:val="000000"/>
                <w:sz w:val="24"/>
                <w:szCs w:val="24"/>
              </w:rPr>
              <w:t>”</w:t>
            </w:r>
            <w:r w:rsidRPr="00577ED1">
              <w:rPr>
                <w:rFonts w:ascii="Arial" w:hAnsi="Arial" w:cs="Arial"/>
                <w:color w:val="000000"/>
                <w:sz w:val="24"/>
                <w:szCs w:val="24"/>
              </w:rPr>
              <w:t xml:space="preserve"> installations? </w:t>
            </w:r>
          </w:p>
          <w:p w:rsidR="00826EFD" w:rsidRPr="00577ED1" w:rsidRDefault="00826EFD" w:rsidP="008766F5">
            <w:pPr>
              <w:pStyle w:val="ListParagraph1"/>
              <w:spacing w:after="0" w:line="240" w:lineRule="auto"/>
              <w:ind w:left="125"/>
              <w:rPr>
                <w:rFonts w:cs="Arial"/>
                <w:b/>
                <w:color w:val="000000"/>
              </w:rPr>
            </w:pPr>
            <w:r w:rsidRPr="00577ED1">
              <w:rPr>
                <w:rFonts w:ascii="Arial" w:hAnsi="Arial" w:cs="Arial"/>
                <w:color w:val="000000"/>
                <w:sz w:val="24"/>
                <w:szCs w:val="24"/>
              </w:rPr>
              <w:t xml:space="preserve">Should the definition include social enterprises? Charities? Non-profit social housing providers? Any other groups? </w:t>
            </w:r>
          </w:p>
        </w:tc>
      </w:tr>
      <w:tr w:rsidR="00826EFD"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826EFD" w:rsidRDefault="00E1748A" w:rsidP="00E1748A">
            <w:pPr>
              <w:pStyle w:val="TableText"/>
            </w:pPr>
            <w:r>
              <w:t>36</w:t>
            </w:r>
            <w:r w:rsidR="00826EFD">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826EFD" w:rsidRPr="00577ED1" w:rsidRDefault="00826EFD" w:rsidP="00A91FF8">
            <w:pPr>
              <w:pStyle w:val="ListParagraph1"/>
              <w:spacing w:after="0" w:line="240" w:lineRule="auto"/>
              <w:ind w:left="125"/>
              <w:rPr>
                <w:rFonts w:cs="Arial"/>
                <w:b/>
                <w:color w:val="000000"/>
              </w:rPr>
            </w:pPr>
            <w:r w:rsidRPr="00577ED1">
              <w:rPr>
                <w:rFonts w:ascii="Arial" w:hAnsi="Arial" w:cs="Arial"/>
                <w:color w:val="000000"/>
                <w:sz w:val="24"/>
                <w:szCs w:val="24"/>
              </w:rPr>
              <w:t xml:space="preserve">Should other factors be taken into account e.g. scale and primary purpose? </w:t>
            </w:r>
          </w:p>
        </w:tc>
      </w:tr>
      <w:tr w:rsidR="00826EFD"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826EFD" w:rsidRDefault="00E1748A" w:rsidP="00E1748A">
            <w:pPr>
              <w:pStyle w:val="TableText"/>
            </w:pPr>
            <w:r>
              <w:t>37</w:t>
            </w:r>
            <w:r w:rsidR="00826EFD">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2239FE" w:rsidRPr="00577ED1" w:rsidRDefault="002239FE" w:rsidP="002239FE">
            <w:pPr>
              <w:pStyle w:val="ListParagraph1"/>
              <w:spacing w:after="0"/>
              <w:ind w:left="75"/>
              <w:rPr>
                <w:rFonts w:ascii="Arial" w:hAnsi="Arial" w:cs="Arial"/>
                <w:color w:val="000000"/>
                <w:sz w:val="24"/>
                <w:szCs w:val="24"/>
              </w:rPr>
            </w:pPr>
            <w:r w:rsidRPr="00577ED1">
              <w:rPr>
                <w:rFonts w:ascii="Arial" w:hAnsi="Arial" w:cs="Arial"/>
                <w:color w:val="000000"/>
                <w:sz w:val="24"/>
                <w:szCs w:val="24"/>
              </w:rPr>
              <w:t>Do you agree that non-community multi-installations should receive a basic stand-alone tariff?</w:t>
            </w:r>
          </w:p>
          <w:p w:rsidR="00826EFD" w:rsidRPr="00577ED1" w:rsidRDefault="00826EFD" w:rsidP="00026F53">
            <w:pPr>
              <w:pStyle w:val="ListParagraph1"/>
              <w:spacing w:after="0" w:line="240" w:lineRule="auto"/>
              <w:ind w:left="125"/>
              <w:rPr>
                <w:rFonts w:ascii="Arial" w:hAnsi="Arial" w:cs="Arial"/>
                <w:color w:val="000000"/>
                <w:sz w:val="24"/>
                <w:szCs w:val="24"/>
              </w:rPr>
            </w:pPr>
            <w:r w:rsidRPr="00577ED1">
              <w:rPr>
                <w:rFonts w:ascii="Arial" w:hAnsi="Arial" w:cs="Arial"/>
                <w:color w:val="000000"/>
                <w:sz w:val="24"/>
                <w:szCs w:val="24"/>
              </w:rPr>
              <w:t xml:space="preserve">Should the energy efficiency requirement still be applied to these installations once they are receiving the stand-alone tariff? </w:t>
            </w:r>
          </w:p>
        </w:tc>
      </w:tr>
      <w:tr w:rsidR="00826EFD"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826EFD" w:rsidRDefault="00E1748A" w:rsidP="00E1748A">
            <w:pPr>
              <w:pStyle w:val="TableText"/>
            </w:pPr>
            <w:r>
              <w:t>38</w:t>
            </w:r>
            <w:r w:rsidR="00826EFD">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826EFD" w:rsidRPr="00577ED1" w:rsidRDefault="00826EFD" w:rsidP="00642113">
            <w:pPr>
              <w:pStyle w:val="ListParagraph1"/>
              <w:spacing w:after="0" w:line="240" w:lineRule="auto"/>
              <w:ind w:left="125"/>
              <w:rPr>
                <w:rFonts w:ascii="Arial" w:hAnsi="Arial" w:cs="Arial"/>
                <w:color w:val="000000"/>
                <w:sz w:val="24"/>
                <w:szCs w:val="24"/>
              </w:rPr>
            </w:pPr>
            <w:r w:rsidRPr="00577ED1">
              <w:rPr>
                <w:rFonts w:ascii="Arial" w:hAnsi="Arial" w:cs="Arial"/>
                <w:color w:val="000000"/>
                <w:sz w:val="24"/>
                <w:szCs w:val="24"/>
              </w:rPr>
              <w:t>Do you agree that</w:t>
            </w:r>
            <w:r w:rsidR="00642113" w:rsidRPr="00577ED1">
              <w:rPr>
                <w:rFonts w:ascii="Arial" w:hAnsi="Arial" w:cs="Arial"/>
                <w:color w:val="000000"/>
                <w:sz w:val="24"/>
                <w:szCs w:val="24"/>
              </w:rPr>
              <w:t xml:space="preserve"> “community”</w:t>
            </w:r>
            <w:r w:rsidRPr="00577ED1">
              <w:rPr>
                <w:rFonts w:ascii="Arial" w:hAnsi="Arial" w:cs="Arial"/>
                <w:color w:val="000000"/>
                <w:sz w:val="24"/>
                <w:szCs w:val="24"/>
              </w:rPr>
              <w:t xml:space="preserve"> multiple installations should receive a higher rate of multi-installation tariffs</w:t>
            </w:r>
            <w:r w:rsidR="002F15CA" w:rsidRPr="00577ED1">
              <w:rPr>
                <w:rFonts w:ascii="Arial" w:hAnsi="Arial" w:cs="Arial"/>
                <w:color w:val="000000"/>
                <w:sz w:val="24"/>
                <w:szCs w:val="24"/>
              </w:rPr>
              <w:t xml:space="preserve"> than commercial installations</w:t>
            </w:r>
            <w:r w:rsidRPr="00577ED1">
              <w:rPr>
                <w:rFonts w:ascii="Arial" w:hAnsi="Arial" w:cs="Arial"/>
                <w:color w:val="000000"/>
                <w:sz w:val="24"/>
                <w:szCs w:val="24"/>
              </w:rPr>
              <w:t xml:space="preserve">? </w:t>
            </w:r>
          </w:p>
        </w:tc>
      </w:tr>
      <w:tr w:rsidR="008725EB"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8725EB" w:rsidRDefault="00E1748A" w:rsidP="00E1748A">
            <w:pPr>
              <w:pStyle w:val="TableText"/>
            </w:pPr>
            <w:r>
              <w:t>39</w:t>
            </w:r>
            <w:r w:rsidR="008725EB">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8725EB" w:rsidRPr="00577ED1" w:rsidRDefault="00A24260" w:rsidP="00B96CFC">
            <w:pPr>
              <w:pStyle w:val="ListParagraph1"/>
              <w:spacing w:after="0" w:line="240" w:lineRule="auto"/>
              <w:ind w:left="125"/>
              <w:rPr>
                <w:rFonts w:ascii="Arial" w:hAnsi="Arial" w:cs="Arial"/>
                <w:color w:val="000000"/>
                <w:sz w:val="24"/>
                <w:szCs w:val="24"/>
              </w:rPr>
            </w:pPr>
            <w:r w:rsidRPr="00577ED1">
              <w:rPr>
                <w:rFonts w:ascii="Arial" w:hAnsi="Arial" w:cs="Arial"/>
                <w:color w:val="000000"/>
                <w:sz w:val="24"/>
                <w:szCs w:val="24"/>
              </w:rPr>
              <w:t>Would it be possible to design a cost effective mechanism that would allow ”community” projects to “fix” their FITs tariff for a set period of time at some point earlier in the development process?</w:t>
            </w:r>
          </w:p>
        </w:tc>
      </w:tr>
      <w:tr w:rsidR="00A91648"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A91648" w:rsidDel="00606320" w:rsidRDefault="00E1748A" w:rsidP="00606320">
            <w:pPr>
              <w:pStyle w:val="TableText"/>
            </w:pPr>
            <w:bookmarkStart w:id="552" w:name="_Hlk315962622"/>
            <w:r>
              <w:t>40</w:t>
            </w:r>
            <w:r w:rsidR="00A91648">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A91648" w:rsidRPr="00577ED1" w:rsidRDefault="00A91648" w:rsidP="00B96CFC">
            <w:pPr>
              <w:pStyle w:val="ListParagraph1"/>
              <w:spacing w:after="0" w:line="240" w:lineRule="auto"/>
              <w:ind w:left="125"/>
              <w:rPr>
                <w:rFonts w:ascii="Arial" w:hAnsi="Arial" w:cs="Arial"/>
                <w:color w:val="000000"/>
                <w:sz w:val="24"/>
                <w:szCs w:val="24"/>
              </w:rPr>
            </w:pPr>
            <w:r w:rsidRPr="00577ED1">
              <w:rPr>
                <w:rFonts w:ascii="Arial" w:hAnsi="Arial" w:cs="Arial"/>
                <w:color w:val="000000"/>
                <w:sz w:val="24"/>
                <w:szCs w:val="24"/>
              </w:rPr>
              <w:t xml:space="preserve">Should this apply to just solar, or also to wind projects </w:t>
            </w:r>
            <w:r w:rsidR="00B96CFC" w:rsidRPr="00577ED1">
              <w:rPr>
                <w:rFonts w:ascii="Arial" w:hAnsi="Arial" w:cs="Arial"/>
                <w:color w:val="000000"/>
                <w:sz w:val="24"/>
                <w:szCs w:val="24"/>
              </w:rPr>
              <w:t xml:space="preserve">up to </w:t>
            </w:r>
            <w:r w:rsidRPr="00577ED1">
              <w:rPr>
                <w:rFonts w:ascii="Arial" w:hAnsi="Arial" w:cs="Arial"/>
                <w:color w:val="000000"/>
                <w:sz w:val="24"/>
                <w:szCs w:val="24"/>
              </w:rPr>
              <w:t>50kW</w:t>
            </w:r>
            <w:r w:rsidR="00B96CFC" w:rsidRPr="00577ED1">
              <w:rPr>
                <w:rFonts w:ascii="Arial" w:hAnsi="Arial" w:cs="Arial"/>
                <w:color w:val="000000"/>
                <w:sz w:val="24"/>
                <w:szCs w:val="24"/>
              </w:rPr>
              <w:t xml:space="preserve"> (DNC)</w:t>
            </w:r>
            <w:r w:rsidRPr="00577ED1">
              <w:rPr>
                <w:rFonts w:ascii="Arial" w:hAnsi="Arial" w:cs="Arial"/>
                <w:color w:val="000000"/>
                <w:sz w:val="24"/>
                <w:szCs w:val="24"/>
              </w:rPr>
              <w:t>?</w:t>
            </w:r>
          </w:p>
        </w:tc>
      </w:tr>
      <w:bookmarkEnd w:id="552"/>
      <w:tr w:rsidR="00606320" w:rsidTr="00577ED1">
        <w:trPr>
          <w:jc w:val="center"/>
        </w:trPr>
        <w:tc>
          <w:tcPr>
            <w:tcW w:w="35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hideMark/>
          </w:tcPr>
          <w:p w:rsidR="00606320" w:rsidRDefault="00E1748A" w:rsidP="00A91648">
            <w:pPr>
              <w:pStyle w:val="TableText"/>
            </w:pPr>
            <w:r>
              <w:t>41</w:t>
            </w:r>
            <w:r w:rsidR="00606320">
              <w:t>.</w:t>
            </w:r>
          </w:p>
        </w:tc>
        <w:tc>
          <w:tcPr>
            <w:tcW w:w="4645" w:type="pct"/>
            <w:tcBorders>
              <w:top w:val="single" w:sz="8" w:space="0" w:color="009EE3"/>
              <w:left w:val="single" w:sz="8" w:space="0" w:color="009EE3"/>
              <w:bottom w:val="single" w:sz="8" w:space="0" w:color="009EE3"/>
              <w:right w:val="single" w:sz="8" w:space="0" w:color="009EE3"/>
            </w:tcBorders>
            <w:shd w:val="clear" w:color="auto" w:fill="CCECF9"/>
            <w:tcMar>
              <w:top w:w="113" w:type="dxa"/>
              <w:left w:w="0" w:type="dxa"/>
              <w:bottom w:w="113" w:type="dxa"/>
              <w:right w:w="0" w:type="dxa"/>
            </w:tcMar>
          </w:tcPr>
          <w:p w:rsidR="00606320" w:rsidRPr="00577ED1" w:rsidRDefault="00606320" w:rsidP="00496EC8">
            <w:pPr>
              <w:pStyle w:val="ListParagraph1"/>
              <w:spacing w:after="0" w:line="240" w:lineRule="auto"/>
              <w:ind w:left="125"/>
              <w:rPr>
                <w:rFonts w:ascii="Arial" w:hAnsi="Arial" w:cs="Arial"/>
                <w:color w:val="000000"/>
                <w:sz w:val="24"/>
                <w:szCs w:val="24"/>
              </w:rPr>
            </w:pPr>
            <w:r w:rsidRPr="00577ED1">
              <w:rPr>
                <w:rFonts w:ascii="Arial" w:hAnsi="Arial" w:cs="Arial"/>
                <w:color w:val="000000"/>
                <w:sz w:val="24"/>
                <w:szCs w:val="24"/>
              </w:rPr>
              <w:t xml:space="preserve">What </w:t>
            </w:r>
            <w:r w:rsidR="009F06E2" w:rsidRPr="00577ED1">
              <w:rPr>
                <w:rFonts w:ascii="Arial" w:hAnsi="Arial" w:cs="Arial"/>
                <w:color w:val="000000"/>
                <w:sz w:val="24"/>
                <w:szCs w:val="24"/>
              </w:rPr>
              <w:t xml:space="preserve">other </w:t>
            </w:r>
            <w:r w:rsidRPr="00577ED1">
              <w:rPr>
                <w:rFonts w:ascii="Arial" w:hAnsi="Arial" w:cs="Arial"/>
                <w:color w:val="000000"/>
                <w:sz w:val="24"/>
                <w:szCs w:val="24"/>
              </w:rPr>
              <w:t>ideas do you have for helping one-off community projects?</w:t>
            </w:r>
          </w:p>
        </w:tc>
      </w:tr>
    </w:tbl>
    <w:p w:rsidR="00A855DC" w:rsidRDefault="00DD6AD0" w:rsidP="00553F55">
      <w:pPr>
        <w:pStyle w:val="EndpageText"/>
        <w:spacing w:line="240" w:lineRule="auto"/>
        <w:jc w:val="both"/>
        <w:rPr>
          <w:sz w:val="22"/>
          <w:szCs w:val="22"/>
        </w:rPr>
      </w:pPr>
      <w:r>
        <w:rPr>
          <w:color w:val="auto"/>
          <w:sz w:val="22"/>
          <w:szCs w:val="22"/>
        </w:rPr>
        <w:br w:type="page"/>
      </w:r>
    </w:p>
    <w:bookmarkEnd w:id="547"/>
    <w:p w:rsidR="00310E5A" w:rsidRDefault="00310E5A" w:rsidP="00553F55">
      <w:pPr>
        <w:pStyle w:val="EndpageText"/>
        <w:spacing w:line="240" w:lineRule="auto"/>
        <w:jc w:val="both"/>
        <w:rPr>
          <w:sz w:val="22"/>
          <w:szCs w:val="22"/>
        </w:rPr>
      </w:pPr>
    </w:p>
    <w:tbl>
      <w:tblPr>
        <w:tblpPr w:leftFromText="181" w:rightFromText="181" w:vertAnchor="text" w:horzAnchor="margin" w:tblpXSpec="center" w:tblpY="-39"/>
        <w:tblW w:w="4835" w:type="pct"/>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2489"/>
        <w:gridCol w:w="6407"/>
      </w:tblGrid>
      <w:tr w:rsidR="00310E5A" w:rsidRPr="0028755F" w:rsidTr="00577ED1">
        <w:trPr>
          <w:trHeight w:val="165"/>
          <w:tblHeader/>
        </w:trPr>
        <w:tc>
          <w:tcPr>
            <w:tcW w:w="1399" w:type="pct"/>
            <w:shd w:val="clear" w:color="auto" w:fill="009EE3"/>
            <w:tcMar>
              <w:top w:w="113" w:type="dxa"/>
              <w:bottom w:w="113" w:type="dxa"/>
            </w:tcMar>
          </w:tcPr>
          <w:p w:rsidR="00310E5A" w:rsidRPr="00AC6BC1" w:rsidRDefault="00310E5A" w:rsidP="00553F55">
            <w:pPr>
              <w:pStyle w:val="Caption"/>
              <w:jc w:val="both"/>
              <w:rPr>
                <w:color w:val="FFFFFF"/>
                <w:sz w:val="44"/>
                <w:szCs w:val="44"/>
              </w:rPr>
            </w:pPr>
            <w:r w:rsidRPr="00AC6BC1">
              <w:rPr>
                <w:color w:val="FFFFFF"/>
                <w:sz w:val="44"/>
                <w:szCs w:val="44"/>
              </w:rPr>
              <w:t xml:space="preserve">Chapter </w:t>
            </w:r>
            <w:r w:rsidR="000B02E5" w:rsidRPr="00AC6BC1">
              <w:rPr>
                <w:color w:val="FFFFFF"/>
                <w:sz w:val="44"/>
                <w:szCs w:val="44"/>
              </w:rPr>
              <w:t>5</w:t>
            </w:r>
            <w:r w:rsidRPr="00AC6BC1">
              <w:rPr>
                <w:color w:val="FFFFFF"/>
                <w:sz w:val="44"/>
                <w:szCs w:val="44"/>
              </w:rPr>
              <w:t>.</w:t>
            </w:r>
          </w:p>
          <w:p w:rsidR="00310E5A" w:rsidRPr="00AC6BC1" w:rsidRDefault="00310E5A" w:rsidP="00553F55">
            <w:pPr>
              <w:jc w:val="both"/>
              <w:rPr>
                <w:color w:val="FFFFFF"/>
                <w:sz w:val="44"/>
                <w:szCs w:val="44"/>
              </w:rPr>
            </w:pPr>
          </w:p>
        </w:tc>
        <w:tc>
          <w:tcPr>
            <w:tcW w:w="3601" w:type="pct"/>
            <w:shd w:val="clear" w:color="auto" w:fill="009EE3"/>
            <w:tcMar>
              <w:top w:w="113" w:type="dxa"/>
              <w:bottom w:w="113" w:type="dxa"/>
            </w:tcMar>
          </w:tcPr>
          <w:p w:rsidR="00310E5A" w:rsidRPr="00AC6BC1" w:rsidRDefault="004A207F" w:rsidP="001D3275">
            <w:pPr>
              <w:pStyle w:val="Heading1"/>
              <w:rPr>
                <w:color w:val="FFFFFF"/>
                <w:sz w:val="44"/>
                <w:szCs w:val="44"/>
              </w:rPr>
            </w:pPr>
            <w:bookmarkStart w:id="553" w:name="_Toc316544926"/>
            <w:r w:rsidRPr="00AC6BC1">
              <w:rPr>
                <w:color w:val="FFFFFF"/>
                <w:sz w:val="44"/>
                <w:szCs w:val="44"/>
              </w:rPr>
              <w:t>Consumer Issues</w:t>
            </w:r>
            <w:bookmarkEnd w:id="553"/>
          </w:p>
        </w:tc>
      </w:tr>
      <w:tr w:rsidR="00310E5A" w:rsidRPr="00015C4E" w:rsidTr="00577ED1">
        <w:trPr>
          <w:trHeight w:val="488"/>
        </w:trPr>
        <w:tc>
          <w:tcPr>
            <w:tcW w:w="1399" w:type="pct"/>
            <w:shd w:val="clear" w:color="auto" w:fill="auto"/>
            <w:tcMar>
              <w:top w:w="113" w:type="dxa"/>
              <w:bottom w:w="113" w:type="dxa"/>
            </w:tcMar>
          </w:tcPr>
          <w:p w:rsidR="00310E5A" w:rsidRPr="001B5BC3" w:rsidRDefault="00310E5A" w:rsidP="00553F55">
            <w:pPr>
              <w:jc w:val="both"/>
              <w:rPr>
                <w:rFonts w:cs="Arial"/>
                <w:b/>
              </w:rPr>
            </w:pPr>
            <w:r w:rsidRPr="001B5BC3">
              <w:rPr>
                <w:rFonts w:cs="Arial"/>
                <w:b/>
              </w:rPr>
              <w:t xml:space="preserve">Summary </w:t>
            </w:r>
          </w:p>
          <w:p w:rsidR="00310E5A" w:rsidRPr="003654E6" w:rsidRDefault="00310E5A" w:rsidP="00553F55">
            <w:pPr>
              <w:pStyle w:val="TableText"/>
              <w:jc w:val="both"/>
            </w:pPr>
          </w:p>
        </w:tc>
        <w:tc>
          <w:tcPr>
            <w:tcW w:w="3601" w:type="pct"/>
            <w:shd w:val="clear" w:color="auto" w:fill="auto"/>
            <w:tcMar>
              <w:top w:w="113" w:type="dxa"/>
              <w:bottom w:w="113" w:type="dxa"/>
            </w:tcMar>
          </w:tcPr>
          <w:p w:rsidR="00C27416" w:rsidRPr="00C27416" w:rsidRDefault="00C27416" w:rsidP="00553F55">
            <w:pPr>
              <w:numPr>
                <w:ilvl w:val="0"/>
                <w:numId w:val="6"/>
              </w:numPr>
              <w:ind w:right="113"/>
              <w:jc w:val="both"/>
              <w:rPr>
                <w:sz w:val="22"/>
                <w:szCs w:val="22"/>
              </w:rPr>
            </w:pPr>
            <w:r>
              <w:t>Looks at compliance and enforcement, including increasing powers for Ofgem</w:t>
            </w:r>
          </w:p>
          <w:p w:rsidR="00C27416" w:rsidRPr="00C27416" w:rsidRDefault="00C27416" w:rsidP="00553F55">
            <w:pPr>
              <w:numPr>
                <w:ilvl w:val="0"/>
                <w:numId w:val="6"/>
              </w:numPr>
              <w:ind w:right="113"/>
              <w:jc w:val="both"/>
              <w:rPr>
                <w:sz w:val="22"/>
                <w:szCs w:val="22"/>
              </w:rPr>
            </w:pPr>
            <w:r>
              <w:t>Advice and support for generators</w:t>
            </w:r>
          </w:p>
          <w:p w:rsidR="00310E5A" w:rsidRPr="00646A3A" w:rsidRDefault="00CE2A6D" w:rsidP="00DD13A8">
            <w:pPr>
              <w:numPr>
                <w:ilvl w:val="0"/>
                <w:numId w:val="6"/>
              </w:numPr>
              <w:ind w:right="113"/>
              <w:jc w:val="both"/>
              <w:rPr>
                <w:sz w:val="22"/>
                <w:szCs w:val="22"/>
              </w:rPr>
            </w:pPr>
            <w:r>
              <w:t>Looks at the complaints process</w:t>
            </w:r>
          </w:p>
        </w:tc>
      </w:tr>
    </w:tbl>
    <w:p w:rsidR="00807895" w:rsidRPr="00577ED1" w:rsidRDefault="007A2884" w:rsidP="00F75D58">
      <w:pPr>
        <w:pStyle w:val="Heading2"/>
        <w:spacing w:after="240"/>
        <w:rPr>
          <w:color w:val="00B0F0"/>
        </w:rPr>
      </w:pPr>
      <w:bookmarkStart w:id="554" w:name="_Toc316544927"/>
      <w:r w:rsidRPr="00577ED1">
        <w:rPr>
          <w:color w:val="00B0F0"/>
        </w:rPr>
        <w:t>Compliance and Enforcement</w:t>
      </w:r>
      <w:bookmarkEnd w:id="554"/>
    </w:p>
    <w:p w:rsidR="00A4776C" w:rsidRDefault="007A2884" w:rsidP="00986EAF">
      <w:pPr>
        <w:pStyle w:val="DECCnumberingBold"/>
      </w:pPr>
      <w:r w:rsidRPr="00B60D81">
        <w:t>In order for FITs to deliver value for money for the taxpayer, and to avoid providing opportunities for fraud and other abuses, a system of audit, assurance and enforcement is in place.</w:t>
      </w:r>
      <w:r w:rsidR="008A56AC">
        <w:t xml:space="preserve"> </w:t>
      </w:r>
      <w:r w:rsidR="00C5206B">
        <w:t xml:space="preserve">Our </w:t>
      </w:r>
      <w:r w:rsidR="00DD13A8">
        <w:t>experience of</w:t>
      </w:r>
      <w:r w:rsidRPr="00B60D81">
        <w:t xml:space="preserve"> the operation of the scheme to date has</w:t>
      </w:r>
      <w:r w:rsidR="008A56AC">
        <w:t xml:space="preserve"> </w:t>
      </w:r>
      <w:r w:rsidRPr="00B60D81">
        <w:t>highlighted some potential issues</w:t>
      </w:r>
      <w:r w:rsidR="00C5206B">
        <w:t xml:space="preserve"> that may arise in the future.</w:t>
      </w:r>
    </w:p>
    <w:p w:rsidR="00567978" w:rsidRDefault="007A2884" w:rsidP="00986EAF">
      <w:pPr>
        <w:pStyle w:val="DECCnumberingBold"/>
      </w:pPr>
      <w:r w:rsidRPr="00B60D81">
        <w:t>We are considering whether Ofgem should be a</w:t>
      </w:r>
      <w:r w:rsidR="00BF14AA">
        <w:t>b</w:t>
      </w:r>
      <w:r w:rsidRPr="00B60D81">
        <w:t>l</w:t>
      </w:r>
      <w:r w:rsidR="00BF14AA">
        <w:t>e</w:t>
      </w:r>
      <w:r w:rsidRPr="00B60D81">
        <w:t xml:space="preserve"> to attach conditions to accreditation to deal with instances when fraud </w:t>
      </w:r>
      <w:r w:rsidR="00157FCE">
        <w:t xml:space="preserve">may be </w:t>
      </w:r>
      <w:r w:rsidRPr="00B60D81">
        <w:t xml:space="preserve">discovered </w:t>
      </w:r>
      <w:r w:rsidR="00157FCE">
        <w:t xml:space="preserve">after </w:t>
      </w:r>
      <w:r w:rsidRPr="00B60D81">
        <w:t>accreditation.</w:t>
      </w:r>
      <w:r w:rsidR="008A56AC">
        <w:t xml:space="preserve"> </w:t>
      </w:r>
      <w:r w:rsidRPr="00B60D81">
        <w:t xml:space="preserve">However, to render this effective, Ofgem </w:t>
      </w:r>
      <w:r w:rsidR="00157FCE">
        <w:t>may</w:t>
      </w:r>
      <w:r w:rsidRPr="00B60D81">
        <w:t xml:space="preserve"> require additional powers to enforce those con</w:t>
      </w:r>
      <w:r w:rsidR="00B46E72">
        <w:t>ditions against FIT generators, including rights of access.</w:t>
      </w:r>
    </w:p>
    <w:p w:rsidR="00A327ED" w:rsidRDefault="007A2884" w:rsidP="00986EAF">
      <w:pPr>
        <w:pStyle w:val="DECCnumberingBold"/>
      </w:pPr>
      <w:r w:rsidRPr="00B60D81">
        <w:t xml:space="preserve">Linked to this, it may be appropriate to grant additional </w:t>
      </w:r>
      <w:r w:rsidR="00992B51">
        <w:t>investigation</w:t>
      </w:r>
      <w:r w:rsidR="005D6933">
        <w:t xml:space="preserve"> and enforcement </w:t>
      </w:r>
      <w:r w:rsidRPr="00B60D81">
        <w:t xml:space="preserve">powers for Ofgem, for example to ensure that FITs are not paid for installations that are operating </w:t>
      </w:r>
      <w:r w:rsidR="00B46E72">
        <w:t xml:space="preserve">unlawfully i.e. without proper planning approval or environmental permitting or </w:t>
      </w:r>
      <w:r w:rsidR="005D6933">
        <w:t>in breach of safety requirements</w:t>
      </w:r>
      <w:r w:rsidRPr="00B60D81">
        <w:t>.</w:t>
      </w:r>
      <w:r w:rsidR="008A56AC">
        <w:t xml:space="preserve"> </w:t>
      </w:r>
      <w:r w:rsidRPr="00B60D81">
        <w:t>We have yet to determine what form such powers should take</w:t>
      </w:r>
      <w:r w:rsidR="00CC4251">
        <w:t xml:space="preserve">, but it could include the ability to remove installations from the </w:t>
      </w:r>
      <w:r w:rsidR="00DD13A8">
        <w:t>Central FITs Register</w:t>
      </w:r>
      <w:r w:rsidR="00CC4251">
        <w:t xml:space="preserve"> if they were found to be non-compliant in some way, </w:t>
      </w:r>
      <w:r w:rsidR="00157FCE">
        <w:t xml:space="preserve">after </w:t>
      </w:r>
      <w:r w:rsidR="00CC4251">
        <w:t>accreditation</w:t>
      </w:r>
      <w:r w:rsidRPr="00B60D81">
        <w:t>.</w:t>
      </w:r>
      <w:r w:rsidR="00DB72ED">
        <w:t xml:space="preserve"> </w:t>
      </w:r>
      <w:r w:rsidR="00157FCE">
        <w:t xml:space="preserve">We want to ensure that the powers exist to ensure that </w:t>
      </w:r>
      <w:r w:rsidR="00567978">
        <w:t>installations</w:t>
      </w:r>
      <w:r w:rsidR="00157FCE">
        <w:t xml:space="preserve"> operating unlawfully may not receive FITs.</w:t>
      </w:r>
    </w:p>
    <w:p w:rsidR="00A327ED" w:rsidRDefault="00A327ED" w:rsidP="00A327ED">
      <w:pPr>
        <w:pStyle w:val="DECCnumberingBold"/>
        <w:numPr>
          <w:ilvl w:val="0"/>
          <w:numId w:val="0"/>
        </w:numPr>
        <w:ind w:left="426"/>
      </w:pPr>
      <w:r>
        <w:br w:type="page"/>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AA6E75" w:rsidRPr="00015C4E" w:rsidTr="00577ED1">
        <w:trPr>
          <w:jc w:val="center"/>
        </w:trPr>
        <w:tc>
          <w:tcPr>
            <w:tcW w:w="5000" w:type="pct"/>
            <w:gridSpan w:val="2"/>
            <w:shd w:val="clear" w:color="auto" w:fill="CCECF9"/>
            <w:tcMar>
              <w:top w:w="113" w:type="dxa"/>
              <w:bottom w:w="113" w:type="dxa"/>
            </w:tcMar>
          </w:tcPr>
          <w:p w:rsidR="00AA6E75" w:rsidRPr="00226F71" w:rsidRDefault="00A327ED" w:rsidP="00AA6E75">
            <w:pPr>
              <w:pStyle w:val="TableTitle"/>
              <w:rPr>
                <w:rStyle w:val="PantoneCyan"/>
                <w:b/>
              </w:rPr>
            </w:pPr>
            <w:r>
              <w:br w:type="page"/>
            </w:r>
            <w:r w:rsidR="00901635" w:rsidRPr="00226F71">
              <w:rPr>
                <w:rStyle w:val="PantoneCyan"/>
                <w:b/>
              </w:rPr>
              <w:t>Consultation Question</w:t>
            </w:r>
            <w:r w:rsidR="00901635">
              <w:rPr>
                <w:rStyle w:val="PantoneCyan"/>
                <w:b/>
              </w:rPr>
              <w:t xml:space="preserve">s: </w:t>
            </w:r>
            <w:r w:rsidR="0031178B">
              <w:rPr>
                <w:rStyle w:val="PantoneCyan"/>
                <w:b/>
                <w:i/>
              </w:rPr>
              <w:t>Please support your response with arguments</w:t>
            </w:r>
            <w:r w:rsidR="00DD13A8">
              <w:rPr>
                <w:b/>
                <w:i/>
              </w:rPr>
              <w:t xml:space="preserve"> </w:t>
            </w:r>
            <w:r w:rsidR="00DD13A8">
              <w:rPr>
                <w:rStyle w:val="PantoneCyan"/>
                <w:b/>
                <w:i/>
              </w:rPr>
              <w:t>and evidence</w:t>
            </w:r>
          </w:p>
        </w:tc>
      </w:tr>
      <w:tr w:rsidR="00AA6E75" w:rsidRPr="00015C4E" w:rsidTr="00577ED1">
        <w:trPr>
          <w:jc w:val="center"/>
        </w:trPr>
        <w:tc>
          <w:tcPr>
            <w:tcW w:w="355" w:type="pct"/>
            <w:shd w:val="clear" w:color="auto" w:fill="CCECF9"/>
            <w:tcMar>
              <w:top w:w="113" w:type="dxa"/>
              <w:bottom w:w="113" w:type="dxa"/>
            </w:tcMar>
          </w:tcPr>
          <w:p w:rsidR="00AA6E75" w:rsidRPr="00015C4E" w:rsidRDefault="00E1748A" w:rsidP="00A91648">
            <w:pPr>
              <w:pStyle w:val="TableText"/>
            </w:pPr>
            <w:r>
              <w:t>42</w:t>
            </w:r>
            <w:r w:rsidR="006D7E7C">
              <w:t>.</w:t>
            </w:r>
          </w:p>
        </w:tc>
        <w:tc>
          <w:tcPr>
            <w:tcW w:w="4645" w:type="pct"/>
            <w:shd w:val="clear" w:color="auto" w:fill="CCECF9"/>
            <w:tcMar>
              <w:top w:w="113" w:type="dxa"/>
              <w:bottom w:w="113" w:type="dxa"/>
            </w:tcMar>
          </w:tcPr>
          <w:p w:rsidR="00AA6E75" w:rsidRPr="00577ED1" w:rsidRDefault="004E309F" w:rsidP="008E03ED">
            <w:pPr>
              <w:spacing w:before="100" w:beforeAutospacing="1" w:after="100" w:afterAutospacing="1"/>
              <w:jc w:val="both"/>
              <w:rPr>
                <w:rStyle w:val="yiv1036703747apple-style-span"/>
                <w:rFonts w:cs="Arial"/>
                <w:color w:val="000000"/>
              </w:rPr>
            </w:pPr>
            <w:r w:rsidRPr="00577ED1">
              <w:rPr>
                <w:rStyle w:val="yiv1036703747apple-style-span"/>
                <w:rFonts w:cs="Arial"/>
                <w:color w:val="000000"/>
              </w:rPr>
              <w:t xml:space="preserve">Do you believe that the </w:t>
            </w:r>
            <w:r w:rsidR="008E03ED" w:rsidRPr="00577ED1">
              <w:rPr>
                <w:rStyle w:val="yiv1036703747apple-style-span"/>
                <w:rFonts w:cs="Arial"/>
                <w:color w:val="000000"/>
              </w:rPr>
              <w:t xml:space="preserve">current </w:t>
            </w:r>
            <w:r w:rsidRPr="00577ED1">
              <w:rPr>
                <w:rStyle w:val="yiv1036703747apple-style-span"/>
                <w:rFonts w:cs="Arial"/>
                <w:color w:val="000000"/>
              </w:rPr>
              <w:t>enforcement provisions of Ofgem's powers are sufficient?</w:t>
            </w:r>
          </w:p>
        </w:tc>
      </w:tr>
      <w:tr w:rsidR="00942534" w:rsidRPr="00015C4E" w:rsidTr="00577ED1">
        <w:trPr>
          <w:jc w:val="center"/>
        </w:trPr>
        <w:tc>
          <w:tcPr>
            <w:tcW w:w="355" w:type="pct"/>
            <w:shd w:val="clear" w:color="auto" w:fill="CCECF9"/>
            <w:tcMar>
              <w:top w:w="113" w:type="dxa"/>
              <w:bottom w:w="113" w:type="dxa"/>
            </w:tcMar>
          </w:tcPr>
          <w:p w:rsidR="00942534" w:rsidDel="00F55AD4" w:rsidRDefault="00E1748A" w:rsidP="00E1748A">
            <w:pPr>
              <w:pStyle w:val="TableText"/>
            </w:pPr>
            <w:r>
              <w:t>43</w:t>
            </w:r>
            <w:r w:rsidR="007111E1">
              <w:t>.</w:t>
            </w:r>
          </w:p>
        </w:tc>
        <w:tc>
          <w:tcPr>
            <w:tcW w:w="4645" w:type="pct"/>
            <w:shd w:val="clear" w:color="auto" w:fill="CCECF9"/>
            <w:tcMar>
              <w:top w:w="113" w:type="dxa"/>
              <w:bottom w:w="113" w:type="dxa"/>
            </w:tcMar>
          </w:tcPr>
          <w:p w:rsidR="00942534" w:rsidRPr="00577ED1" w:rsidRDefault="00942534" w:rsidP="004E309F">
            <w:pPr>
              <w:spacing w:before="100" w:beforeAutospacing="1" w:after="100" w:afterAutospacing="1"/>
              <w:jc w:val="both"/>
              <w:rPr>
                <w:rStyle w:val="yiv1036703747apple-style-span"/>
                <w:rFonts w:cs="Arial"/>
                <w:color w:val="000000"/>
              </w:rPr>
            </w:pPr>
            <w:r w:rsidRPr="00577ED1">
              <w:rPr>
                <w:rStyle w:val="yiv1036703747apple-style-span"/>
                <w:rFonts w:cs="Arial"/>
                <w:color w:val="000000"/>
              </w:rPr>
              <w:t>Do you believe that a power to remove individual installations post-accreditation would provide a more proportionate penalty to deal with individual cases of malpractice?</w:t>
            </w:r>
          </w:p>
        </w:tc>
      </w:tr>
      <w:tr w:rsidR="00942534" w:rsidRPr="00015C4E" w:rsidTr="00577ED1">
        <w:trPr>
          <w:jc w:val="center"/>
        </w:trPr>
        <w:tc>
          <w:tcPr>
            <w:tcW w:w="355" w:type="pct"/>
            <w:shd w:val="clear" w:color="auto" w:fill="CCECF9"/>
            <w:tcMar>
              <w:top w:w="113" w:type="dxa"/>
              <w:bottom w:w="113" w:type="dxa"/>
            </w:tcMar>
          </w:tcPr>
          <w:p w:rsidR="00942534" w:rsidRDefault="00E1748A" w:rsidP="00E1748A">
            <w:pPr>
              <w:pStyle w:val="TableText"/>
            </w:pPr>
            <w:r>
              <w:t>44</w:t>
            </w:r>
            <w:r w:rsidR="00942534">
              <w:t>.</w:t>
            </w:r>
          </w:p>
        </w:tc>
        <w:tc>
          <w:tcPr>
            <w:tcW w:w="4645" w:type="pct"/>
            <w:shd w:val="clear" w:color="auto" w:fill="CCECF9"/>
            <w:tcMar>
              <w:top w:w="113" w:type="dxa"/>
              <w:bottom w:w="113" w:type="dxa"/>
            </w:tcMar>
          </w:tcPr>
          <w:p w:rsidR="00942534" w:rsidRPr="00577ED1" w:rsidRDefault="00942534" w:rsidP="004E309F">
            <w:pPr>
              <w:spacing w:before="100" w:beforeAutospacing="1" w:after="100" w:afterAutospacing="1"/>
              <w:jc w:val="both"/>
              <w:rPr>
                <w:rStyle w:val="yiv1036703747apple-style-span"/>
                <w:rFonts w:cs="Arial"/>
                <w:color w:val="000000"/>
              </w:rPr>
            </w:pPr>
            <w:r w:rsidRPr="00577ED1">
              <w:rPr>
                <w:rStyle w:val="yiv1036703747apple-style-span"/>
                <w:rFonts w:cs="Arial"/>
                <w:color w:val="000000"/>
              </w:rPr>
              <w:t xml:space="preserve">If further provisions are required, what form might these take? </w:t>
            </w:r>
          </w:p>
        </w:tc>
      </w:tr>
    </w:tbl>
    <w:p w:rsidR="00577ED1" w:rsidRDefault="00577ED1" w:rsidP="00577ED1">
      <w:pPr>
        <w:pStyle w:val="NoSpacing"/>
      </w:pPr>
    </w:p>
    <w:p w:rsidR="004E375F" w:rsidRPr="00754BD1" w:rsidRDefault="004A207F" w:rsidP="004E375F">
      <w:pPr>
        <w:pStyle w:val="Heading2"/>
        <w:spacing w:after="240"/>
      </w:pPr>
      <w:bookmarkStart w:id="555" w:name="_Toc316544928"/>
      <w:r>
        <w:t>Advice and Support for Generators</w:t>
      </w:r>
      <w:bookmarkEnd w:id="555"/>
    </w:p>
    <w:p w:rsidR="0088491D" w:rsidRPr="0088491D" w:rsidRDefault="0088491D" w:rsidP="00986EAF">
      <w:pPr>
        <w:pStyle w:val="DECCnumberingBold"/>
      </w:pPr>
      <w:r w:rsidRPr="0088491D">
        <w:t xml:space="preserve">There is a need for Generators to receive clear, current and consistent advice </w:t>
      </w:r>
      <w:r w:rsidR="006E7F5E">
        <w:t>before</w:t>
      </w:r>
      <w:r w:rsidRPr="0088491D">
        <w:t xml:space="preserve"> commencing installation, for example on selecting the appropriate technology and related product, and on making a FIT application.</w:t>
      </w:r>
      <w:r w:rsidR="00D14994">
        <w:t xml:space="preserve"> This is currently undertaken mainly by the Energy Saving Trust and the Carbon </w:t>
      </w:r>
      <w:r w:rsidR="007A32EC">
        <w:t>Trust</w:t>
      </w:r>
      <w:r w:rsidR="007A32EC">
        <w:rPr>
          <w:rStyle w:val="CommentReference"/>
          <w:rFonts w:cs="Times New Roman"/>
        </w:rPr>
        <w:t>.</w:t>
      </w:r>
      <w:r w:rsidR="007A32EC">
        <w:t xml:space="preserve"> There</w:t>
      </w:r>
      <w:r w:rsidR="00D14994">
        <w:t xml:space="preserve"> is also a role for installers, FITs licensees and Ofgem.</w:t>
      </w:r>
    </w:p>
    <w:p w:rsidR="009075CD" w:rsidRDefault="0088491D" w:rsidP="00986EAF">
      <w:pPr>
        <w:pStyle w:val="DECCnumberingBold"/>
      </w:pPr>
      <w:r w:rsidRPr="00F21243">
        <w:t xml:space="preserve">The various bodies involved in the FITs Scheme provide advice to </w:t>
      </w:r>
      <w:r w:rsidR="00D14994">
        <w:t>g</w:t>
      </w:r>
      <w:r w:rsidRPr="00F21243">
        <w:t xml:space="preserve">enerators, but they each focus on their areas of responsibility. One source of complaints appears to concern the information provided by the installers. At present, each firm of </w:t>
      </w:r>
      <w:r w:rsidR="00D14994">
        <w:t>i</w:t>
      </w:r>
      <w:r w:rsidRPr="00F21243">
        <w:t>nstallers is aware of the obligations they have signed up to under MCS and REAL, but that in itself does not guarantee the delivery of clear and accurate information.</w:t>
      </w:r>
      <w:r w:rsidR="00024094">
        <w:t xml:space="preserve"> </w:t>
      </w:r>
      <w:r w:rsidRPr="00F21243">
        <w:t>The solution may be to draw up strict guidelines controlling, for example cold calling and pressure selling.</w:t>
      </w:r>
      <w:r w:rsidR="008A56AC">
        <w:t xml:space="preserve"> </w:t>
      </w:r>
      <w:r w:rsidRPr="00F21243">
        <w:t>Installers would need to ensure that their employees are made aware of such guidelines.</w:t>
      </w:r>
      <w:r w:rsidR="008A56AC">
        <w:t xml:space="preserve"> </w:t>
      </w:r>
      <w:r w:rsidRPr="00F21243">
        <w:t>This should be made mandatory and a pre-requisite for participation in the FITs Scheme.</w:t>
      </w:r>
      <w:r w:rsidR="00032EC6">
        <w:t xml:space="preserve"> </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156AD8" w:rsidRPr="00015C4E" w:rsidTr="00A96574">
        <w:trPr>
          <w:jc w:val="center"/>
        </w:trPr>
        <w:tc>
          <w:tcPr>
            <w:tcW w:w="5000" w:type="pct"/>
            <w:gridSpan w:val="2"/>
            <w:shd w:val="clear" w:color="auto" w:fill="CCECF9"/>
            <w:tcMar>
              <w:top w:w="113" w:type="dxa"/>
              <w:bottom w:w="113" w:type="dxa"/>
            </w:tcMar>
          </w:tcPr>
          <w:p w:rsidR="00156AD8" w:rsidRPr="00226F71" w:rsidRDefault="00DD416D" w:rsidP="00156AD8">
            <w:pPr>
              <w:pStyle w:val="TableTitle"/>
              <w:rPr>
                <w:rStyle w:val="PantoneCyan"/>
                <w:b/>
              </w:rPr>
            </w:pPr>
            <w:r w:rsidRPr="00226F71">
              <w:rPr>
                <w:rStyle w:val="PantoneCyan"/>
                <w:b/>
              </w:rPr>
              <w:t>Consultation Question</w:t>
            </w:r>
            <w:r>
              <w:rPr>
                <w:rStyle w:val="PantoneCyan"/>
                <w:b/>
              </w:rPr>
              <w:t xml:space="preserve">s: </w:t>
            </w:r>
            <w:r w:rsidR="0031178B">
              <w:rPr>
                <w:rStyle w:val="PantoneCyan"/>
                <w:b/>
                <w:i/>
              </w:rPr>
              <w:t>Please support your response with arguments</w:t>
            </w:r>
            <w:r w:rsidR="00DD13A8">
              <w:rPr>
                <w:b/>
                <w:i/>
              </w:rPr>
              <w:t xml:space="preserve"> </w:t>
            </w:r>
            <w:r w:rsidR="00DD13A8">
              <w:rPr>
                <w:rStyle w:val="PantoneCyan"/>
                <w:b/>
                <w:i/>
              </w:rPr>
              <w:t>and evidence</w:t>
            </w:r>
          </w:p>
        </w:tc>
      </w:tr>
      <w:tr w:rsidR="00156AD8" w:rsidRPr="00015C4E" w:rsidTr="00A96574">
        <w:trPr>
          <w:jc w:val="center"/>
        </w:trPr>
        <w:tc>
          <w:tcPr>
            <w:tcW w:w="355" w:type="pct"/>
            <w:shd w:val="clear" w:color="auto" w:fill="CCECF9"/>
            <w:tcMar>
              <w:top w:w="113" w:type="dxa"/>
              <w:bottom w:w="113" w:type="dxa"/>
            </w:tcMar>
          </w:tcPr>
          <w:p w:rsidR="00156AD8" w:rsidRPr="00015C4E" w:rsidRDefault="00E1748A" w:rsidP="00E1748A">
            <w:pPr>
              <w:pStyle w:val="TableText"/>
            </w:pPr>
            <w:r>
              <w:t>45</w:t>
            </w:r>
            <w:r w:rsidR="006D7E7C">
              <w:t>.</w:t>
            </w:r>
          </w:p>
        </w:tc>
        <w:tc>
          <w:tcPr>
            <w:tcW w:w="4645" w:type="pct"/>
            <w:shd w:val="clear" w:color="auto" w:fill="CCECF9"/>
            <w:tcMar>
              <w:top w:w="113" w:type="dxa"/>
              <w:bottom w:w="113" w:type="dxa"/>
            </w:tcMar>
          </w:tcPr>
          <w:p w:rsidR="00A4776C" w:rsidRPr="00A96574" w:rsidRDefault="00DD416D">
            <w:pPr>
              <w:spacing w:before="100" w:beforeAutospacing="1" w:after="100" w:afterAutospacing="1"/>
              <w:rPr>
                <w:rFonts w:cs="Arial"/>
                <w:color w:val="000000"/>
              </w:rPr>
            </w:pPr>
            <w:r w:rsidRPr="00A96574">
              <w:rPr>
                <w:rStyle w:val="yiv1036703747apple-style-span"/>
                <w:rFonts w:cs="Arial"/>
                <w:color w:val="000000"/>
              </w:rPr>
              <w:t>Do you believe that the current provision of information and advice regarding FITs is adequate?</w:t>
            </w:r>
          </w:p>
        </w:tc>
      </w:tr>
      <w:tr w:rsidR="00156AD8" w:rsidRPr="00015C4E" w:rsidTr="00A96574">
        <w:trPr>
          <w:jc w:val="center"/>
        </w:trPr>
        <w:tc>
          <w:tcPr>
            <w:tcW w:w="355" w:type="pct"/>
            <w:shd w:val="clear" w:color="auto" w:fill="CCECF9"/>
            <w:tcMar>
              <w:top w:w="113" w:type="dxa"/>
              <w:bottom w:w="113" w:type="dxa"/>
            </w:tcMar>
          </w:tcPr>
          <w:p w:rsidR="00156AD8" w:rsidRDefault="00E1748A" w:rsidP="00E1748A">
            <w:pPr>
              <w:pStyle w:val="TableText"/>
            </w:pPr>
            <w:r>
              <w:t>46</w:t>
            </w:r>
            <w:r w:rsidR="006D7E7C">
              <w:t>.</w:t>
            </w:r>
          </w:p>
        </w:tc>
        <w:tc>
          <w:tcPr>
            <w:tcW w:w="4645" w:type="pct"/>
            <w:shd w:val="clear" w:color="auto" w:fill="CCECF9"/>
            <w:tcMar>
              <w:top w:w="113" w:type="dxa"/>
              <w:bottom w:w="113" w:type="dxa"/>
            </w:tcMar>
          </w:tcPr>
          <w:p w:rsidR="00A4776C" w:rsidRPr="00A96574" w:rsidRDefault="00DD416D">
            <w:pPr>
              <w:spacing w:before="100" w:beforeAutospacing="1" w:after="100" w:afterAutospacing="1"/>
              <w:rPr>
                <w:rFonts w:cs="Arial"/>
                <w:color w:val="000000"/>
              </w:rPr>
            </w:pPr>
            <w:r w:rsidRPr="00A96574">
              <w:rPr>
                <w:rStyle w:val="yiv1036703747apple-style-span"/>
                <w:rFonts w:cs="Arial"/>
                <w:color w:val="000000"/>
              </w:rPr>
              <w:t>Who do you think should have the responsibility for drawing up and providing advice to Generators?</w:t>
            </w:r>
          </w:p>
        </w:tc>
      </w:tr>
      <w:tr w:rsidR="00DD416D" w:rsidRPr="00015C4E" w:rsidTr="00A96574">
        <w:trPr>
          <w:jc w:val="center"/>
        </w:trPr>
        <w:tc>
          <w:tcPr>
            <w:tcW w:w="355" w:type="pct"/>
            <w:shd w:val="clear" w:color="auto" w:fill="CCECF9"/>
            <w:tcMar>
              <w:top w:w="113" w:type="dxa"/>
              <w:bottom w:w="113" w:type="dxa"/>
            </w:tcMar>
          </w:tcPr>
          <w:p w:rsidR="00DD416D" w:rsidRDefault="00E1748A" w:rsidP="00E1748A">
            <w:pPr>
              <w:pStyle w:val="TableText"/>
            </w:pPr>
            <w:r>
              <w:t>47</w:t>
            </w:r>
            <w:r w:rsidR="006D7E7C">
              <w:t>.</w:t>
            </w:r>
          </w:p>
        </w:tc>
        <w:tc>
          <w:tcPr>
            <w:tcW w:w="4645" w:type="pct"/>
            <w:shd w:val="clear" w:color="auto" w:fill="CCECF9"/>
            <w:tcMar>
              <w:top w:w="113" w:type="dxa"/>
              <w:bottom w:w="113" w:type="dxa"/>
            </w:tcMar>
          </w:tcPr>
          <w:p w:rsidR="00A4776C" w:rsidRPr="00A96574" w:rsidRDefault="00DD416D">
            <w:pPr>
              <w:spacing w:before="100" w:beforeAutospacing="1" w:after="100" w:afterAutospacing="1"/>
              <w:rPr>
                <w:rStyle w:val="yiv1036703747apple-style-span"/>
                <w:rFonts w:cs="Arial"/>
                <w:color w:val="000000"/>
              </w:rPr>
            </w:pPr>
            <w:r w:rsidRPr="00A96574">
              <w:rPr>
                <w:rFonts w:cs="Arial"/>
                <w:color w:val="000000"/>
              </w:rPr>
              <w:t>How should the dissemination of advice be monitored, and who should have the responsibility for ensuring this is carried out correctly?</w:t>
            </w:r>
          </w:p>
        </w:tc>
      </w:tr>
    </w:tbl>
    <w:p w:rsidR="004E375F" w:rsidRDefault="004E375F" w:rsidP="00553F55">
      <w:pPr>
        <w:pStyle w:val="EndpageText"/>
        <w:spacing w:line="240" w:lineRule="auto"/>
        <w:jc w:val="both"/>
        <w:rPr>
          <w:color w:val="auto"/>
          <w:sz w:val="22"/>
          <w:szCs w:val="22"/>
        </w:rPr>
      </w:pPr>
    </w:p>
    <w:p w:rsidR="00614021" w:rsidRDefault="00614021" w:rsidP="00553F55">
      <w:pPr>
        <w:pStyle w:val="EndpageText"/>
        <w:spacing w:line="240" w:lineRule="auto"/>
        <w:jc w:val="both"/>
        <w:rPr>
          <w:color w:val="auto"/>
          <w:sz w:val="22"/>
          <w:szCs w:val="22"/>
        </w:rPr>
      </w:pPr>
    </w:p>
    <w:p w:rsidR="00614021" w:rsidRPr="00A96574" w:rsidRDefault="00614021" w:rsidP="00AB006C">
      <w:pPr>
        <w:pStyle w:val="Heading3"/>
        <w:spacing w:after="120"/>
        <w:rPr>
          <w:color w:val="00B0F0"/>
          <w:sz w:val="28"/>
          <w:szCs w:val="28"/>
        </w:rPr>
      </w:pPr>
      <w:bookmarkStart w:id="556" w:name="_Toc316544929"/>
      <w:r w:rsidRPr="00A96574">
        <w:rPr>
          <w:color w:val="00B0F0"/>
          <w:sz w:val="28"/>
          <w:szCs w:val="28"/>
        </w:rPr>
        <w:t>FITs summary of terms</w:t>
      </w:r>
      <w:bookmarkEnd w:id="556"/>
    </w:p>
    <w:p w:rsidR="00614021" w:rsidRPr="00B17049" w:rsidRDefault="00614021" w:rsidP="00986EAF">
      <w:pPr>
        <w:pStyle w:val="DECCnumberingBold"/>
      </w:pPr>
      <w:r w:rsidRPr="00B17049">
        <w:t xml:space="preserve">The FIT </w:t>
      </w:r>
      <w:r w:rsidR="00D14994">
        <w:t>g</w:t>
      </w:r>
      <w:r w:rsidRPr="00B17049">
        <w:t>enerator should be given sight of the statement of FIT terms before the registration process commences.</w:t>
      </w:r>
      <w:r>
        <w:t xml:space="preserve"> </w:t>
      </w:r>
      <w:r w:rsidRPr="00B17049">
        <w:t xml:space="preserve">This will enable the </w:t>
      </w:r>
      <w:r w:rsidR="00D14994">
        <w:t>g</w:t>
      </w:r>
      <w:r w:rsidR="00D14994" w:rsidRPr="00B17049">
        <w:t xml:space="preserve">enerator </w:t>
      </w:r>
      <w:r w:rsidRPr="00B17049">
        <w:t>to return a signed copy within 10 days of completing registration.</w:t>
      </w:r>
      <w:r>
        <w:t xml:space="preserve"> </w:t>
      </w:r>
      <w:r w:rsidRPr="00B17049">
        <w:t xml:space="preserve">However, the statement of FIT terms can only be agreed between the </w:t>
      </w:r>
      <w:r w:rsidR="00D14994">
        <w:t>g</w:t>
      </w:r>
      <w:r w:rsidRPr="00B17049">
        <w:t>enerator and FITs licensee once the registration process is complete.</w:t>
      </w:r>
    </w:p>
    <w:p w:rsidR="00614021" w:rsidRDefault="00614021" w:rsidP="00986EAF">
      <w:pPr>
        <w:pStyle w:val="DECCnumberingBold"/>
        <w:rPr>
          <w:rStyle w:val="yiv1636427688apple-style-span"/>
          <w:rFonts w:cs="Arial"/>
          <w:color w:val="000000"/>
        </w:rPr>
      </w:pPr>
      <w:r w:rsidRPr="00C00148">
        <w:t xml:space="preserve">The </w:t>
      </w:r>
      <w:r>
        <w:t>Summary of</w:t>
      </w:r>
      <w:r w:rsidRPr="00C00148">
        <w:t xml:space="preserve"> </w:t>
      </w:r>
      <w:r>
        <w:t>T</w:t>
      </w:r>
      <w:r w:rsidRPr="00C00148">
        <w:t>erms ensure</w:t>
      </w:r>
      <w:r>
        <w:t xml:space="preserve">s </w:t>
      </w:r>
      <w:r w:rsidRPr="00C00148">
        <w:t xml:space="preserve">that </w:t>
      </w:r>
      <w:r w:rsidR="00D14994">
        <w:t>g</w:t>
      </w:r>
      <w:r w:rsidRPr="00C00148">
        <w:t>enerators are aware of their rights and obligations, and those of the FITs licensee.</w:t>
      </w:r>
      <w:r>
        <w:t xml:space="preserve"> T</w:t>
      </w:r>
      <w:r w:rsidRPr="00C00148">
        <w:t xml:space="preserve">he onus </w:t>
      </w:r>
      <w:r>
        <w:t>is</w:t>
      </w:r>
      <w:r w:rsidRPr="00C00148">
        <w:t xml:space="preserve"> on the </w:t>
      </w:r>
      <w:r w:rsidR="00D14994">
        <w:t>g</w:t>
      </w:r>
      <w:r w:rsidRPr="00C00148">
        <w:t xml:space="preserve">enerator to ensure that they are familiar with the conditions for participation in the scheme and the documentation required when seeking accreditation. </w:t>
      </w:r>
      <w:r>
        <w:rPr>
          <w:rStyle w:val="yiv1636427688apple-style-span"/>
          <w:color w:val="000000"/>
        </w:rPr>
        <w:t>Experience suggests</w:t>
      </w:r>
      <w:r w:rsidRPr="00C00148">
        <w:rPr>
          <w:rStyle w:val="yiv1636427688apple-style-span"/>
          <w:color w:val="000000"/>
        </w:rPr>
        <w:t xml:space="preserve"> that these terms are not onerous and cover the key rights and obligations on both sides. However, we seek views on whether our view is correct</w:t>
      </w:r>
      <w:r>
        <w:rPr>
          <w:rStyle w:val="yiv1636427688apple-style-span"/>
          <w:color w:val="000000"/>
        </w:rPr>
        <w:t>.</w:t>
      </w:r>
    </w:p>
    <w:p w:rsidR="00614021" w:rsidRDefault="00614021" w:rsidP="00986EAF">
      <w:pPr>
        <w:pStyle w:val="DECCnumberingBold"/>
      </w:pPr>
      <w:r>
        <w:t xml:space="preserve">Payments to generators must be made at least every three months, but </w:t>
      </w:r>
      <w:r w:rsidR="007A32EC">
        <w:t>licensee</w:t>
      </w:r>
      <w:r>
        <w:t>s and generators can negotiate a payment pattern that suits them if required. In practice, this has meant that payments are generally made every three months.</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614021" w:rsidRPr="00015C4E" w:rsidTr="00A96574">
        <w:trPr>
          <w:jc w:val="center"/>
        </w:trPr>
        <w:tc>
          <w:tcPr>
            <w:tcW w:w="5000" w:type="pct"/>
            <w:gridSpan w:val="2"/>
            <w:shd w:val="clear" w:color="auto" w:fill="CCECF9"/>
            <w:tcMar>
              <w:top w:w="113" w:type="dxa"/>
              <w:bottom w:w="113" w:type="dxa"/>
            </w:tcMar>
          </w:tcPr>
          <w:p w:rsidR="00614021" w:rsidRPr="00226F71" w:rsidRDefault="00614021" w:rsidP="00614021">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DD13A8">
              <w:rPr>
                <w:b/>
                <w:i/>
              </w:rPr>
              <w:t xml:space="preserve"> </w:t>
            </w:r>
            <w:r w:rsidR="00DD13A8">
              <w:rPr>
                <w:rStyle w:val="PantoneCyan"/>
                <w:b/>
                <w:i/>
              </w:rPr>
              <w:t>and evidence</w:t>
            </w:r>
          </w:p>
        </w:tc>
      </w:tr>
      <w:tr w:rsidR="00614021" w:rsidRPr="00251F5F" w:rsidTr="00A96574">
        <w:trPr>
          <w:trHeight w:val="678"/>
          <w:jc w:val="center"/>
        </w:trPr>
        <w:tc>
          <w:tcPr>
            <w:tcW w:w="355" w:type="pct"/>
            <w:shd w:val="clear" w:color="auto" w:fill="CCECF9"/>
            <w:tcMar>
              <w:top w:w="113" w:type="dxa"/>
              <w:bottom w:w="113" w:type="dxa"/>
            </w:tcMar>
            <w:vAlign w:val="center"/>
          </w:tcPr>
          <w:p w:rsidR="00614021" w:rsidRPr="00155A53" w:rsidRDefault="00E1748A" w:rsidP="00E1748A">
            <w:pPr>
              <w:pStyle w:val="TableText"/>
              <w:jc w:val="center"/>
            </w:pPr>
            <w:bookmarkStart w:id="557" w:name="OLE_LINK9"/>
            <w:bookmarkStart w:id="558" w:name="OLE_LINK10"/>
            <w:r>
              <w:t>48</w:t>
            </w:r>
            <w:r w:rsidR="00614021" w:rsidRPr="00155A53">
              <w:t>.</w:t>
            </w:r>
          </w:p>
        </w:tc>
        <w:tc>
          <w:tcPr>
            <w:tcW w:w="4645" w:type="pct"/>
            <w:shd w:val="clear" w:color="auto" w:fill="CCECF9"/>
            <w:tcMar>
              <w:top w:w="113" w:type="dxa"/>
              <w:bottom w:w="113" w:type="dxa"/>
            </w:tcMar>
          </w:tcPr>
          <w:p w:rsidR="00614021" w:rsidRPr="00A96574" w:rsidRDefault="00614021" w:rsidP="00614021">
            <w:pPr>
              <w:spacing w:before="100" w:beforeAutospacing="1" w:after="100" w:afterAutospacing="1"/>
              <w:jc w:val="both"/>
              <w:rPr>
                <w:rFonts w:cs="Arial"/>
                <w:color w:val="000000"/>
              </w:rPr>
            </w:pPr>
            <w:r w:rsidRPr="00A96574">
              <w:rPr>
                <w:rFonts w:cs="Arial"/>
                <w:color w:val="000000"/>
              </w:rPr>
              <w:t xml:space="preserve">Are the FITs terms set out in the Summary of Terms </w:t>
            </w:r>
            <w:r w:rsidRPr="00A96574">
              <w:rPr>
                <w:rStyle w:val="yiv1636427688apple-style-span"/>
                <w:rFonts w:cs="Arial"/>
                <w:color w:val="000000"/>
              </w:rPr>
              <w:t>appropriate and sufficiently clear or are they too complex or onerous, requiring the</w:t>
            </w:r>
            <w:r w:rsidRPr="00A96574">
              <w:rPr>
                <w:rFonts w:cs="Arial"/>
                <w:color w:val="000000"/>
              </w:rPr>
              <w:t xml:space="preserve"> Generator to accept too many obligations</w:t>
            </w:r>
            <w:r w:rsidRPr="00A96574">
              <w:rPr>
                <w:rStyle w:val="yiv1636427688apple-style-span"/>
                <w:rFonts w:cs="Arial"/>
                <w:color w:val="000000"/>
              </w:rPr>
              <w:t>?</w:t>
            </w:r>
            <w:r w:rsidRPr="00A96574">
              <w:rPr>
                <w:rFonts w:eastAsia="Calibri" w:cs="Arial"/>
                <w:color w:val="000000"/>
              </w:rPr>
              <w:t xml:space="preserve"> </w:t>
            </w:r>
          </w:p>
        </w:tc>
      </w:tr>
      <w:tr w:rsidR="00614021" w:rsidRPr="00251F5F" w:rsidTr="00A96574">
        <w:trPr>
          <w:trHeight w:val="678"/>
          <w:jc w:val="center"/>
        </w:trPr>
        <w:tc>
          <w:tcPr>
            <w:tcW w:w="355" w:type="pct"/>
            <w:shd w:val="clear" w:color="auto" w:fill="CCECF9"/>
            <w:tcMar>
              <w:top w:w="113" w:type="dxa"/>
              <w:bottom w:w="113" w:type="dxa"/>
            </w:tcMar>
            <w:vAlign w:val="center"/>
          </w:tcPr>
          <w:p w:rsidR="00614021" w:rsidRPr="00155A53" w:rsidRDefault="00E1748A" w:rsidP="00E1748A">
            <w:pPr>
              <w:pStyle w:val="TableText"/>
              <w:jc w:val="center"/>
            </w:pPr>
            <w:r>
              <w:t>49</w:t>
            </w:r>
            <w:r w:rsidR="00614021">
              <w:t>.</w:t>
            </w:r>
          </w:p>
        </w:tc>
        <w:tc>
          <w:tcPr>
            <w:tcW w:w="4645" w:type="pct"/>
            <w:shd w:val="clear" w:color="auto" w:fill="CCECF9"/>
            <w:tcMar>
              <w:top w:w="113" w:type="dxa"/>
              <w:bottom w:w="113" w:type="dxa"/>
            </w:tcMar>
          </w:tcPr>
          <w:p w:rsidR="00614021" w:rsidRPr="00A96574" w:rsidRDefault="00614021" w:rsidP="00614021">
            <w:pPr>
              <w:spacing w:before="100" w:beforeAutospacing="1" w:after="100" w:afterAutospacing="1"/>
              <w:jc w:val="both"/>
              <w:rPr>
                <w:rFonts w:cs="Arial"/>
                <w:color w:val="000000"/>
              </w:rPr>
            </w:pPr>
            <w:r w:rsidRPr="00A96574">
              <w:rPr>
                <w:rFonts w:cs="Arial"/>
                <w:color w:val="000000"/>
              </w:rPr>
              <w:t>Is payment to generators at least every 3 months reasonable? Should it be obligatory to make payments more or less frequently?</w:t>
            </w:r>
          </w:p>
        </w:tc>
      </w:tr>
      <w:bookmarkEnd w:id="557"/>
      <w:bookmarkEnd w:id="558"/>
    </w:tbl>
    <w:p w:rsidR="00614021" w:rsidRDefault="00614021" w:rsidP="00553F55">
      <w:pPr>
        <w:pStyle w:val="EndpageText"/>
        <w:spacing w:line="240" w:lineRule="auto"/>
        <w:jc w:val="both"/>
        <w:rPr>
          <w:color w:val="auto"/>
          <w:sz w:val="22"/>
          <w:szCs w:val="22"/>
        </w:rPr>
      </w:pPr>
    </w:p>
    <w:p w:rsidR="004E375F" w:rsidRPr="00A96574" w:rsidRDefault="004A207F" w:rsidP="004E375F">
      <w:pPr>
        <w:pStyle w:val="Heading2"/>
        <w:spacing w:after="240"/>
        <w:rPr>
          <w:color w:val="00B0F0"/>
        </w:rPr>
      </w:pPr>
      <w:bookmarkStart w:id="559" w:name="_Toc316544930"/>
      <w:r w:rsidRPr="00A96574">
        <w:rPr>
          <w:color w:val="00B0F0"/>
        </w:rPr>
        <w:t>Complaints</w:t>
      </w:r>
      <w:bookmarkEnd w:id="559"/>
    </w:p>
    <w:p w:rsidR="00CA6EDB" w:rsidRDefault="00A64C5F" w:rsidP="00986EAF">
      <w:pPr>
        <w:pStyle w:val="DECCnumberingBold"/>
      </w:pPr>
      <w:r w:rsidRPr="00B27454">
        <w:t>The delivery of the FIT</w:t>
      </w:r>
      <w:r w:rsidR="00BF14AA">
        <w:t>s</w:t>
      </w:r>
      <w:r w:rsidRPr="00B27454">
        <w:t xml:space="preserve"> Scheme involves a number of different organisations and processes, and we are aware that it may not always be obvious</w:t>
      </w:r>
      <w:r w:rsidR="00CA6EDB">
        <w:t xml:space="preserve"> to </w:t>
      </w:r>
      <w:r w:rsidRPr="00B27454">
        <w:t>who</w:t>
      </w:r>
      <w:r w:rsidR="00CA6EDB">
        <w:t>m</w:t>
      </w:r>
      <w:r w:rsidRPr="00B27454">
        <w:t xml:space="preserve"> to complain.</w:t>
      </w:r>
      <w:r w:rsidR="008A56AC">
        <w:t xml:space="preserve"> </w:t>
      </w:r>
      <w:r w:rsidRPr="00B27454">
        <w:t>Whilst such instances are not commonplace, we accept that this can be frustrating for those complainants.</w:t>
      </w:r>
      <w:r w:rsidR="008A56AC">
        <w:t xml:space="preserve"> </w:t>
      </w:r>
    </w:p>
    <w:p w:rsidR="00A96574" w:rsidRDefault="00A64C5F" w:rsidP="00986EAF">
      <w:pPr>
        <w:pStyle w:val="DECCnumberingBold"/>
      </w:pPr>
      <w:r w:rsidRPr="00B27454">
        <w:t xml:space="preserve">Accordingly, to assist potential complainants, DECC has drawn up a guide to the complaints procedure for each of the organisations involved, according to the different types of issues that may be raised by people who are, or intend to generate electricity supported by FITs, classed as FITs </w:t>
      </w:r>
      <w:r w:rsidR="002F359D">
        <w:t>g</w:t>
      </w:r>
      <w:r w:rsidRPr="00B27454">
        <w:t>enerators.</w:t>
      </w:r>
      <w:r w:rsidR="008A56AC">
        <w:t xml:space="preserve"> </w:t>
      </w:r>
      <w:r w:rsidR="00CA6EDB">
        <w:t xml:space="preserve">This guide, which also has a short list </w:t>
      </w:r>
      <w:r w:rsidRPr="00B27454">
        <w:t>of key terms</w:t>
      </w:r>
      <w:r w:rsidR="003F2C4C">
        <w:t xml:space="preserve"> can be viewed online</w:t>
      </w:r>
      <w:r w:rsidR="00026F53">
        <w:t xml:space="preserve"> at:</w:t>
      </w:r>
      <w:r w:rsidR="003F2C4C">
        <w:t xml:space="preserve"> </w:t>
      </w:r>
    </w:p>
    <w:p w:rsidR="009075CD" w:rsidRDefault="002616D9" w:rsidP="00024094">
      <w:pPr>
        <w:pStyle w:val="DECCnumberingBold"/>
        <w:numPr>
          <w:ilvl w:val="0"/>
          <w:numId w:val="0"/>
        </w:numPr>
        <w:ind w:left="720"/>
      </w:pPr>
      <w:r>
        <w:t> </w:t>
      </w:r>
      <w:hyperlink r:id="rId22" w:history="1">
        <w:r w:rsidR="000722B9" w:rsidRPr="003C5B4F">
          <w:rPr>
            <w:rStyle w:val="Hyperlink"/>
          </w:rPr>
          <w:t>www.decc.gov.uk/assets/decc/what%20we%20do/uk%20energy%20supply/energy%20mix/renewable%20energy/policy/fits/1_20100331154613_e_@@_fitscomplaintsprocessleaflet.pdf</w:t>
        </w:r>
      </w:hyperlink>
      <w:r w:rsidR="003F2C4C" w:rsidRPr="00B27454">
        <w:t>.</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3F2C4C" w:rsidRPr="00015C4E" w:rsidTr="00A96574">
        <w:trPr>
          <w:jc w:val="center"/>
        </w:trPr>
        <w:tc>
          <w:tcPr>
            <w:tcW w:w="5000" w:type="pct"/>
            <w:gridSpan w:val="2"/>
            <w:shd w:val="clear" w:color="auto" w:fill="CCECF9"/>
            <w:tcMar>
              <w:top w:w="113" w:type="dxa"/>
              <w:bottom w:w="113" w:type="dxa"/>
            </w:tcMar>
          </w:tcPr>
          <w:p w:rsidR="003F2C4C" w:rsidRPr="00226F71" w:rsidRDefault="003F2C4C" w:rsidP="003F2C4C">
            <w:pPr>
              <w:pStyle w:val="TableTitle"/>
              <w:rPr>
                <w:rStyle w:val="PantoneCyan"/>
                <w:b/>
              </w:rPr>
            </w:pPr>
            <w:r w:rsidRPr="00226F71">
              <w:rPr>
                <w:rStyle w:val="PantoneCyan"/>
                <w:b/>
              </w:rPr>
              <w:lastRenderedPageBreak/>
              <w:t>Consultation Question</w:t>
            </w:r>
            <w:r>
              <w:rPr>
                <w:rStyle w:val="PantoneCyan"/>
                <w:b/>
              </w:rPr>
              <w:t>s</w:t>
            </w:r>
            <w:r w:rsidR="00745C2A">
              <w:rPr>
                <w:rStyle w:val="PantoneCyan"/>
                <w:b/>
              </w:rPr>
              <w:t xml:space="preserve">: </w:t>
            </w:r>
            <w:r w:rsidR="00745C2A">
              <w:rPr>
                <w:rStyle w:val="PantoneCyan"/>
                <w:b/>
                <w:i/>
              </w:rPr>
              <w:t>Please support your response with arguments</w:t>
            </w:r>
            <w:r w:rsidR="00DD13A8">
              <w:rPr>
                <w:b/>
                <w:i/>
              </w:rPr>
              <w:t xml:space="preserve"> </w:t>
            </w:r>
            <w:r w:rsidR="00DD13A8">
              <w:rPr>
                <w:rStyle w:val="PantoneCyan"/>
                <w:b/>
                <w:i/>
              </w:rPr>
              <w:t>and evidence</w:t>
            </w:r>
          </w:p>
        </w:tc>
      </w:tr>
      <w:tr w:rsidR="003F2C4C" w:rsidRPr="00015C4E" w:rsidTr="00A96574">
        <w:trPr>
          <w:jc w:val="center"/>
        </w:trPr>
        <w:tc>
          <w:tcPr>
            <w:tcW w:w="355" w:type="pct"/>
            <w:shd w:val="clear" w:color="auto" w:fill="CCECF9"/>
            <w:tcMar>
              <w:top w:w="113" w:type="dxa"/>
              <w:bottom w:w="113" w:type="dxa"/>
            </w:tcMar>
          </w:tcPr>
          <w:p w:rsidR="003F2C4C" w:rsidRPr="00015C4E" w:rsidRDefault="00E1748A" w:rsidP="00A91648">
            <w:pPr>
              <w:pStyle w:val="TableText"/>
            </w:pPr>
            <w:r>
              <w:t>50</w:t>
            </w:r>
            <w:r w:rsidR="006D7E7C">
              <w:t>.</w:t>
            </w:r>
          </w:p>
        </w:tc>
        <w:tc>
          <w:tcPr>
            <w:tcW w:w="4645" w:type="pct"/>
            <w:shd w:val="clear" w:color="auto" w:fill="CCECF9"/>
            <w:tcMar>
              <w:top w:w="113" w:type="dxa"/>
              <w:bottom w:w="113" w:type="dxa"/>
            </w:tcMar>
          </w:tcPr>
          <w:p w:rsidR="003F2C4C" w:rsidRPr="00A96574" w:rsidRDefault="003F2C4C" w:rsidP="00745C2A">
            <w:pPr>
              <w:pStyle w:val="TableText"/>
              <w:rPr>
                <w:rFonts w:cs="Arial"/>
                <w:b w:val="0"/>
                <w:color w:val="000000"/>
              </w:rPr>
            </w:pPr>
            <w:r w:rsidRPr="00A96574">
              <w:rPr>
                <w:rFonts w:cs="Arial"/>
                <w:b w:val="0"/>
                <w:color w:val="000000"/>
              </w:rPr>
              <w:t xml:space="preserve">Are there any issues that are not taken account of </w:t>
            </w:r>
            <w:r w:rsidR="00745C2A" w:rsidRPr="00A96574">
              <w:rPr>
                <w:rFonts w:cs="Arial"/>
                <w:b w:val="0"/>
                <w:color w:val="000000"/>
              </w:rPr>
              <w:t xml:space="preserve">in </w:t>
            </w:r>
            <w:r w:rsidRPr="00A96574">
              <w:rPr>
                <w:rFonts w:cs="Arial"/>
                <w:b w:val="0"/>
                <w:color w:val="000000"/>
              </w:rPr>
              <w:t xml:space="preserve">the DECC guide? </w:t>
            </w:r>
          </w:p>
        </w:tc>
      </w:tr>
      <w:tr w:rsidR="003F2C4C" w:rsidRPr="00015C4E" w:rsidTr="00A96574">
        <w:trPr>
          <w:jc w:val="center"/>
        </w:trPr>
        <w:tc>
          <w:tcPr>
            <w:tcW w:w="355" w:type="pct"/>
            <w:shd w:val="clear" w:color="auto" w:fill="CCECF9"/>
            <w:tcMar>
              <w:top w:w="113" w:type="dxa"/>
              <w:bottom w:w="113" w:type="dxa"/>
            </w:tcMar>
          </w:tcPr>
          <w:p w:rsidR="003F2C4C" w:rsidRDefault="00E1748A" w:rsidP="00A91648">
            <w:pPr>
              <w:pStyle w:val="TableText"/>
            </w:pPr>
            <w:r>
              <w:t>51</w:t>
            </w:r>
            <w:r w:rsidR="006D7E7C">
              <w:t>.</w:t>
            </w:r>
          </w:p>
        </w:tc>
        <w:tc>
          <w:tcPr>
            <w:tcW w:w="4645" w:type="pct"/>
            <w:shd w:val="clear" w:color="auto" w:fill="CCECF9"/>
            <w:tcMar>
              <w:top w:w="113" w:type="dxa"/>
              <w:bottom w:w="113" w:type="dxa"/>
            </w:tcMar>
          </w:tcPr>
          <w:p w:rsidR="00F8002E" w:rsidRPr="00A96574" w:rsidRDefault="003F2C4C" w:rsidP="00745C2A">
            <w:pPr>
              <w:spacing w:before="100" w:beforeAutospacing="1" w:after="100" w:afterAutospacing="1"/>
              <w:rPr>
                <w:rFonts w:cs="Arial"/>
                <w:color w:val="000000"/>
              </w:rPr>
            </w:pPr>
            <w:r w:rsidRPr="00A96574">
              <w:rPr>
                <w:rStyle w:val="yiv1636427688apple-style-span"/>
                <w:rFonts w:cs="Arial"/>
                <w:color w:val="000000"/>
              </w:rPr>
              <w:t>Do you think that the current complaints/dispute resolution arrangements for the FITs Scheme are adequate?</w:t>
            </w:r>
            <w:r w:rsidR="00F8002E" w:rsidRPr="00A96574">
              <w:rPr>
                <w:rStyle w:val="yiv1636427688apple-style-span"/>
                <w:rFonts w:cs="Arial"/>
                <w:color w:val="000000"/>
              </w:rPr>
              <w:t xml:space="preserve"> </w:t>
            </w:r>
          </w:p>
        </w:tc>
      </w:tr>
      <w:tr w:rsidR="00F8002E" w:rsidRPr="00015C4E" w:rsidTr="00A96574">
        <w:trPr>
          <w:jc w:val="center"/>
        </w:trPr>
        <w:tc>
          <w:tcPr>
            <w:tcW w:w="355" w:type="pct"/>
            <w:shd w:val="clear" w:color="auto" w:fill="CCECF9"/>
            <w:tcMar>
              <w:top w:w="113" w:type="dxa"/>
              <w:bottom w:w="113" w:type="dxa"/>
            </w:tcMar>
          </w:tcPr>
          <w:p w:rsidR="00F8002E" w:rsidRDefault="00E1748A" w:rsidP="00A91648">
            <w:pPr>
              <w:pStyle w:val="TableText"/>
            </w:pPr>
            <w:r>
              <w:t>52</w:t>
            </w:r>
            <w:r w:rsidR="006D7E7C">
              <w:t>.</w:t>
            </w:r>
          </w:p>
        </w:tc>
        <w:tc>
          <w:tcPr>
            <w:tcW w:w="4645" w:type="pct"/>
            <w:shd w:val="clear" w:color="auto" w:fill="CCECF9"/>
            <w:tcMar>
              <w:top w:w="113" w:type="dxa"/>
              <w:bottom w:w="113" w:type="dxa"/>
            </w:tcMar>
          </w:tcPr>
          <w:p w:rsidR="00F8002E" w:rsidRPr="00A96574" w:rsidRDefault="00F8002E" w:rsidP="008766F5">
            <w:pPr>
              <w:spacing w:before="100" w:beforeAutospacing="1" w:after="100" w:afterAutospacing="1"/>
              <w:rPr>
                <w:rStyle w:val="yiv1636427688apple-style-span"/>
                <w:rFonts w:cs="Arial"/>
                <w:color w:val="000000"/>
              </w:rPr>
            </w:pPr>
            <w:r w:rsidRPr="00A96574">
              <w:rPr>
                <w:rFonts w:cs="Arial"/>
                <w:color w:val="000000"/>
              </w:rPr>
              <w:t xml:space="preserve">If the current arrangements are not adequate, what changes should be made? </w:t>
            </w:r>
          </w:p>
        </w:tc>
      </w:tr>
    </w:tbl>
    <w:p w:rsidR="004E375F" w:rsidRDefault="004E375F" w:rsidP="00553F55">
      <w:pPr>
        <w:pStyle w:val="EndpageText"/>
        <w:spacing w:line="240" w:lineRule="auto"/>
        <w:ind w:left="0"/>
        <w:jc w:val="both"/>
        <w:rPr>
          <w:color w:val="auto"/>
          <w:sz w:val="22"/>
          <w:szCs w:val="22"/>
        </w:rPr>
      </w:pPr>
    </w:p>
    <w:p w:rsidR="00AA6E75" w:rsidRDefault="00024094" w:rsidP="00AA6E75">
      <w:pPr>
        <w:pStyle w:val="EndpageText"/>
        <w:spacing w:line="240" w:lineRule="auto"/>
        <w:ind w:left="0"/>
        <w:jc w:val="both"/>
        <w:rPr>
          <w:color w:val="auto"/>
          <w:sz w:val="22"/>
          <w:szCs w:val="22"/>
        </w:rPr>
      </w:pPr>
      <w:r>
        <w:rPr>
          <w:color w:val="auto"/>
          <w:sz w:val="22"/>
          <w:szCs w:val="22"/>
        </w:rPr>
        <w:br w:type="page"/>
      </w:r>
    </w:p>
    <w:p w:rsidR="009075CD" w:rsidRDefault="009075CD" w:rsidP="00953ADA">
      <w:pPr>
        <w:pStyle w:val="EndpageText"/>
        <w:spacing w:line="240" w:lineRule="auto"/>
        <w:ind w:left="0"/>
        <w:jc w:val="both"/>
      </w:pPr>
    </w:p>
    <w:tbl>
      <w:tblPr>
        <w:tblpPr w:leftFromText="181" w:rightFromText="181" w:vertAnchor="text" w:horzAnchor="margin" w:tblpXSpec="center" w:tblpY="-39"/>
        <w:tblW w:w="4835" w:type="pct"/>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tblPr>
      <w:tblGrid>
        <w:gridCol w:w="2489"/>
        <w:gridCol w:w="6407"/>
      </w:tblGrid>
      <w:tr w:rsidR="00A855DC" w:rsidRPr="0028755F" w:rsidTr="00A96574">
        <w:trPr>
          <w:trHeight w:val="165"/>
          <w:tblHeader/>
        </w:trPr>
        <w:tc>
          <w:tcPr>
            <w:tcW w:w="1399" w:type="pct"/>
            <w:shd w:val="clear" w:color="auto" w:fill="009EE3"/>
            <w:tcMar>
              <w:top w:w="113" w:type="dxa"/>
              <w:bottom w:w="113" w:type="dxa"/>
            </w:tcMar>
          </w:tcPr>
          <w:p w:rsidR="00A855DC" w:rsidRPr="00AC6BC1" w:rsidRDefault="00A855DC" w:rsidP="00553F55">
            <w:pPr>
              <w:pStyle w:val="Caption"/>
              <w:jc w:val="both"/>
              <w:rPr>
                <w:color w:val="FFFFFF"/>
                <w:sz w:val="44"/>
                <w:szCs w:val="44"/>
              </w:rPr>
            </w:pPr>
            <w:r w:rsidRPr="00AC6BC1">
              <w:rPr>
                <w:color w:val="FFFFFF"/>
                <w:sz w:val="44"/>
                <w:szCs w:val="44"/>
              </w:rPr>
              <w:t xml:space="preserve">Chapter </w:t>
            </w:r>
            <w:r w:rsidR="00DE1278" w:rsidRPr="00AC6BC1">
              <w:rPr>
                <w:color w:val="FFFFFF"/>
                <w:sz w:val="44"/>
                <w:szCs w:val="44"/>
              </w:rPr>
              <w:t>6</w:t>
            </w:r>
            <w:r w:rsidRPr="00AC6BC1">
              <w:rPr>
                <w:color w:val="FFFFFF"/>
                <w:sz w:val="44"/>
                <w:szCs w:val="44"/>
              </w:rPr>
              <w:t>.</w:t>
            </w:r>
          </w:p>
          <w:p w:rsidR="00A855DC" w:rsidRPr="00AC6BC1" w:rsidRDefault="00A855DC" w:rsidP="00553F55">
            <w:pPr>
              <w:jc w:val="both"/>
              <w:rPr>
                <w:sz w:val="44"/>
                <w:szCs w:val="44"/>
              </w:rPr>
            </w:pPr>
          </w:p>
        </w:tc>
        <w:tc>
          <w:tcPr>
            <w:tcW w:w="3601" w:type="pct"/>
            <w:shd w:val="clear" w:color="auto" w:fill="009EE3"/>
            <w:tcMar>
              <w:top w:w="113" w:type="dxa"/>
              <w:bottom w:w="113" w:type="dxa"/>
            </w:tcMar>
          </w:tcPr>
          <w:p w:rsidR="00A855DC" w:rsidRPr="00AC6BC1" w:rsidRDefault="003C0965" w:rsidP="003C0965">
            <w:pPr>
              <w:pStyle w:val="Heading1"/>
              <w:rPr>
                <w:color w:val="FFFFFF"/>
                <w:sz w:val="44"/>
                <w:szCs w:val="44"/>
              </w:rPr>
            </w:pPr>
            <w:bookmarkStart w:id="560" w:name="_Toc316544931"/>
            <w:r w:rsidRPr="00AC6BC1">
              <w:rPr>
                <w:color w:val="FFFFFF"/>
                <w:sz w:val="44"/>
                <w:szCs w:val="44"/>
              </w:rPr>
              <w:t>Licensee</w:t>
            </w:r>
            <w:r w:rsidR="00477C7F" w:rsidRPr="00AC6BC1">
              <w:rPr>
                <w:color w:val="FFFFFF"/>
                <w:sz w:val="44"/>
                <w:szCs w:val="44"/>
              </w:rPr>
              <w:t xml:space="preserve"> Issues</w:t>
            </w:r>
            <w:bookmarkEnd w:id="560"/>
          </w:p>
        </w:tc>
      </w:tr>
      <w:tr w:rsidR="00A855DC" w:rsidRPr="00015C4E" w:rsidTr="00A96574">
        <w:trPr>
          <w:trHeight w:val="488"/>
        </w:trPr>
        <w:tc>
          <w:tcPr>
            <w:tcW w:w="1399" w:type="pct"/>
            <w:shd w:val="clear" w:color="auto" w:fill="auto"/>
            <w:tcMar>
              <w:top w:w="113" w:type="dxa"/>
              <w:bottom w:w="113" w:type="dxa"/>
            </w:tcMar>
          </w:tcPr>
          <w:p w:rsidR="00A855DC" w:rsidRPr="001B5BC3" w:rsidRDefault="00A855DC" w:rsidP="00553F55">
            <w:pPr>
              <w:jc w:val="both"/>
              <w:rPr>
                <w:rFonts w:cs="Arial"/>
                <w:b/>
              </w:rPr>
            </w:pPr>
            <w:r w:rsidRPr="001B5BC3">
              <w:rPr>
                <w:rFonts w:cs="Arial"/>
                <w:b/>
              </w:rPr>
              <w:t xml:space="preserve">Summary </w:t>
            </w:r>
          </w:p>
          <w:p w:rsidR="00A855DC" w:rsidRPr="003654E6" w:rsidRDefault="00A855DC" w:rsidP="00553F55">
            <w:pPr>
              <w:pStyle w:val="TableText"/>
              <w:jc w:val="both"/>
            </w:pPr>
          </w:p>
        </w:tc>
        <w:tc>
          <w:tcPr>
            <w:tcW w:w="3601" w:type="pct"/>
            <w:shd w:val="clear" w:color="auto" w:fill="auto"/>
            <w:tcMar>
              <w:top w:w="113" w:type="dxa"/>
              <w:bottom w:w="113" w:type="dxa"/>
            </w:tcMar>
          </w:tcPr>
          <w:p w:rsidR="00A855DC" w:rsidRPr="00646A3A" w:rsidRDefault="00CE2A6D" w:rsidP="00553F55">
            <w:pPr>
              <w:numPr>
                <w:ilvl w:val="0"/>
                <w:numId w:val="6"/>
              </w:numPr>
              <w:ind w:right="113"/>
              <w:jc w:val="both"/>
              <w:rPr>
                <w:sz w:val="22"/>
                <w:szCs w:val="22"/>
              </w:rPr>
            </w:pPr>
            <w:r>
              <w:t xml:space="preserve">Looks at thresholds for </w:t>
            </w:r>
            <w:r w:rsidR="003C0965">
              <w:t>licensees</w:t>
            </w:r>
          </w:p>
          <w:p w:rsidR="00A855DC" w:rsidRPr="00DE1278" w:rsidRDefault="00CE2A6D" w:rsidP="00553F55">
            <w:pPr>
              <w:numPr>
                <w:ilvl w:val="0"/>
                <w:numId w:val="6"/>
              </w:numPr>
              <w:ind w:right="113"/>
              <w:jc w:val="both"/>
            </w:pPr>
            <w:r w:rsidRPr="00DE1278">
              <w:t>The role of O</w:t>
            </w:r>
            <w:r w:rsidR="002F359D">
              <w:t>fgem</w:t>
            </w:r>
          </w:p>
          <w:p w:rsidR="00CE2A6D" w:rsidRPr="00646A3A" w:rsidRDefault="00CE2A6D" w:rsidP="00553F55">
            <w:pPr>
              <w:numPr>
                <w:ilvl w:val="0"/>
                <w:numId w:val="6"/>
              </w:numPr>
              <w:ind w:right="113"/>
              <w:jc w:val="both"/>
              <w:rPr>
                <w:sz w:val="22"/>
                <w:szCs w:val="22"/>
              </w:rPr>
            </w:pPr>
            <w:r w:rsidRPr="00DE1278">
              <w:t>Whether a supplier of last resort is needed</w:t>
            </w:r>
          </w:p>
        </w:tc>
      </w:tr>
    </w:tbl>
    <w:p w:rsidR="00DF6F59" w:rsidRPr="00A96574" w:rsidRDefault="00DF6F59" w:rsidP="00DF6F59">
      <w:pPr>
        <w:pStyle w:val="Heading2"/>
        <w:spacing w:after="240"/>
        <w:jc w:val="both"/>
        <w:rPr>
          <w:color w:val="00B0F0"/>
        </w:rPr>
      </w:pPr>
      <w:bookmarkStart w:id="561" w:name="_Toc316544932"/>
      <w:r w:rsidRPr="00A96574">
        <w:rPr>
          <w:color w:val="00B0F0"/>
        </w:rPr>
        <w:t xml:space="preserve">Thresholds for </w:t>
      </w:r>
      <w:r w:rsidR="007A32EC" w:rsidRPr="00A96574">
        <w:rPr>
          <w:color w:val="00B0F0"/>
        </w:rPr>
        <w:t>licensee</w:t>
      </w:r>
      <w:r w:rsidRPr="00A96574">
        <w:rPr>
          <w:color w:val="00B0F0"/>
        </w:rPr>
        <w:t>s</w:t>
      </w:r>
      <w:bookmarkEnd w:id="561"/>
    </w:p>
    <w:p w:rsidR="00A4776C" w:rsidRDefault="00DF6F59" w:rsidP="00986EAF">
      <w:pPr>
        <w:pStyle w:val="DECCnumberingBold"/>
      </w:pPr>
      <w:r>
        <w:t>In December 2010 the Government consulted on raising the customer threshold at which electricity and gas supply companies are required to participate in DECC’s social and environmental programmes including the Carbon Emissions Reduction Target (CERT), Community Energy Saving Programme (CESP) and Feed</w:t>
      </w:r>
      <w:r w:rsidR="007940C2">
        <w:t>-</w:t>
      </w:r>
      <w:r>
        <w:t>In Tariffs (FITs).</w:t>
      </w:r>
    </w:p>
    <w:p w:rsidR="00DF6F59" w:rsidRDefault="00DF6F59" w:rsidP="00986EAF">
      <w:pPr>
        <w:pStyle w:val="DECCnumberingBold"/>
      </w:pPr>
      <w:r>
        <w:t xml:space="preserve">Following the consultation, the Government decided to raise the threshold to 250,000 customers for mandatory participation in CERT and CESP for the remaining period of these two programmes. It emerged during the consultation that FITs were less of a concern to small </w:t>
      </w:r>
      <w:r w:rsidR="007A32EC">
        <w:t>licensee</w:t>
      </w:r>
      <w:r>
        <w:t xml:space="preserve">s and indeed some small </w:t>
      </w:r>
      <w:r w:rsidR="007A32EC">
        <w:t>licensee</w:t>
      </w:r>
      <w:r>
        <w:t xml:space="preserve">s have voluntarily opted into the scheme. </w:t>
      </w:r>
      <w:r w:rsidR="007A32EC">
        <w:t>Licensee</w:t>
      </w:r>
      <w:r>
        <w:t>s making FITs payments may claim administration costs as part of “qualifying FITs costs” determined annually by the Secretary of State and this takes account of the likely difference in costs for mandatory participation and voluntary participants’ administration costs, to reflect their higher per customer administration costs.</w:t>
      </w:r>
    </w:p>
    <w:p w:rsidR="00DF6F59" w:rsidRDefault="00DF6F59" w:rsidP="00986EAF">
      <w:pPr>
        <w:pStyle w:val="DECCnumberingBold"/>
      </w:pPr>
      <w:r>
        <w:t xml:space="preserve">It was decided that the threshold at which a </w:t>
      </w:r>
      <w:r w:rsidR="007A32EC">
        <w:t>licensee</w:t>
      </w:r>
      <w:r>
        <w:t xml:space="preserve"> is obliged to make FITs payments should remain at 50,000 customers pending the current review of FITs. It was also stated that it is not the Government’s intention to continue to increase these thresholds and it is our intention to design future programmes to minimise disproportionate burdens on small </w:t>
      </w:r>
      <w:r w:rsidR="007A32EC">
        <w:t>licensee</w:t>
      </w:r>
      <w:r>
        <w:t xml:space="preserve">s and to minimise burdens on all </w:t>
      </w:r>
      <w:r w:rsidR="007A32EC">
        <w:t>licensee</w:t>
      </w:r>
      <w:r>
        <w:t>s, rather than continue to revise thresholds.</w:t>
      </w:r>
    </w:p>
    <w:p w:rsidR="00DF6F59" w:rsidRPr="00156AD8" w:rsidRDefault="001E768A" w:rsidP="00986EAF">
      <w:pPr>
        <w:pStyle w:val="DECCnumberingBold"/>
      </w:pPr>
      <w:r>
        <w:br w:type="page"/>
      </w:r>
      <w:r w:rsidR="00DF6F59">
        <w:lastRenderedPageBreak/>
        <w:t xml:space="preserve">We believe that the FITs scheme provides a reasonable amount of flexibility for small </w:t>
      </w:r>
      <w:r w:rsidR="007A32EC">
        <w:t>licensee</w:t>
      </w:r>
      <w:r w:rsidR="00DF6F59">
        <w:t xml:space="preserve">s and that they are not particularly disadvantaged by the setting of the </w:t>
      </w:r>
      <w:r w:rsidR="00E75374">
        <w:t>threshold</w:t>
      </w:r>
      <w:r w:rsidR="00DF6F59">
        <w:t xml:space="preserve">. However, for consistency with </w:t>
      </w:r>
      <w:r w:rsidR="00E75374">
        <w:t>other</w:t>
      </w:r>
      <w:r w:rsidR="00DF6F59">
        <w:t xml:space="preserve"> schemes, </w:t>
      </w:r>
      <w:r w:rsidR="005D6933">
        <w:t xml:space="preserve">it may be appropriate </w:t>
      </w:r>
      <w:r w:rsidR="00DF6F59">
        <w:t xml:space="preserve">that the level should be changed to 250,000. </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DF6F59" w:rsidRPr="00015C4E" w:rsidTr="00A96574">
        <w:trPr>
          <w:jc w:val="center"/>
        </w:trPr>
        <w:tc>
          <w:tcPr>
            <w:tcW w:w="5000" w:type="pct"/>
            <w:gridSpan w:val="2"/>
            <w:shd w:val="clear" w:color="auto" w:fill="CCECF9"/>
            <w:tcMar>
              <w:top w:w="113" w:type="dxa"/>
              <w:bottom w:w="113" w:type="dxa"/>
            </w:tcMar>
          </w:tcPr>
          <w:p w:rsidR="00DF6F59" w:rsidRPr="00226F71" w:rsidRDefault="00135960" w:rsidP="004507BF">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Pr>
                <w:b/>
                <w:i/>
              </w:rPr>
              <w:t xml:space="preserve"> </w:t>
            </w:r>
            <w:r>
              <w:rPr>
                <w:rStyle w:val="PantoneCyan"/>
                <w:b/>
                <w:i/>
              </w:rPr>
              <w:t>and evidence</w:t>
            </w:r>
          </w:p>
        </w:tc>
      </w:tr>
      <w:tr w:rsidR="00DF6F59" w:rsidRPr="00015C4E" w:rsidTr="00A96574">
        <w:trPr>
          <w:jc w:val="center"/>
        </w:trPr>
        <w:tc>
          <w:tcPr>
            <w:tcW w:w="355" w:type="pct"/>
            <w:shd w:val="clear" w:color="auto" w:fill="CCECF9"/>
            <w:tcMar>
              <w:top w:w="113" w:type="dxa"/>
              <w:bottom w:w="113" w:type="dxa"/>
            </w:tcMar>
          </w:tcPr>
          <w:p w:rsidR="00DF6F59" w:rsidRPr="00015C4E" w:rsidRDefault="00A91648" w:rsidP="00E1748A">
            <w:pPr>
              <w:pStyle w:val="TableText"/>
            </w:pPr>
            <w:r>
              <w:t>5</w:t>
            </w:r>
            <w:r w:rsidR="00E1748A">
              <w:t>3</w:t>
            </w:r>
            <w:r w:rsidR="006D7E7C">
              <w:t>.</w:t>
            </w:r>
          </w:p>
        </w:tc>
        <w:tc>
          <w:tcPr>
            <w:tcW w:w="4645" w:type="pct"/>
            <w:shd w:val="clear" w:color="auto" w:fill="CCECF9"/>
            <w:tcMar>
              <w:top w:w="113" w:type="dxa"/>
              <w:bottom w:w="113" w:type="dxa"/>
            </w:tcMar>
          </w:tcPr>
          <w:p w:rsidR="00DF6F59" w:rsidRPr="00A96574" w:rsidRDefault="00DF6F59" w:rsidP="00DF6F59">
            <w:pPr>
              <w:pStyle w:val="TableText"/>
              <w:rPr>
                <w:rFonts w:cs="Arial"/>
                <w:b w:val="0"/>
                <w:color w:val="000000"/>
              </w:rPr>
            </w:pPr>
            <w:r w:rsidRPr="00A96574">
              <w:rPr>
                <w:rFonts w:cs="Arial"/>
                <w:b w:val="0"/>
                <w:color w:val="000000"/>
              </w:rPr>
              <w:t xml:space="preserve">Do you support changing the thresholds for mandatory </w:t>
            </w:r>
            <w:r w:rsidR="007A32EC" w:rsidRPr="00A96574">
              <w:rPr>
                <w:rFonts w:cs="Arial"/>
                <w:b w:val="0"/>
                <w:color w:val="000000"/>
              </w:rPr>
              <w:t>licensee</w:t>
            </w:r>
            <w:r w:rsidRPr="00A96574">
              <w:rPr>
                <w:rFonts w:cs="Arial"/>
                <w:b w:val="0"/>
                <w:color w:val="000000"/>
              </w:rPr>
              <w:t xml:space="preserve">s to 250,000 residential consumers? If not what alternative do you propose? </w:t>
            </w:r>
          </w:p>
        </w:tc>
      </w:tr>
    </w:tbl>
    <w:p w:rsidR="00A96574" w:rsidRPr="00A96574" w:rsidRDefault="00A96574" w:rsidP="00A96574">
      <w:pPr>
        <w:pStyle w:val="NoSpacing"/>
        <w:rPr>
          <w:b/>
          <w:color w:val="00B0F0"/>
          <w:sz w:val="28"/>
          <w:szCs w:val="28"/>
        </w:rPr>
      </w:pPr>
    </w:p>
    <w:p w:rsidR="00874340" w:rsidRPr="00A96574" w:rsidRDefault="008843B6" w:rsidP="00A96574">
      <w:pPr>
        <w:pStyle w:val="NoSpacing"/>
        <w:rPr>
          <w:b/>
          <w:color w:val="00B0F0"/>
          <w:sz w:val="28"/>
          <w:szCs w:val="28"/>
        </w:rPr>
      </w:pPr>
      <w:r w:rsidRPr="00A96574">
        <w:rPr>
          <w:b/>
          <w:color w:val="00B0F0"/>
          <w:sz w:val="28"/>
          <w:szCs w:val="28"/>
        </w:rPr>
        <w:t>Role of Ofgem</w:t>
      </w:r>
    </w:p>
    <w:p w:rsidR="00A96574" w:rsidRDefault="00A96574" w:rsidP="00A96574">
      <w:pPr>
        <w:pStyle w:val="NoSpacing"/>
      </w:pPr>
    </w:p>
    <w:p w:rsidR="002F359D" w:rsidRDefault="00327E64" w:rsidP="00986EAF">
      <w:pPr>
        <w:pStyle w:val="DECCnumberingBold"/>
      </w:pPr>
      <w:r>
        <w:t xml:space="preserve">Because the FITs scheme was introduced through licence obligations on electricity suppliers, </w:t>
      </w:r>
      <w:r w:rsidR="004507BF">
        <w:t xml:space="preserve">Ofgem </w:t>
      </w:r>
      <w:r>
        <w:t>ha</w:t>
      </w:r>
      <w:r w:rsidR="004507BF">
        <w:t>s</w:t>
      </w:r>
      <w:r>
        <w:t xml:space="preserve"> the lead role in monitoring and enforcing the scheme.</w:t>
      </w:r>
      <w:r w:rsidR="002F359D">
        <w:t xml:space="preserve"> </w:t>
      </w:r>
    </w:p>
    <w:p w:rsidR="009075CD" w:rsidRDefault="00BC6C83" w:rsidP="00986EAF">
      <w:pPr>
        <w:pStyle w:val="DECCnumberingBold"/>
      </w:pPr>
      <w:r>
        <w:t>O</w:t>
      </w:r>
      <w:r w:rsidR="004507BF">
        <w:t>fgem</w:t>
      </w:r>
      <w:r>
        <w:t xml:space="preserve"> </w:t>
      </w:r>
      <w:r w:rsidR="00327E64">
        <w:t>also</w:t>
      </w:r>
      <w:r>
        <w:t xml:space="preserve"> </w:t>
      </w:r>
      <w:r w:rsidR="002F359D">
        <w:t xml:space="preserve">has </w:t>
      </w:r>
      <w:r w:rsidR="00077A72">
        <w:t xml:space="preserve">a </w:t>
      </w:r>
      <w:r w:rsidR="002F359D">
        <w:t xml:space="preserve">separate roles </w:t>
      </w:r>
      <w:r w:rsidR="00077A72">
        <w:t xml:space="preserve">as </w:t>
      </w:r>
      <w:r>
        <w:t>the FITs scheme administrator</w:t>
      </w:r>
      <w:r w:rsidR="00803FBB">
        <w:t>, maintaining the Central FITs Register (CFR) of all FITs installations receiving support, accrediting installations under ROO-FIT where MCS accreditation is not applicable</w:t>
      </w:r>
      <w:r w:rsidR="00327E64">
        <w:t xml:space="preserve">, operating the </w:t>
      </w:r>
      <w:proofErr w:type="spellStart"/>
      <w:r w:rsidR="00327E64">
        <w:t>levelisation</w:t>
      </w:r>
      <w:proofErr w:type="spellEnd"/>
      <w:r w:rsidR="00327E64">
        <w:t xml:space="preserve"> process to share costs equitably and reporting to the Secretary of State on the </w:t>
      </w:r>
      <w:r w:rsidR="0015588D">
        <w:t xml:space="preserve">scheme. </w:t>
      </w:r>
    </w:p>
    <w:p w:rsidR="008843B6" w:rsidRPr="00A96574" w:rsidRDefault="008843B6" w:rsidP="008843B6">
      <w:pPr>
        <w:pStyle w:val="Heading3"/>
        <w:spacing w:after="240"/>
        <w:rPr>
          <w:color w:val="00B0F0"/>
          <w:sz w:val="28"/>
          <w:szCs w:val="28"/>
        </w:rPr>
      </w:pPr>
      <w:bookmarkStart w:id="562" w:name="_Toc316544933"/>
      <w:r w:rsidRPr="00A96574">
        <w:rPr>
          <w:color w:val="00B0F0"/>
          <w:sz w:val="28"/>
          <w:szCs w:val="28"/>
        </w:rPr>
        <w:t>Data Collection</w:t>
      </w:r>
      <w:bookmarkEnd w:id="562"/>
    </w:p>
    <w:p w:rsidR="00891062" w:rsidRDefault="00891062" w:rsidP="00986EAF">
      <w:pPr>
        <w:pStyle w:val="DECCnumberingBold"/>
      </w:pPr>
      <w:r>
        <w:t>It is important that DECC evaluates the performance of the FITs scheme. To do so, we use data produced in administering the scheme, but this does not allow us to do all the evaluation we would like to do. Current FIT legislation requires that Ofgem report the total amount of electricity generated under the FIT scheme on an annual basis.</w:t>
      </w:r>
      <w:r w:rsidR="008A56AC">
        <w:t xml:space="preserve"> </w:t>
      </w:r>
      <w:r>
        <w:t>Following consultation with FIT licensees Ofgem extended the reporting requirements to include a breakdown of generation by tariff band.</w:t>
      </w:r>
      <w:r w:rsidR="008A56AC">
        <w:t xml:space="preserve"> </w:t>
      </w:r>
      <w:r>
        <w:t>However, DECC believes that it would be useful for the evaluation of the FIT policy to extend the central data collection requirements further to include the collection of generation data for each individual FIT installation.</w:t>
      </w:r>
      <w:r w:rsidR="008A56AC">
        <w:t xml:space="preserve"> </w:t>
      </w:r>
    </w:p>
    <w:p w:rsidR="009075CD" w:rsidRDefault="00891062" w:rsidP="00986EAF">
      <w:pPr>
        <w:pStyle w:val="DECCnumberingBold"/>
      </w:pPr>
      <w:r>
        <w:t>This additional information would be used to calculate load factors by technology; to determine, for instance, whether the performance of solar panels installed in Great Britain is in line with initial estimates, as it is not possible to calculate this accurately from aggregated data.</w:t>
      </w:r>
      <w:r w:rsidR="008A56AC">
        <w:t xml:space="preserve"> </w:t>
      </w:r>
      <w:r>
        <w:t xml:space="preserve">Having individual installation data rather than aggregated data would also allow regional load factors to be produced, giving an indication of the viability of schemes located in more northern regions of the country. </w:t>
      </w:r>
    </w:p>
    <w:p w:rsidR="009075CD" w:rsidRDefault="00891062" w:rsidP="00986EAF">
      <w:pPr>
        <w:pStyle w:val="DECCnumberingBold"/>
      </w:pPr>
      <w:r>
        <w:t>FIT generators are already required to submit generation (and where installed) export meter readings to their chosen FIT licensee, and it is proposed that these meter readings would be collected from the FIT licensees annually.</w:t>
      </w:r>
      <w:r w:rsidR="008A56AC">
        <w:t xml:space="preserve"> </w:t>
      </w:r>
      <w:r>
        <w:t>Where export meter data is available it would also be possible to look at the proportion of FIT generation that is exported, which is important when setting tariff levels.</w:t>
      </w:r>
    </w:p>
    <w:p w:rsidR="009075CD" w:rsidRDefault="00891062" w:rsidP="00986EAF">
      <w:pPr>
        <w:pStyle w:val="DECCnumberingBold"/>
      </w:pPr>
      <w:r>
        <w:lastRenderedPageBreak/>
        <w:t>Such data would also enable evaluation of the indirect impact of FITs, through incorporating the data with other datasets that DECC holds on energy consumption and energy efficiency measures.</w:t>
      </w:r>
    </w:p>
    <w:p w:rsidR="009075CD" w:rsidRDefault="00891062" w:rsidP="00986EAF">
      <w:pPr>
        <w:pStyle w:val="DECCnumberingBold"/>
      </w:pPr>
      <w:r>
        <w:t>The in</w:t>
      </w:r>
      <w:r w:rsidR="005269D3">
        <w:t>d</w:t>
      </w:r>
      <w:r>
        <w:t>ividual generation data would be treated as confidential in line with the National Statistics Code of Practice and would not be publically available but DECC would publish analysis carried out using the data.</w:t>
      </w:r>
    </w:p>
    <w:p w:rsidR="009075CD" w:rsidRDefault="00891062" w:rsidP="00986EAF">
      <w:pPr>
        <w:pStyle w:val="DECCnumberingBold"/>
      </w:pPr>
      <w:r>
        <w:t xml:space="preserve">Collection of individual data is not necessary for </w:t>
      </w:r>
      <w:r w:rsidR="00005F03">
        <w:t xml:space="preserve">Ofgem </w:t>
      </w:r>
      <w:r>
        <w:t>to run the scheme and the cost involved in setting up a secure data collection system would need to be considered carefully to ensure value for money. We also recognise that asking FIT licensees to provide individual generation data will increase the administrative burden to them.</w:t>
      </w:r>
      <w:r w:rsidR="008A56AC">
        <w:t xml:space="preserve"> </w:t>
      </w:r>
      <w:r>
        <w:t>We are therefore consulting on whether to implement this proposal.</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24063F" w:rsidRPr="00015C4E" w:rsidTr="00A96574">
        <w:trPr>
          <w:jc w:val="center"/>
        </w:trPr>
        <w:tc>
          <w:tcPr>
            <w:tcW w:w="5000" w:type="pct"/>
            <w:gridSpan w:val="2"/>
            <w:shd w:val="clear" w:color="auto" w:fill="CCECF9"/>
            <w:tcMar>
              <w:top w:w="113" w:type="dxa"/>
              <w:bottom w:w="113" w:type="dxa"/>
            </w:tcMar>
          </w:tcPr>
          <w:p w:rsidR="0024063F" w:rsidRPr="00226F71" w:rsidRDefault="00135960" w:rsidP="0024063F">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Pr>
                <w:b/>
                <w:i/>
              </w:rPr>
              <w:t xml:space="preserve"> </w:t>
            </w:r>
            <w:r>
              <w:rPr>
                <w:rStyle w:val="PantoneCyan"/>
                <w:b/>
                <w:i/>
              </w:rPr>
              <w:t>and evidence</w:t>
            </w:r>
          </w:p>
        </w:tc>
      </w:tr>
      <w:tr w:rsidR="0024063F" w:rsidRPr="00015C4E" w:rsidTr="00A96574">
        <w:trPr>
          <w:jc w:val="center"/>
        </w:trPr>
        <w:tc>
          <w:tcPr>
            <w:tcW w:w="355" w:type="pct"/>
            <w:shd w:val="clear" w:color="auto" w:fill="CCECF9"/>
            <w:tcMar>
              <w:top w:w="113" w:type="dxa"/>
              <w:bottom w:w="113" w:type="dxa"/>
            </w:tcMar>
          </w:tcPr>
          <w:p w:rsidR="0024063F" w:rsidRPr="00015C4E" w:rsidRDefault="00E1748A" w:rsidP="00E1748A">
            <w:pPr>
              <w:pStyle w:val="TableText"/>
            </w:pPr>
            <w:r>
              <w:t>54</w:t>
            </w:r>
            <w:r w:rsidR="006D7E7C">
              <w:t>.</w:t>
            </w:r>
          </w:p>
        </w:tc>
        <w:tc>
          <w:tcPr>
            <w:tcW w:w="4645" w:type="pct"/>
            <w:shd w:val="clear" w:color="auto" w:fill="CCECF9"/>
            <w:tcMar>
              <w:top w:w="113" w:type="dxa"/>
              <w:bottom w:w="113" w:type="dxa"/>
            </w:tcMar>
          </w:tcPr>
          <w:p w:rsidR="0024063F" w:rsidRPr="00215AE6" w:rsidRDefault="00891062" w:rsidP="00005F03">
            <w:pPr>
              <w:pStyle w:val="TableText"/>
              <w:rPr>
                <w:rFonts w:cs="Arial"/>
                <w:b w:val="0"/>
                <w:color w:val="000000"/>
              </w:rPr>
            </w:pPr>
            <w:r w:rsidRPr="00215AE6">
              <w:rPr>
                <w:rFonts w:cs="Arial"/>
                <w:b w:val="0"/>
                <w:color w:val="000000"/>
              </w:rPr>
              <w:t xml:space="preserve">Should individual installation data be collected centrally, and what do you think the </w:t>
            </w:r>
            <w:r w:rsidR="00005F03" w:rsidRPr="00215AE6">
              <w:rPr>
                <w:rFonts w:cs="Arial"/>
                <w:b w:val="0"/>
                <w:color w:val="000000"/>
              </w:rPr>
              <w:t xml:space="preserve">most cost-effective </w:t>
            </w:r>
            <w:r w:rsidRPr="00215AE6">
              <w:rPr>
                <w:rFonts w:cs="Arial"/>
                <w:b w:val="0"/>
                <w:color w:val="000000"/>
              </w:rPr>
              <w:t>way of doing this would be?</w:t>
            </w:r>
          </w:p>
        </w:tc>
      </w:tr>
    </w:tbl>
    <w:p w:rsidR="00F231B4" w:rsidRDefault="00F231B4" w:rsidP="00A96574">
      <w:pPr>
        <w:pStyle w:val="NoSpacing"/>
      </w:pPr>
    </w:p>
    <w:p w:rsidR="00874340" w:rsidRPr="00A96574" w:rsidRDefault="007A32EC" w:rsidP="00A96574">
      <w:pPr>
        <w:pStyle w:val="NoSpacing"/>
        <w:rPr>
          <w:b/>
          <w:color w:val="00B0F0"/>
          <w:sz w:val="28"/>
          <w:szCs w:val="28"/>
        </w:rPr>
      </w:pPr>
      <w:r w:rsidRPr="00A96574">
        <w:rPr>
          <w:b/>
          <w:color w:val="00B0F0"/>
          <w:sz w:val="28"/>
          <w:szCs w:val="28"/>
        </w:rPr>
        <w:t>Licensee</w:t>
      </w:r>
      <w:r w:rsidR="003823A5" w:rsidRPr="00A96574">
        <w:rPr>
          <w:b/>
          <w:color w:val="00B0F0"/>
          <w:sz w:val="28"/>
          <w:szCs w:val="28"/>
        </w:rPr>
        <w:t xml:space="preserve"> of Last Resort/Mutualisation</w:t>
      </w:r>
    </w:p>
    <w:p w:rsidR="00A96574" w:rsidRPr="00754BD1" w:rsidRDefault="00A96574" w:rsidP="00A96574">
      <w:pPr>
        <w:pStyle w:val="NoSpacing"/>
      </w:pPr>
    </w:p>
    <w:p w:rsidR="00CC7233" w:rsidRDefault="00CC7233" w:rsidP="00986EAF">
      <w:pPr>
        <w:pStyle w:val="DECCnumberingBold"/>
      </w:pPr>
      <w:r>
        <w:t xml:space="preserve">Over the operation of the scheme, a number of stakeholders, particularly voluntary FITs licensees have raised concerns about the integrity of the scheme in the event of a failure of one of the FITs licensees. This would have implications for both </w:t>
      </w:r>
      <w:r w:rsidR="007A32EC">
        <w:t>licensee</w:t>
      </w:r>
      <w:r>
        <w:t xml:space="preserve">s and for generators. </w:t>
      </w:r>
    </w:p>
    <w:p w:rsidR="0016495E" w:rsidRDefault="0016495E" w:rsidP="00986EAF">
      <w:pPr>
        <w:pStyle w:val="DECCnumberingBold"/>
        <w:rPr>
          <w:lang w:eastAsia="en-GB"/>
        </w:rPr>
      </w:pPr>
      <w:r>
        <w:rPr>
          <w:lang w:eastAsia="en-GB"/>
        </w:rPr>
        <w:t xml:space="preserve">Within the electricity supply arrangements administered by Ofgem, if a supplier fails there is a process to ensure that there is no break in electricity supply to a consumer. If no other arrangements are made e.g. (a commercial transfer of customers), then customers are allocated to a new supplier, there is no break in supply and the new supplier can recover the cost of electricity supply from the customer from the date of the transfer. </w:t>
      </w:r>
    </w:p>
    <w:p w:rsidR="0016495E" w:rsidRDefault="0016495E" w:rsidP="00986EAF">
      <w:pPr>
        <w:pStyle w:val="DECCnumberingBold"/>
        <w:rPr>
          <w:lang w:eastAsia="en-GB"/>
        </w:rPr>
      </w:pPr>
      <w:r>
        <w:rPr>
          <w:lang w:eastAsia="en-GB"/>
        </w:rPr>
        <w:t xml:space="preserve">If that customer is being paid FITs by the failing </w:t>
      </w:r>
      <w:r w:rsidR="007A32EC">
        <w:rPr>
          <w:lang w:eastAsia="en-GB"/>
        </w:rPr>
        <w:t>licensee</w:t>
      </w:r>
      <w:r>
        <w:rPr>
          <w:lang w:eastAsia="en-GB"/>
        </w:rPr>
        <w:t>,</w:t>
      </w:r>
      <w:r w:rsidRPr="002A5231">
        <w:rPr>
          <w:lang w:eastAsia="en-GB"/>
        </w:rPr>
        <w:t xml:space="preserve"> they may approach </w:t>
      </w:r>
      <w:r>
        <w:rPr>
          <w:lang w:eastAsia="en-GB"/>
        </w:rPr>
        <w:t xml:space="preserve">their new </w:t>
      </w:r>
      <w:r w:rsidR="007A32EC">
        <w:rPr>
          <w:lang w:eastAsia="en-GB"/>
        </w:rPr>
        <w:t>licensee</w:t>
      </w:r>
      <w:r>
        <w:rPr>
          <w:lang w:eastAsia="en-GB"/>
        </w:rPr>
        <w:t xml:space="preserve"> to take over their FITs payments</w:t>
      </w:r>
      <w:r w:rsidRPr="002A5231">
        <w:rPr>
          <w:lang w:eastAsia="en-GB"/>
        </w:rPr>
        <w:t xml:space="preserve">. However, payment of FITs </w:t>
      </w:r>
      <w:r>
        <w:rPr>
          <w:lang w:eastAsia="en-GB"/>
        </w:rPr>
        <w:t xml:space="preserve">without a break </w:t>
      </w:r>
      <w:r w:rsidRPr="002A5231">
        <w:rPr>
          <w:lang w:eastAsia="en-GB"/>
        </w:rPr>
        <w:t xml:space="preserve">is not guaranteed by the supplier of last resort arrangements, which apply only to electricity supply. There is a chance that the failing </w:t>
      </w:r>
      <w:r w:rsidR="007A32EC">
        <w:rPr>
          <w:lang w:eastAsia="en-GB"/>
        </w:rPr>
        <w:t>licensee</w:t>
      </w:r>
      <w:r w:rsidRPr="002A5231">
        <w:rPr>
          <w:lang w:eastAsia="en-GB"/>
        </w:rPr>
        <w:t xml:space="preserve"> may </w:t>
      </w:r>
      <w:r>
        <w:rPr>
          <w:lang w:eastAsia="en-GB"/>
        </w:rPr>
        <w:t xml:space="preserve">have </w:t>
      </w:r>
      <w:r w:rsidRPr="002A5231">
        <w:rPr>
          <w:lang w:eastAsia="en-GB"/>
        </w:rPr>
        <w:t>default</w:t>
      </w:r>
      <w:r>
        <w:rPr>
          <w:lang w:eastAsia="en-GB"/>
        </w:rPr>
        <w:t>ed</w:t>
      </w:r>
      <w:r w:rsidRPr="002A5231">
        <w:rPr>
          <w:lang w:eastAsia="en-GB"/>
        </w:rPr>
        <w:t xml:space="preserve"> on some payment of FITs to the generator. However, the period covered is like</w:t>
      </w:r>
      <w:r>
        <w:rPr>
          <w:lang w:eastAsia="en-GB"/>
        </w:rPr>
        <w:t>ly to be short, and any</w:t>
      </w:r>
      <w:r w:rsidRPr="002A5231">
        <w:rPr>
          <w:lang w:eastAsia="en-GB"/>
        </w:rPr>
        <w:t xml:space="preserve"> shortfall cou</w:t>
      </w:r>
      <w:r>
        <w:rPr>
          <w:lang w:eastAsia="en-GB"/>
        </w:rPr>
        <w:t>ld be recovered by other means. There have been representations on behalf of consumers to ensure that if this were to occur, then there should be no break in FITs payments.</w:t>
      </w:r>
    </w:p>
    <w:p w:rsidR="0016495E" w:rsidRPr="00824815" w:rsidRDefault="0016495E" w:rsidP="00986EAF">
      <w:pPr>
        <w:pStyle w:val="DECCnumberingBold"/>
        <w:rPr>
          <w:lang w:eastAsia="en-GB"/>
        </w:rPr>
      </w:pPr>
      <w:r w:rsidRPr="00824815">
        <w:rPr>
          <w:lang w:eastAsia="en-GB"/>
        </w:rPr>
        <w:t xml:space="preserve">Some licensees have reported that in addition to the risk that this creates for generators, it also potentially leads to discrimination by financiers against small </w:t>
      </w:r>
      <w:r w:rsidR="007A32EC">
        <w:rPr>
          <w:lang w:eastAsia="en-GB"/>
        </w:rPr>
        <w:t>licensee</w:t>
      </w:r>
      <w:r w:rsidRPr="00824815">
        <w:rPr>
          <w:lang w:eastAsia="en-GB"/>
        </w:rPr>
        <w:t xml:space="preserve">s. </w:t>
      </w:r>
      <w:r>
        <w:rPr>
          <w:lang w:eastAsia="en-GB"/>
        </w:rPr>
        <w:t xml:space="preserve">It is suggested that financiers may assume that small </w:t>
      </w:r>
      <w:r w:rsidR="007A32EC">
        <w:rPr>
          <w:lang w:eastAsia="en-GB"/>
        </w:rPr>
        <w:t>licensee</w:t>
      </w:r>
      <w:r>
        <w:rPr>
          <w:lang w:eastAsia="en-GB"/>
        </w:rPr>
        <w:t>s are more likely to fail, and that generators receiving FITs f</w:t>
      </w:r>
      <w:r w:rsidR="007A32EC">
        <w:rPr>
          <w:lang w:eastAsia="en-GB"/>
        </w:rPr>
        <w:t>r</w:t>
      </w:r>
      <w:r>
        <w:rPr>
          <w:lang w:eastAsia="en-GB"/>
        </w:rPr>
        <w:t xml:space="preserve">om small </w:t>
      </w:r>
      <w:r w:rsidR="007A32EC">
        <w:rPr>
          <w:lang w:eastAsia="en-GB"/>
        </w:rPr>
        <w:t>licensee</w:t>
      </w:r>
      <w:r>
        <w:rPr>
          <w:lang w:eastAsia="en-GB"/>
        </w:rPr>
        <w:t xml:space="preserve">s are more likely to experience a break in payments. They are therefore less likely to </w:t>
      </w:r>
      <w:r>
        <w:rPr>
          <w:lang w:eastAsia="en-GB"/>
        </w:rPr>
        <w:lastRenderedPageBreak/>
        <w:t xml:space="preserve">finance generators who wish to receive FITs from small </w:t>
      </w:r>
      <w:r w:rsidR="007A32EC">
        <w:rPr>
          <w:lang w:eastAsia="en-GB"/>
        </w:rPr>
        <w:t>licensee</w:t>
      </w:r>
      <w:r>
        <w:rPr>
          <w:lang w:eastAsia="en-GB"/>
        </w:rPr>
        <w:t>s. If the existing supplier of last resort arrangements were to apply to FITs payments, or if equivalent arrangements covering FITs were put in place, then this risk would be reduced.</w:t>
      </w:r>
    </w:p>
    <w:p w:rsidR="00CC7233" w:rsidRDefault="00CC7233" w:rsidP="00986EAF">
      <w:pPr>
        <w:pStyle w:val="DECCnumberingBold"/>
      </w:pPr>
      <w:r>
        <w:t>Licens</w:t>
      </w:r>
      <w:r w:rsidR="0016495E">
        <w:t>e</w:t>
      </w:r>
      <w:r>
        <w:t xml:space="preserve">es are also directly disadvantaged by shortfalls that may arise in the </w:t>
      </w:r>
      <w:proofErr w:type="spellStart"/>
      <w:r>
        <w:t>levelisation</w:t>
      </w:r>
      <w:proofErr w:type="spellEnd"/>
      <w:r>
        <w:t xml:space="preserve"> pot as a result of failure by a licensee. Under the terms of the FITs Order, Ofgem may defer payments from the </w:t>
      </w:r>
      <w:proofErr w:type="spellStart"/>
      <w:r>
        <w:t>levelisation</w:t>
      </w:r>
      <w:proofErr w:type="spellEnd"/>
      <w:r>
        <w:t xml:space="preserve"> fund in order to take account of late payments into the fund. However, there is no provision for recalculating the fund to take account of any shortfall that may arise from the failure of a licensee. This potentially increases the risks for licensees that have above average exposure to the fund.</w:t>
      </w:r>
    </w:p>
    <w:p w:rsidR="00CC7233" w:rsidRDefault="00CC7233" w:rsidP="00986EAF">
      <w:pPr>
        <w:pStyle w:val="DECCnumberingBold"/>
      </w:pPr>
      <w:r>
        <w:t>We therefore propose to include mutualisation arrangements for FITs similar to those that exist for the warm home discount.</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24063F" w:rsidRPr="00015C4E" w:rsidTr="00A96574">
        <w:trPr>
          <w:jc w:val="center"/>
        </w:trPr>
        <w:tc>
          <w:tcPr>
            <w:tcW w:w="5000" w:type="pct"/>
            <w:gridSpan w:val="2"/>
            <w:shd w:val="clear" w:color="auto" w:fill="CCECF9"/>
            <w:tcMar>
              <w:top w:w="113" w:type="dxa"/>
              <w:bottom w:w="113" w:type="dxa"/>
            </w:tcMar>
          </w:tcPr>
          <w:p w:rsidR="0024063F" w:rsidRPr="00226F71" w:rsidRDefault="00135960" w:rsidP="0024063F">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Pr>
                <w:b/>
                <w:i/>
              </w:rPr>
              <w:t xml:space="preserve"> </w:t>
            </w:r>
            <w:r>
              <w:rPr>
                <w:rStyle w:val="PantoneCyan"/>
                <w:b/>
                <w:i/>
              </w:rPr>
              <w:t>and evidence</w:t>
            </w:r>
          </w:p>
        </w:tc>
      </w:tr>
      <w:tr w:rsidR="0024063F" w:rsidRPr="00015C4E" w:rsidTr="00A96574">
        <w:trPr>
          <w:jc w:val="center"/>
        </w:trPr>
        <w:tc>
          <w:tcPr>
            <w:tcW w:w="355" w:type="pct"/>
            <w:shd w:val="clear" w:color="auto" w:fill="CCECF9"/>
            <w:tcMar>
              <w:top w:w="113" w:type="dxa"/>
              <w:bottom w:w="113" w:type="dxa"/>
            </w:tcMar>
          </w:tcPr>
          <w:p w:rsidR="0024063F" w:rsidRPr="00015C4E" w:rsidRDefault="00A91648" w:rsidP="00A91648">
            <w:pPr>
              <w:pStyle w:val="TableText"/>
            </w:pPr>
            <w:r>
              <w:t>55</w:t>
            </w:r>
            <w:r w:rsidR="006D7E7C">
              <w:t>.</w:t>
            </w:r>
          </w:p>
        </w:tc>
        <w:tc>
          <w:tcPr>
            <w:tcW w:w="4645" w:type="pct"/>
            <w:shd w:val="clear" w:color="auto" w:fill="CCECF9"/>
            <w:tcMar>
              <w:top w:w="113" w:type="dxa"/>
              <w:bottom w:w="113" w:type="dxa"/>
            </w:tcMar>
          </w:tcPr>
          <w:p w:rsidR="0024063F" w:rsidRPr="00A96574" w:rsidRDefault="00C8271B" w:rsidP="00C8271B">
            <w:pPr>
              <w:pStyle w:val="TableText"/>
              <w:rPr>
                <w:rFonts w:cs="Arial"/>
                <w:b w:val="0"/>
                <w:color w:val="000000"/>
              </w:rPr>
            </w:pPr>
            <w:r w:rsidRPr="00A96574">
              <w:rPr>
                <w:rFonts w:cs="Arial"/>
                <w:b w:val="0"/>
                <w:color w:val="000000"/>
              </w:rPr>
              <w:t>Do you support the establishment of provisions equivalent to the supplier of last resort arrangements for FITs payments?</w:t>
            </w:r>
          </w:p>
        </w:tc>
      </w:tr>
      <w:tr w:rsidR="00C8271B" w:rsidRPr="00015C4E" w:rsidTr="00A96574">
        <w:trPr>
          <w:jc w:val="center"/>
        </w:trPr>
        <w:tc>
          <w:tcPr>
            <w:tcW w:w="355" w:type="pct"/>
            <w:shd w:val="clear" w:color="auto" w:fill="CCECF9"/>
            <w:tcMar>
              <w:top w:w="113" w:type="dxa"/>
              <w:bottom w:w="113" w:type="dxa"/>
            </w:tcMar>
          </w:tcPr>
          <w:p w:rsidR="00C8271B" w:rsidRDefault="00A91648" w:rsidP="00A91648">
            <w:pPr>
              <w:pStyle w:val="TableText"/>
            </w:pPr>
            <w:r>
              <w:t>56</w:t>
            </w:r>
            <w:r w:rsidR="006D7E7C">
              <w:t>.</w:t>
            </w:r>
          </w:p>
        </w:tc>
        <w:tc>
          <w:tcPr>
            <w:tcW w:w="4645" w:type="pct"/>
            <w:shd w:val="clear" w:color="auto" w:fill="CCECF9"/>
            <w:tcMar>
              <w:top w:w="113" w:type="dxa"/>
              <w:bottom w:w="113" w:type="dxa"/>
            </w:tcMar>
          </w:tcPr>
          <w:p w:rsidR="00C8271B" w:rsidRPr="00A96574" w:rsidRDefault="00C8271B" w:rsidP="00F57AFD">
            <w:pPr>
              <w:pStyle w:val="TableText"/>
              <w:rPr>
                <w:rFonts w:ascii="Univers" w:eastAsia="Calibri" w:hAnsi="Univers" w:cs="Univers"/>
                <w:b w:val="0"/>
                <w:color w:val="000000"/>
              </w:rPr>
            </w:pPr>
            <w:r w:rsidRPr="00A96574">
              <w:rPr>
                <w:rFonts w:cs="Arial"/>
                <w:b w:val="0"/>
                <w:color w:val="000000"/>
              </w:rPr>
              <w:t xml:space="preserve">Do you support the mutualisation of shortfalls within the FITs </w:t>
            </w:r>
            <w:proofErr w:type="spellStart"/>
            <w:r w:rsidRPr="00A96574">
              <w:rPr>
                <w:rFonts w:cs="Arial"/>
                <w:b w:val="0"/>
                <w:color w:val="000000"/>
              </w:rPr>
              <w:t>levelisation</w:t>
            </w:r>
            <w:proofErr w:type="spellEnd"/>
            <w:r w:rsidRPr="00A96574">
              <w:rPr>
                <w:rFonts w:cs="Arial"/>
                <w:b w:val="0"/>
                <w:color w:val="000000"/>
              </w:rPr>
              <w:t xml:space="preserve"> arrangements among licensees?</w:t>
            </w:r>
          </w:p>
        </w:tc>
      </w:tr>
    </w:tbl>
    <w:p w:rsidR="00F57AFD" w:rsidRDefault="00F57AFD" w:rsidP="00A96574">
      <w:pPr>
        <w:pStyle w:val="NoSpacing"/>
      </w:pPr>
    </w:p>
    <w:p w:rsidR="00874340" w:rsidRPr="00A96574" w:rsidRDefault="003823A5" w:rsidP="00A96574">
      <w:pPr>
        <w:pStyle w:val="NoSpacing"/>
        <w:rPr>
          <w:b/>
          <w:color w:val="00B0F0"/>
          <w:sz w:val="28"/>
          <w:szCs w:val="28"/>
        </w:rPr>
      </w:pPr>
      <w:r w:rsidRPr="00A96574">
        <w:rPr>
          <w:b/>
          <w:color w:val="00B0F0"/>
          <w:sz w:val="28"/>
          <w:szCs w:val="28"/>
        </w:rPr>
        <w:t xml:space="preserve">Frequency of </w:t>
      </w:r>
      <w:proofErr w:type="spellStart"/>
      <w:r w:rsidRPr="00A96574">
        <w:rPr>
          <w:b/>
          <w:color w:val="00B0F0"/>
          <w:sz w:val="28"/>
          <w:szCs w:val="28"/>
        </w:rPr>
        <w:t>Levelisation</w:t>
      </w:r>
      <w:proofErr w:type="spellEnd"/>
    </w:p>
    <w:p w:rsidR="00A96574" w:rsidRPr="00754BD1" w:rsidRDefault="00A96574" w:rsidP="00A96574">
      <w:pPr>
        <w:pStyle w:val="NoSpacing"/>
      </w:pPr>
    </w:p>
    <w:p w:rsidR="003E3FC0" w:rsidRDefault="003E3FC0" w:rsidP="00986EAF">
      <w:pPr>
        <w:pStyle w:val="DECCnumberingBold"/>
      </w:pPr>
      <w:r>
        <w:t xml:space="preserve">Under the terms of the FITs Order, Ofgem is required to undertake a periodic </w:t>
      </w:r>
      <w:proofErr w:type="spellStart"/>
      <w:r>
        <w:t>levelisation</w:t>
      </w:r>
      <w:proofErr w:type="spellEnd"/>
      <w:r>
        <w:t xml:space="preserve"> among the licensees at least every quarter. However, they may undertake </w:t>
      </w:r>
      <w:proofErr w:type="spellStart"/>
      <w:r>
        <w:t>levelisation</w:t>
      </w:r>
      <w:proofErr w:type="spellEnd"/>
      <w:r>
        <w:t xml:space="preserve"> more frequently. </w:t>
      </w:r>
    </w:p>
    <w:p w:rsidR="003E3FC0" w:rsidRDefault="003E3FC0" w:rsidP="00986EAF">
      <w:pPr>
        <w:pStyle w:val="DECCnumberingBold"/>
      </w:pPr>
      <w:r>
        <w:t xml:space="preserve">Some licensees have raised the issue that quarterly </w:t>
      </w:r>
      <w:proofErr w:type="spellStart"/>
      <w:r>
        <w:t>levelisation</w:t>
      </w:r>
      <w:proofErr w:type="spellEnd"/>
      <w:r>
        <w:t xml:space="preserve"> has a negative impact on their cash flows. They claim that more frequent </w:t>
      </w:r>
      <w:proofErr w:type="spellStart"/>
      <w:r>
        <w:t>levelisation</w:t>
      </w:r>
      <w:proofErr w:type="spellEnd"/>
      <w:r>
        <w:t xml:space="preserve"> would </w:t>
      </w:r>
      <w:r w:rsidR="007A32EC">
        <w:t xml:space="preserve">make it easier for </w:t>
      </w:r>
      <w:r>
        <w:t xml:space="preserve">them to offer more frequent payments </w:t>
      </w:r>
    </w:p>
    <w:p w:rsidR="003E3FC0" w:rsidRDefault="003E3FC0" w:rsidP="00986EAF">
      <w:pPr>
        <w:pStyle w:val="DECCnumberingBold"/>
      </w:pPr>
      <w:r>
        <w:t xml:space="preserve">On the other hand other licensees have stated that  more frequent </w:t>
      </w:r>
      <w:proofErr w:type="spellStart"/>
      <w:r>
        <w:t>levelisation</w:t>
      </w:r>
      <w:proofErr w:type="spellEnd"/>
      <w:r>
        <w:t xml:space="preserve"> would increase their compliance burden, and therefore would impact on the cost of administering the scheme. Ofgem consulted on this issue in 2011, but did not propose a change pending the outcome of the current review.</w:t>
      </w:r>
      <w:r w:rsidR="001E768A">
        <w:t xml:space="preserve"> </w:t>
      </w:r>
      <w:r>
        <w:t>We are seeking views on whether the current situation should be changed.</w:t>
      </w:r>
    </w:p>
    <w:tbl>
      <w:tblPr>
        <w:tblW w:w="4857" w:type="pct"/>
        <w:jc w:val="center"/>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35"/>
        <w:gridCol w:w="8312"/>
      </w:tblGrid>
      <w:tr w:rsidR="003E3FC0" w:rsidRPr="00015C4E" w:rsidTr="00A96574">
        <w:trPr>
          <w:jc w:val="center"/>
        </w:trPr>
        <w:tc>
          <w:tcPr>
            <w:tcW w:w="5000" w:type="pct"/>
            <w:gridSpan w:val="2"/>
            <w:shd w:val="clear" w:color="auto" w:fill="CCECF9"/>
            <w:tcMar>
              <w:top w:w="113" w:type="dxa"/>
              <w:bottom w:w="113" w:type="dxa"/>
            </w:tcMar>
          </w:tcPr>
          <w:p w:rsidR="003E3FC0" w:rsidRPr="00226F71" w:rsidRDefault="00135960" w:rsidP="00A442CB">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Pr>
                <w:b/>
                <w:i/>
              </w:rPr>
              <w:t xml:space="preserve"> </w:t>
            </w:r>
            <w:r>
              <w:rPr>
                <w:rStyle w:val="PantoneCyan"/>
                <w:b/>
                <w:i/>
              </w:rPr>
              <w:t>and evidence</w:t>
            </w:r>
          </w:p>
        </w:tc>
      </w:tr>
      <w:tr w:rsidR="003E3FC0" w:rsidRPr="00015C4E" w:rsidTr="00A96574">
        <w:trPr>
          <w:jc w:val="center"/>
        </w:trPr>
        <w:tc>
          <w:tcPr>
            <w:tcW w:w="355" w:type="pct"/>
            <w:shd w:val="clear" w:color="auto" w:fill="CCECF9"/>
            <w:tcMar>
              <w:top w:w="113" w:type="dxa"/>
              <w:bottom w:w="113" w:type="dxa"/>
            </w:tcMar>
          </w:tcPr>
          <w:p w:rsidR="003E3FC0" w:rsidRPr="00015C4E" w:rsidRDefault="003E3FC0" w:rsidP="003A5F2F">
            <w:pPr>
              <w:pStyle w:val="TableText"/>
            </w:pPr>
            <w:r>
              <w:t>5</w:t>
            </w:r>
            <w:r w:rsidR="003A5F2F">
              <w:t>7</w:t>
            </w:r>
            <w:r>
              <w:t>.</w:t>
            </w:r>
          </w:p>
        </w:tc>
        <w:tc>
          <w:tcPr>
            <w:tcW w:w="4645" w:type="pct"/>
            <w:shd w:val="clear" w:color="auto" w:fill="CCECF9"/>
            <w:tcMar>
              <w:top w:w="113" w:type="dxa"/>
              <w:bottom w:w="113" w:type="dxa"/>
            </w:tcMar>
          </w:tcPr>
          <w:p w:rsidR="003E3FC0" w:rsidRPr="00A96574" w:rsidRDefault="003E3FC0" w:rsidP="00A96574">
            <w:pPr>
              <w:pStyle w:val="TableText"/>
              <w:jc w:val="both"/>
              <w:rPr>
                <w:rFonts w:cs="Arial"/>
                <w:b w:val="0"/>
                <w:color w:val="000000"/>
              </w:rPr>
            </w:pPr>
            <w:r w:rsidRPr="00A96574">
              <w:rPr>
                <w:rFonts w:cs="Arial"/>
                <w:b w:val="0"/>
                <w:color w:val="000000"/>
              </w:rPr>
              <w:t xml:space="preserve">Do you support the continuation of the current arrangements on the frequency of </w:t>
            </w:r>
            <w:proofErr w:type="spellStart"/>
            <w:r w:rsidRPr="00A96574">
              <w:rPr>
                <w:rFonts w:cs="Arial"/>
                <w:b w:val="0"/>
                <w:color w:val="000000"/>
              </w:rPr>
              <w:t>levelisation</w:t>
            </w:r>
            <w:proofErr w:type="spellEnd"/>
            <w:r w:rsidRPr="00A96574">
              <w:rPr>
                <w:rFonts w:cs="Arial"/>
                <w:b w:val="0"/>
                <w:color w:val="000000"/>
              </w:rPr>
              <w:t>, i.e. at least quarterly but more frequen</w:t>
            </w:r>
            <w:r w:rsidR="007A32EC" w:rsidRPr="00A96574">
              <w:rPr>
                <w:rFonts w:cs="Arial"/>
                <w:b w:val="0"/>
                <w:color w:val="000000"/>
              </w:rPr>
              <w:t>tl</w:t>
            </w:r>
            <w:r w:rsidRPr="00A96574">
              <w:rPr>
                <w:rFonts w:cs="Arial"/>
                <w:b w:val="0"/>
                <w:color w:val="000000"/>
              </w:rPr>
              <w:t>y at the discretion of Ofgem? If not, what alternative to you propose?</w:t>
            </w:r>
          </w:p>
        </w:tc>
      </w:tr>
    </w:tbl>
    <w:p w:rsidR="00F9294B" w:rsidRPr="00754BD1" w:rsidRDefault="00F9294B" w:rsidP="00553F55">
      <w:pPr>
        <w:pStyle w:val="EndpageText"/>
        <w:spacing w:line="240" w:lineRule="auto"/>
        <w:ind w:left="0"/>
        <w:jc w:val="both"/>
        <w:rPr>
          <w:sz w:val="22"/>
          <w:szCs w:val="22"/>
        </w:rPr>
      </w:pPr>
      <w:r>
        <w:rPr>
          <w:color w:val="auto"/>
          <w:sz w:val="22"/>
          <w:szCs w:val="22"/>
        </w:rPr>
        <w:br w:type="page"/>
      </w:r>
    </w:p>
    <w:p w:rsidR="00246CB3" w:rsidRDefault="00E57442" w:rsidP="00553F55">
      <w:pPr>
        <w:pStyle w:val="Heading1"/>
        <w:ind w:left="0"/>
        <w:jc w:val="both"/>
      </w:pPr>
      <w:bookmarkStart w:id="563" w:name="_Toc264294138"/>
      <w:bookmarkStart w:id="564" w:name="_Toc267987529"/>
      <w:bookmarkStart w:id="565" w:name="_Toc316544934"/>
      <w:r w:rsidRPr="003524AE">
        <w:t xml:space="preserve">Annex </w:t>
      </w:r>
      <w:r w:rsidR="00317FDC">
        <w:t>A</w:t>
      </w:r>
      <w:r w:rsidRPr="003524AE">
        <w:t xml:space="preserve"> – </w:t>
      </w:r>
      <w:r w:rsidR="00C300C9">
        <w:t>L</w:t>
      </w:r>
      <w:r w:rsidRPr="003524AE">
        <w:t xml:space="preserve">ist of </w:t>
      </w:r>
      <w:r w:rsidR="00C300C9">
        <w:t>Q</w:t>
      </w:r>
      <w:r w:rsidRPr="003524AE">
        <w:t>uestions</w:t>
      </w:r>
      <w:bookmarkEnd w:id="563"/>
      <w:bookmarkEnd w:id="564"/>
      <w:bookmarkEnd w:id="565"/>
    </w:p>
    <w:tbl>
      <w:tblPr>
        <w:tblW w:w="5171" w:type="pct"/>
        <w:tblInd w:w="294"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625"/>
        <w:gridCol w:w="8900"/>
      </w:tblGrid>
      <w:tr w:rsidR="00625068" w:rsidRPr="00015C4E" w:rsidTr="007E27B8">
        <w:tc>
          <w:tcPr>
            <w:tcW w:w="5000" w:type="pct"/>
            <w:gridSpan w:val="2"/>
            <w:shd w:val="clear" w:color="auto" w:fill="CCECF9"/>
            <w:tcMar>
              <w:top w:w="113" w:type="dxa"/>
              <w:bottom w:w="113" w:type="dxa"/>
            </w:tcMar>
          </w:tcPr>
          <w:p w:rsidR="00625068" w:rsidRPr="00226F71" w:rsidRDefault="00625068" w:rsidP="005C6117">
            <w:pPr>
              <w:pStyle w:val="TableTitle"/>
              <w:rPr>
                <w:rStyle w:val="PantoneCyan"/>
                <w:b/>
              </w:rPr>
            </w:pPr>
            <w:r w:rsidRPr="00226F71">
              <w:rPr>
                <w:rStyle w:val="PantoneCyan"/>
                <w:b/>
              </w:rPr>
              <w:t>Consultation Question</w:t>
            </w:r>
            <w:r>
              <w:rPr>
                <w:rStyle w:val="PantoneCyan"/>
                <w:b/>
              </w:rPr>
              <w:t xml:space="preserve">s: </w:t>
            </w:r>
            <w:r>
              <w:rPr>
                <w:rStyle w:val="PantoneCyan"/>
                <w:b/>
                <w:i/>
              </w:rPr>
              <w:t>Please support your response with arguments</w:t>
            </w:r>
            <w:r w:rsidR="00564E9F">
              <w:rPr>
                <w:rStyle w:val="PantoneCyan"/>
                <w:b/>
                <w:i/>
              </w:rPr>
              <w:t xml:space="preserve"> and evidence</w:t>
            </w:r>
          </w:p>
        </w:tc>
      </w:tr>
      <w:tr w:rsidR="00564E9F"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564E9F" w:rsidRDefault="00564E9F" w:rsidP="00F21CC3">
            <w:pPr>
              <w:pStyle w:val="TableText"/>
            </w:pPr>
            <w:r>
              <w:t>1.</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564E9F" w:rsidRPr="00A96574" w:rsidRDefault="00564E9F"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Do you have any comments on the data used to develop these tariffs?</w:t>
            </w:r>
          </w:p>
        </w:tc>
      </w:tr>
      <w:tr w:rsidR="00F21CC3"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F21CC3" w:rsidRPr="00015C4E" w:rsidRDefault="00564E9F" w:rsidP="00F21CC3">
            <w:pPr>
              <w:pStyle w:val="TableText"/>
            </w:pPr>
            <w:r>
              <w:t>2</w:t>
            </w:r>
            <w:r w:rsidR="00F21CC3">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F21CC3" w:rsidRPr="00A96574" w:rsidRDefault="00F21CC3"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Do you agree with the proposed tariffs?</w:t>
            </w:r>
          </w:p>
        </w:tc>
      </w:tr>
      <w:tr w:rsidR="00F21CC3"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F21CC3" w:rsidRDefault="00564E9F" w:rsidP="00F21CC3">
            <w:pPr>
              <w:pStyle w:val="TableText"/>
            </w:pPr>
            <w:r>
              <w:t>3</w:t>
            </w:r>
            <w:r w:rsidR="00404B7C">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F21CC3" w:rsidRPr="00A96574" w:rsidRDefault="00F21CC3"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Do you agree</w:t>
            </w:r>
            <w:r w:rsidR="00404B7C" w:rsidRPr="00A96574">
              <w:rPr>
                <w:rFonts w:ascii="Arial" w:hAnsi="Arial" w:cs="Arial"/>
                <w:color w:val="000000"/>
                <w:sz w:val="24"/>
                <w:szCs w:val="24"/>
              </w:rPr>
              <w:t xml:space="preserve"> with the proposed timing for implementation?</w:t>
            </w:r>
          </w:p>
        </w:tc>
      </w:tr>
      <w:tr w:rsidR="00625068" w:rsidRPr="00015C4E" w:rsidTr="007E27B8">
        <w:tc>
          <w:tcPr>
            <w:tcW w:w="328" w:type="pct"/>
            <w:shd w:val="clear" w:color="auto" w:fill="CCECF9"/>
            <w:tcMar>
              <w:top w:w="113" w:type="dxa"/>
              <w:bottom w:w="113" w:type="dxa"/>
            </w:tcMar>
          </w:tcPr>
          <w:p w:rsidR="00625068" w:rsidRPr="00015C4E" w:rsidRDefault="00564E9F" w:rsidP="005C6117">
            <w:pPr>
              <w:pStyle w:val="TableText"/>
            </w:pPr>
            <w:r>
              <w:t>4</w:t>
            </w:r>
            <w:r w:rsidR="00625068">
              <w:t>.</w:t>
            </w:r>
          </w:p>
        </w:tc>
        <w:tc>
          <w:tcPr>
            <w:tcW w:w="4672" w:type="pct"/>
            <w:shd w:val="clear" w:color="auto" w:fill="CCECF9"/>
            <w:tcMar>
              <w:top w:w="113" w:type="dxa"/>
              <w:bottom w:w="113" w:type="dxa"/>
            </w:tcMar>
          </w:tcPr>
          <w:p w:rsidR="00625068" w:rsidRPr="00A96574" w:rsidRDefault="00625068"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Do you agree that the cost control mechanism should apply across all technologies?</w:t>
            </w:r>
          </w:p>
        </w:tc>
      </w:tr>
      <w:tr w:rsidR="00625068" w:rsidRPr="00015C4E" w:rsidTr="007E27B8">
        <w:tc>
          <w:tcPr>
            <w:tcW w:w="328" w:type="pct"/>
            <w:shd w:val="clear" w:color="auto" w:fill="CCECF9"/>
            <w:tcMar>
              <w:top w:w="113" w:type="dxa"/>
              <w:bottom w:w="113" w:type="dxa"/>
            </w:tcMar>
          </w:tcPr>
          <w:p w:rsidR="00625068" w:rsidRDefault="00564E9F" w:rsidP="005C6117">
            <w:pPr>
              <w:pStyle w:val="TableText"/>
            </w:pPr>
            <w:r>
              <w:t>5</w:t>
            </w:r>
            <w:r w:rsidR="00625068">
              <w:t>.</w:t>
            </w:r>
          </w:p>
        </w:tc>
        <w:tc>
          <w:tcPr>
            <w:tcW w:w="4672" w:type="pct"/>
            <w:shd w:val="clear" w:color="auto" w:fill="CCECF9"/>
            <w:tcMar>
              <w:top w:w="113" w:type="dxa"/>
              <w:bottom w:w="113" w:type="dxa"/>
            </w:tcMar>
          </w:tcPr>
          <w:p w:rsidR="00625068" w:rsidRPr="00A96574" w:rsidRDefault="00625068"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 xml:space="preserve">Do you agree with the proposal that all tariffs will be subject to a minimum </w:t>
            </w:r>
            <w:proofErr w:type="spellStart"/>
            <w:r w:rsidRPr="00A96574">
              <w:rPr>
                <w:rFonts w:ascii="Arial" w:hAnsi="Arial" w:cs="Arial"/>
                <w:color w:val="000000"/>
                <w:sz w:val="24"/>
                <w:szCs w:val="24"/>
              </w:rPr>
              <w:t>degression</w:t>
            </w:r>
            <w:proofErr w:type="spellEnd"/>
            <w:r w:rsidRPr="00A96574">
              <w:rPr>
                <w:rFonts w:ascii="Arial" w:hAnsi="Arial" w:cs="Arial"/>
                <w:color w:val="000000"/>
                <w:sz w:val="24"/>
                <w:szCs w:val="24"/>
              </w:rPr>
              <w:t xml:space="preserve"> rate of 5% per year</w:t>
            </w:r>
            <w:r w:rsidR="00D73C6C" w:rsidRPr="00A96574">
              <w:rPr>
                <w:rFonts w:ascii="Arial" w:hAnsi="Arial" w:cs="Arial"/>
                <w:color w:val="000000"/>
                <w:sz w:val="24"/>
                <w:szCs w:val="24"/>
              </w:rPr>
              <w:t xml:space="preserve"> beginning in April 2014</w:t>
            </w:r>
            <w:r w:rsidRPr="00A96574">
              <w:rPr>
                <w:rFonts w:ascii="Arial" w:hAnsi="Arial" w:cs="Arial"/>
                <w:color w:val="000000"/>
                <w:sz w:val="24"/>
                <w:szCs w:val="24"/>
              </w:rPr>
              <w:t>?</w:t>
            </w:r>
          </w:p>
        </w:tc>
      </w:tr>
      <w:tr w:rsidR="00625068" w:rsidRPr="00015C4E" w:rsidTr="007E27B8">
        <w:tc>
          <w:tcPr>
            <w:tcW w:w="328" w:type="pct"/>
            <w:shd w:val="clear" w:color="auto" w:fill="CCECF9"/>
            <w:tcMar>
              <w:top w:w="113" w:type="dxa"/>
              <w:bottom w:w="113" w:type="dxa"/>
            </w:tcMar>
          </w:tcPr>
          <w:p w:rsidR="00625068" w:rsidRDefault="00564E9F" w:rsidP="005C6117">
            <w:pPr>
              <w:pStyle w:val="TableText"/>
            </w:pPr>
            <w:r>
              <w:t>6</w:t>
            </w:r>
            <w:r w:rsidR="00625068">
              <w:t>.</w:t>
            </w:r>
          </w:p>
        </w:tc>
        <w:tc>
          <w:tcPr>
            <w:tcW w:w="4672" w:type="pct"/>
            <w:shd w:val="clear" w:color="auto" w:fill="CCECF9"/>
            <w:tcMar>
              <w:top w:w="113" w:type="dxa"/>
              <w:bottom w:w="113" w:type="dxa"/>
            </w:tcMar>
          </w:tcPr>
          <w:p w:rsidR="00625068" w:rsidRPr="00A96574" w:rsidRDefault="00625068"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Do you also agree that there should be an element of capacity</w:t>
            </w:r>
            <w:r w:rsidR="0064704D" w:rsidRPr="00A96574">
              <w:rPr>
                <w:rFonts w:ascii="Arial" w:hAnsi="Arial" w:cs="Arial"/>
                <w:color w:val="000000"/>
                <w:sz w:val="24"/>
                <w:szCs w:val="24"/>
              </w:rPr>
              <w:t>-</w:t>
            </w:r>
            <w:r w:rsidRPr="00A96574">
              <w:rPr>
                <w:rFonts w:ascii="Arial" w:hAnsi="Arial" w:cs="Arial"/>
                <w:color w:val="000000"/>
                <w:sz w:val="24"/>
                <w:szCs w:val="24"/>
              </w:rPr>
              <w:t xml:space="preserve">based triggers that could accelerate the </w:t>
            </w:r>
            <w:proofErr w:type="spellStart"/>
            <w:r w:rsidRPr="00A96574">
              <w:rPr>
                <w:rFonts w:ascii="Arial" w:hAnsi="Arial" w:cs="Arial"/>
                <w:color w:val="000000"/>
                <w:sz w:val="24"/>
                <w:szCs w:val="24"/>
              </w:rPr>
              <w:t>degression</w:t>
            </w:r>
            <w:proofErr w:type="spellEnd"/>
            <w:r w:rsidRPr="00A96574">
              <w:rPr>
                <w:rFonts w:ascii="Arial" w:hAnsi="Arial" w:cs="Arial"/>
                <w:color w:val="000000"/>
                <w:sz w:val="24"/>
                <w:szCs w:val="24"/>
              </w:rPr>
              <w:t xml:space="preserve"> mechanism</w:t>
            </w:r>
            <w:r w:rsidR="0064704D" w:rsidRPr="00A96574">
              <w:rPr>
                <w:rFonts w:ascii="Arial" w:hAnsi="Arial" w:cs="Arial"/>
                <w:color w:val="000000"/>
                <w:sz w:val="24"/>
                <w:szCs w:val="24"/>
              </w:rPr>
              <w:t>? Do you agree with the proposed triggers?</w:t>
            </w:r>
          </w:p>
        </w:tc>
      </w:tr>
      <w:tr w:rsidR="00625068" w:rsidRPr="00015C4E" w:rsidTr="007E27B8">
        <w:tc>
          <w:tcPr>
            <w:tcW w:w="328" w:type="pct"/>
            <w:shd w:val="clear" w:color="auto" w:fill="CCECF9"/>
            <w:tcMar>
              <w:top w:w="113" w:type="dxa"/>
              <w:bottom w:w="113" w:type="dxa"/>
            </w:tcMar>
          </w:tcPr>
          <w:p w:rsidR="00625068" w:rsidRDefault="00564E9F" w:rsidP="005C6117">
            <w:pPr>
              <w:pStyle w:val="TableText"/>
            </w:pPr>
            <w:r>
              <w:t>7</w:t>
            </w:r>
            <w:r w:rsidR="00625068">
              <w:t>.</w:t>
            </w:r>
          </w:p>
        </w:tc>
        <w:tc>
          <w:tcPr>
            <w:tcW w:w="4672" w:type="pct"/>
            <w:shd w:val="clear" w:color="auto" w:fill="CCECF9"/>
            <w:tcMar>
              <w:top w:w="113" w:type="dxa"/>
              <w:bottom w:w="113" w:type="dxa"/>
            </w:tcMar>
          </w:tcPr>
          <w:p w:rsidR="00625068" w:rsidRPr="00A96574" w:rsidRDefault="00625068"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 xml:space="preserve">If not, can you propose an alternative model, e.g. contingent </w:t>
            </w:r>
            <w:proofErr w:type="spellStart"/>
            <w:r w:rsidRPr="00A96574">
              <w:rPr>
                <w:rFonts w:ascii="Arial" w:hAnsi="Arial" w:cs="Arial"/>
                <w:color w:val="000000"/>
                <w:sz w:val="24"/>
                <w:szCs w:val="24"/>
              </w:rPr>
              <w:t>degression</w:t>
            </w:r>
            <w:proofErr w:type="spellEnd"/>
            <w:r w:rsidRPr="00A96574">
              <w:rPr>
                <w:rFonts w:ascii="Arial" w:hAnsi="Arial" w:cs="Arial"/>
                <w:color w:val="000000"/>
                <w:sz w:val="24"/>
                <w:szCs w:val="24"/>
              </w:rPr>
              <w:t xml:space="preserve"> or quotas that would deliver certainty for investors and confidence that we can meet our L</w:t>
            </w:r>
            <w:r w:rsidR="00E065AF" w:rsidRPr="00A96574">
              <w:rPr>
                <w:rFonts w:ascii="Arial" w:hAnsi="Arial" w:cs="Arial"/>
                <w:color w:val="000000"/>
                <w:sz w:val="24"/>
                <w:szCs w:val="24"/>
              </w:rPr>
              <w:t xml:space="preserve">evy </w:t>
            </w:r>
            <w:r w:rsidRPr="00A96574">
              <w:rPr>
                <w:rFonts w:ascii="Arial" w:hAnsi="Arial" w:cs="Arial"/>
                <w:color w:val="000000"/>
                <w:sz w:val="24"/>
                <w:szCs w:val="24"/>
              </w:rPr>
              <w:t>C</w:t>
            </w:r>
            <w:r w:rsidR="00E065AF" w:rsidRPr="00A96574">
              <w:rPr>
                <w:rFonts w:ascii="Arial" w:hAnsi="Arial" w:cs="Arial"/>
                <w:color w:val="000000"/>
                <w:sz w:val="24"/>
                <w:szCs w:val="24"/>
              </w:rPr>
              <w:t xml:space="preserve">ontrol </w:t>
            </w:r>
            <w:r w:rsidRPr="00A96574">
              <w:rPr>
                <w:rFonts w:ascii="Arial" w:hAnsi="Arial" w:cs="Arial"/>
                <w:color w:val="000000"/>
                <w:sz w:val="24"/>
                <w:szCs w:val="24"/>
              </w:rPr>
              <w:t>F</w:t>
            </w:r>
            <w:r w:rsidR="00E065AF" w:rsidRPr="00A96574">
              <w:rPr>
                <w:rFonts w:ascii="Arial" w:hAnsi="Arial" w:cs="Arial"/>
                <w:color w:val="000000"/>
                <w:sz w:val="24"/>
                <w:szCs w:val="24"/>
              </w:rPr>
              <w:t>ramework</w:t>
            </w:r>
            <w:r w:rsidRPr="00A96574">
              <w:rPr>
                <w:rFonts w:ascii="Arial" w:hAnsi="Arial" w:cs="Arial"/>
                <w:color w:val="000000"/>
                <w:sz w:val="24"/>
                <w:szCs w:val="24"/>
              </w:rPr>
              <w:t xml:space="preserve"> obligations?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564E9F" w:rsidP="005C6117">
            <w:pPr>
              <w:pStyle w:val="TableText"/>
            </w:pPr>
            <w:r>
              <w:t>8</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Do you agree that it should be a longer term objective to have an energy efficiency requirement for some or all non-PV technologies? How might this be done?</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564E9F" w:rsidP="005C6117">
            <w:pPr>
              <w:pStyle w:val="TableText"/>
            </w:pPr>
            <w:r>
              <w:t>9</w:t>
            </w:r>
            <w:r w:rsidR="007D7E91">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 xml:space="preserve">Do you consider that equivalent energy efficiency requirements to those required for solar PV should be applied to </w:t>
            </w:r>
            <w:proofErr w:type="spellStart"/>
            <w:r w:rsidRPr="00A96574">
              <w:rPr>
                <w:rFonts w:ascii="Arial" w:hAnsi="Arial" w:cs="Arial"/>
                <w:color w:val="000000"/>
                <w:sz w:val="24"/>
                <w:szCs w:val="24"/>
              </w:rPr>
              <w:t>microCHP</w:t>
            </w:r>
            <w:proofErr w:type="spellEnd"/>
            <w:r w:rsidRPr="00A96574">
              <w:rPr>
                <w:rFonts w:ascii="Arial" w:hAnsi="Arial" w:cs="Arial"/>
                <w:color w:val="000000"/>
                <w:sz w:val="24"/>
                <w:szCs w:val="24"/>
              </w:rPr>
              <w:t xml:space="preserve"> and wind installations?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564E9F" w:rsidP="005C6117">
            <w:pPr>
              <w:pStyle w:val="TableText"/>
            </w:pPr>
            <w:r>
              <w:t>10</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 xml:space="preserve">Do you think that tariffs should continue to be index-linked for </w:t>
            </w:r>
            <w:r w:rsidR="007800B0" w:rsidRPr="00A96574">
              <w:rPr>
                <w:rFonts w:ascii="Arial" w:hAnsi="Arial" w:cs="Arial"/>
                <w:color w:val="000000"/>
                <w:sz w:val="24"/>
                <w:szCs w:val="24"/>
              </w:rPr>
              <w:t>all</w:t>
            </w:r>
            <w:r w:rsidRPr="00A96574">
              <w:rPr>
                <w:rFonts w:ascii="Arial" w:hAnsi="Arial" w:cs="Arial"/>
                <w:color w:val="000000"/>
                <w:sz w:val="24"/>
                <w:szCs w:val="24"/>
              </w:rPr>
              <w:t xml:space="preserve"> technologies?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7D7E91" w:rsidP="00564E9F">
            <w:pPr>
              <w:pStyle w:val="TableText"/>
            </w:pPr>
            <w:r>
              <w:t>1</w:t>
            </w:r>
            <w:r w:rsidR="00564E9F">
              <w:t>1</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line="240" w:lineRule="auto"/>
              <w:ind w:left="0"/>
              <w:jc w:val="both"/>
              <w:rPr>
                <w:rFonts w:ascii="Arial" w:hAnsi="Arial" w:cs="Arial"/>
                <w:color w:val="000000"/>
                <w:sz w:val="24"/>
                <w:szCs w:val="24"/>
              </w:rPr>
            </w:pPr>
            <w:r w:rsidRPr="00A96574">
              <w:rPr>
                <w:rFonts w:ascii="Arial" w:hAnsi="Arial" w:cs="Arial"/>
                <w:color w:val="000000"/>
                <w:sz w:val="24"/>
                <w:szCs w:val="24"/>
              </w:rPr>
              <w:t xml:space="preserve">If index-linking is maintained what would be the best model? </w:t>
            </w:r>
            <w:r w:rsidR="0064704D" w:rsidRPr="00A96574">
              <w:rPr>
                <w:rFonts w:ascii="Arial" w:hAnsi="Arial" w:cs="Arial"/>
                <w:color w:val="000000"/>
                <w:sz w:val="24"/>
                <w:szCs w:val="24"/>
              </w:rPr>
              <w:t xml:space="preserve">RPI, CPI, or another model </w:t>
            </w:r>
            <w:r w:rsidR="007A32EC" w:rsidRPr="00A96574">
              <w:rPr>
                <w:rFonts w:ascii="Arial" w:hAnsi="Arial" w:cs="Arial"/>
                <w:color w:val="000000"/>
                <w:sz w:val="24"/>
                <w:szCs w:val="24"/>
              </w:rPr>
              <w:t>e.g.</w:t>
            </w:r>
            <w:r w:rsidR="0064704D" w:rsidRPr="00A96574">
              <w:rPr>
                <w:rFonts w:ascii="Arial" w:hAnsi="Arial" w:cs="Arial"/>
                <w:color w:val="000000"/>
                <w:sz w:val="24"/>
                <w:szCs w:val="24"/>
              </w:rPr>
              <w:t xml:space="preserve"> time-limiting of indexation?</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7D7E91" w:rsidP="007D7E91">
            <w:pPr>
              <w:pStyle w:val="TableText"/>
            </w:pPr>
            <w:r>
              <w:t>12</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7D13FB">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Do you agree that the 5MW cap remains the </w:t>
            </w:r>
            <w:r w:rsidR="007D13FB">
              <w:rPr>
                <w:rFonts w:ascii="Arial" w:hAnsi="Arial" w:cs="Arial"/>
                <w:color w:val="000000"/>
                <w:sz w:val="24"/>
                <w:szCs w:val="24"/>
              </w:rPr>
              <w:t>appropriate</w:t>
            </w:r>
            <w:r w:rsidRPr="00A96574">
              <w:rPr>
                <w:rFonts w:ascii="Arial" w:hAnsi="Arial" w:cs="Arial"/>
                <w:color w:val="000000"/>
                <w:sz w:val="24"/>
                <w:szCs w:val="24"/>
              </w:rPr>
              <w:t xml:space="preserve"> limit</w:t>
            </w:r>
            <w:r w:rsidR="007800B0" w:rsidRPr="00A96574">
              <w:rPr>
                <w:rFonts w:ascii="Arial" w:hAnsi="Arial" w:cs="Arial"/>
                <w:color w:val="000000"/>
                <w:sz w:val="24"/>
                <w:szCs w:val="24"/>
              </w:rPr>
              <w:t xml:space="preserve"> or should a lower limit apply</w:t>
            </w:r>
            <w:r w:rsidRPr="00A96574">
              <w:rPr>
                <w:rFonts w:ascii="Arial" w:hAnsi="Arial" w:cs="Arial"/>
                <w:color w:val="000000"/>
                <w:sz w:val="24"/>
                <w:szCs w:val="24"/>
              </w:rPr>
              <w:t xml:space="preserv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7D7E91" w:rsidP="007D7E91">
            <w:pPr>
              <w:pStyle w:val="TableText"/>
            </w:pPr>
            <w:r>
              <w:t>13</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Are there other technologies you think should be supported under the FITs scheme?</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7D7E91" w:rsidP="007D7E91">
            <w:pPr>
              <w:pStyle w:val="TableText"/>
            </w:pPr>
            <w:r>
              <w:t>14</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Should the definition of hydro generating station be extended to include small tidal projects such as tidal mills and tidal locks that use a mixture of fluvial and tidal power?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7D7E91" w:rsidP="007D7E91">
            <w:pPr>
              <w:pStyle w:val="TableText"/>
            </w:pPr>
            <w:r>
              <w:lastRenderedPageBreak/>
              <w:t>15</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Should second-hand and refurbished equipment be permitted for FITs accreditation?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7D7E91" w:rsidP="007D7E91">
            <w:pPr>
              <w:pStyle w:val="TableText"/>
            </w:pPr>
            <w:r>
              <w:t>16</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As this equipment has a different cost base, would you support the payment of a lower tariff for such equipment, and how much lower should the tariff be compared with the standard tariffs? How would this tariff be calculated?</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F45D50" w:rsidRDefault="007D7E91" w:rsidP="007D7E91">
            <w:pPr>
              <w:pStyle w:val="TableText"/>
            </w:pPr>
            <w:r w:rsidRPr="00F45D50">
              <w:t>1</w:t>
            </w:r>
            <w:r>
              <w:t>7</w:t>
            </w:r>
            <w:r w:rsidR="00B5775B" w:rsidRPr="00F45D50">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think that the position relating to metering should be changed?</w:t>
            </w:r>
          </w:p>
        </w:tc>
      </w:tr>
      <w:tr w:rsidR="007D7E91"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7D7E91" w:rsidRDefault="007D7E91" w:rsidP="0044193D">
            <w:pPr>
              <w:pStyle w:val="TableText"/>
            </w:pPr>
            <w:r>
              <w:t>18.</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7D7E91" w:rsidRPr="00A96574" w:rsidRDefault="007D7E91"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agree that FITs should only be payable for usable energy and that metering installation standards should reflect this?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64704D" w:rsidP="0064704D">
            <w:pPr>
              <w:pStyle w:val="TableText"/>
            </w:pPr>
            <w:r>
              <w:t>19</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Is the existing definition of site sufficient? Do any of the criteria require further definition?</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64704D" w:rsidP="0044193D">
            <w:pPr>
              <w:pStyle w:val="TableText"/>
            </w:pPr>
            <w:r>
              <w:t>20</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What additional criteria or definitions could be used?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64704D" w:rsidP="0000618F">
            <w:pPr>
              <w:pStyle w:val="TableText"/>
            </w:pPr>
            <w:r>
              <w:t>21</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How would you resolve the private wire issue? Should there be a separate definition? </w:t>
            </w:r>
          </w:p>
        </w:tc>
      </w:tr>
      <w:tr w:rsidR="00B5775B" w:rsidRPr="00316F30"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64704D" w:rsidP="0064704D">
            <w:pPr>
              <w:pStyle w:val="TableText"/>
            </w:pPr>
            <w:r>
              <w:t>22</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think that the definition of stand-alone needs to be clarified, for example to specify a minimum amount of onsite use?</w:t>
            </w:r>
          </w:p>
        </w:tc>
      </w:tr>
      <w:tr w:rsidR="00B5775B" w:rsidRPr="00316F30"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6B0F5A" w:rsidRDefault="0064704D" w:rsidP="0064704D">
            <w:pPr>
              <w:pStyle w:val="TableText"/>
            </w:pPr>
            <w:r>
              <w:t>23</w:t>
            </w:r>
            <w:r w:rsidR="00B5775B" w:rsidRPr="006B0F5A">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Should consideration be given to the use being made of the building, </w:t>
            </w:r>
            <w:r w:rsidR="00D73C6C" w:rsidRPr="00A96574">
              <w:rPr>
                <w:rFonts w:ascii="Arial" w:hAnsi="Arial" w:cs="Arial"/>
                <w:color w:val="000000"/>
                <w:sz w:val="24"/>
                <w:szCs w:val="24"/>
              </w:rPr>
              <w:t xml:space="preserve">such as whether </w:t>
            </w:r>
            <w:r w:rsidRPr="00A96574">
              <w:rPr>
                <w:rFonts w:ascii="Arial" w:hAnsi="Arial" w:cs="Arial"/>
                <w:color w:val="000000"/>
                <w:sz w:val="24"/>
                <w:szCs w:val="24"/>
              </w:rPr>
              <w:t>it</w:t>
            </w:r>
            <w:r w:rsidR="00D73C6C" w:rsidRPr="00A96574">
              <w:rPr>
                <w:rFonts w:ascii="Arial" w:hAnsi="Arial" w:cs="Arial"/>
                <w:color w:val="000000"/>
                <w:sz w:val="24"/>
                <w:szCs w:val="24"/>
              </w:rPr>
              <w:t xml:space="preserve"> is</w:t>
            </w:r>
            <w:r w:rsidRPr="00A96574">
              <w:rPr>
                <w:rFonts w:ascii="Arial" w:hAnsi="Arial" w:cs="Arial"/>
                <w:color w:val="000000"/>
                <w:sz w:val="24"/>
                <w:szCs w:val="24"/>
              </w:rPr>
              <w:t xml:space="preserve"> occupied?</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64704D" w:rsidP="0064704D">
            <w:pPr>
              <w:pStyle w:val="TableText"/>
            </w:pPr>
            <w:r>
              <w:t>24</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agree with DECC’s position on mobile installations? If not, what alternative would you propose?</w:t>
            </w:r>
          </w:p>
        </w:tc>
      </w:tr>
      <w:tr w:rsidR="007E27B8" w:rsidRPr="007535D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7E27B8" w:rsidRDefault="007E27B8" w:rsidP="0064704D">
            <w:pPr>
              <w:pStyle w:val="TableText"/>
            </w:pPr>
            <w:r>
              <w:t>25.</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7E27B8" w:rsidRPr="00A96574" w:rsidRDefault="007E27B8"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think that the definition of “commissioned” needs to be clarified, for example to specify that the installation needs to be in operation and generating electricity on which FIT generation/export payments can be made?</w:t>
            </w:r>
          </w:p>
        </w:tc>
      </w:tr>
      <w:tr w:rsidR="00B5775B" w:rsidRPr="007535D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5F0CAB" w:rsidRDefault="0064704D" w:rsidP="0064704D">
            <w:pPr>
              <w:pStyle w:val="TableText"/>
            </w:pPr>
            <w:r>
              <w:t>26</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Do you agree with our proposal to allow a preliminary accreditation process for certain defined installations in the FITs Scheme? </w:t>
            </w:r>
          </w:p>
        </w:tc>
      </w:tr>
      <w:tr w:rsidR="00B5775B" w:rsidRPr="007535D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5F0CAB" w:rsidRDefault="0064704D" w:rsidP="0064704D">
            <w:pPr>
              <w:pStyle w:val="TableText"/>
            </w:pPr>
            <w:r>
              <w:t>27</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agree that preliminary accreditation be limited to ROO-FIT installations</w:t>
            </w:r>
            <w:r w:rsidR="00F10C9F" w:rsidRPr="00A96574">
              <w:rPr>
                <w:rFonts w:ascii="Arial" w:hAnsi="Arial" w:cs="Arial"/>
                <w:color w:val="000000"/>
                <w:sz w:val="24"/>
                <w:szCs w:val="24"/>
              </w:rPr>
              <w:t xml:space="preserve"> and not allowed for PV developments</w:t>
            </w:r>
            <w:r w:rsidRPr="00A96574">
              <w:rPr>
                <w:rFonts w:ascii="Arial" w:hAnsi="Arial" w:cs="Arial"/>
                <w:color w:val="000000"/>
                <w:sz w:val="24"/>
                <w:szCs w:val="24"/>
              </w:rPr>
              <w:t xml:space="preserve">? </w:t>
            </w:r>
          </w:p>
        </w:tc>
      </w:tr>
      <w:tr w:rsidR="00B5775B" w:rsidRPr="007535D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64704D" w:rsidP="0064704D">
            <w:pPr>
              <w:pStyle w:val="TableText"/>
            </w:pPr>
            <w:r>
              <w:t>28</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Should preliminary accreditation also involve fixing the level of tariffs for a set period of time at the point at which preliminary accreditation is achieved?</w:t>
            </w:r>
          </w:p>
        </w:tc>
      </w:tr>
      <w:tr w:rsidR="0064704D"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64704D" w:rsidRDefault="0064704D" w:rsidP="003D1FAD">
            <w:pPr>
              <w:pStyle w:val="TableText"/>
            </w:pPr>
            <w:r>
              <w:t>29.</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64704D" w:rsidRPr="00A96574" w:rsidRDefault="0064704D" w:rsidP="00A96574">
            <w:pPr>
              <w:spacing w:before="100" w:beforeAutospacing="1" w:after="100" w:afterAutospacing="1"/>
              <w:jc w:val="both"/>
              <w:rPr>
                <w:rFonts w:cs="Arial"/>
                <w:color w:val="000000"/>
              </w:rPr>
            </w:pPr>
            <w:r w:rsidRPr="00A96574">
              <w:rPr>
                <w:rFonts w:cs="Arial"/>
                <w:color w:val="000000"/>
              </w:rPr>
              <w:t>What are your views on the key design issues for preliminary accreditation i.e.</w:t>
            </w:r>
          </w:p>
          <w:p w:rsidR="0064704D" w:rsidRPr="00A96574" w:rsidRDefault="0064704D" w:rsidP="00A96574">
            <w:pPr>
              <w:spacing w:before="100" w:beforeAutospacing="1" w:after="100" w:afterAutospacing="1"/>
              <w:ind w:left="720" w:hanging="578"/>
              <w:jc w:val="both"/>
              <w:rPr>
                <w:rFonts w:cs="Arial"/>
                <w:color w:val="000000"/>
              </w:rPr>
            </w:pPr>
            <w:r w:rsidRPr="00A96574">
              <w:rPr>
                <w:rFonts w:cs="Arial"/>
                <w:color w:val="000000"/>
              </w:rPr>
              <w:t>(a)</w:t>
            </w:r>
            <w:r w:rsidRPr="00A96574">
              <w:rPr>
                <w:rFonts w:cs="Arial"/>
                <w:color w:val="000000"/>
              </w:rPr>
              <w:tab/>
              <w:t>at what stage would projects be eligible e.g. with planning approval, grid connection offer? or other factors?</w:t>
            </w:r>
          </w:p>
          <w:p w:rsidR="0064704D" w:rsidRPr="00A96574" w:rsidRDefault="0064704D" w:rsidP="00A96574">
            <w:pPr>
              <w:spacing w:before="100" w:beforeAutospacing="1" w:after="100" w:afterAutospacing="1"/>
              <w:ind w:left="720" w:hanging="578"/>
              <w:jc w:val="both"/>
              <w:rPr>
                <w:rFonts w:cs="Arial"/>
                <w:color w:val="000000"/>
              </w:rPr>
            </w:pPr>
            <w:r w:rsidRPr="00A96574">
              <w:rPr>
                <w:rFonts w:cs="Arial"/>
                <w:color w:val="000000"/>
              </w:rPr>
              <w:t>(b)</w:t>
            </w:r>
            <w:r w:rsidRPr="00A96574">
              <w:rPr>
                <w:rFonts w:cs="Arial"/>
                <w:color w:val="000000"/>
              </w:rPr>
              <w:tab/>
              <w:t xml:space="preserve">how long should the guarantee of tariffs last? </w:t>
            </w:r>
          </w:p>
          <w:p w:rsidR="00AC6BC1" w:rsidRDefault="0064704D" w:rsidP="00AC6BC1">
            <w:pPr>
              <w:spacing w:before="100" w:beforeAutospacing="1" w:after="100" w:afterAutospacing="1"/>
              <w:ind w:left="720" w:hanging="578"/>
              <w:jc w:val="both"/>
              <w:rPr>
                <w:rFonts w:cs="Arial"/>
                <w:color w:val="000000"/>
              </w:rPr>
            </w:pPr>
            <w:r w:rsidRPr="00A96574">
              <w:rPr>
                <w:rFonts w:cs="Arial"/>
                <w:color w:val="000000"/>
              </w:rPr>
              <w:t>(c)</w:t>
            </w:r>
            <w:r w:rsidRPr="00A96574">
              <w:rPr>
                <w:rFonts w:cs="Arial"/>
                <w:color w:val="000000"/>
              </w:rPr>
              <w:tab/>
              <w:t>should there be a penalty for uncompleted projects to prevent speculative applications?</w:t>
            </w:r>
          </w:p>
          <w:p w:rsidR="00A4776C" w:rsidRPr="00A96574" w:rsidRDefault="0064704D" w:rsidP="00AC6BC1">
            <w:pPr>
              <w:spacing w:before="100" w:beforeAutospacing="1" w:after="100" w:afterAutospacing="1"/>
              <w:ind w:left="720" w:hanging="578"/>
              <w:jc w:val="both"/>
              <w:rPr>
                <w:rFonts w:cs="Arial"/>
                <w:color w:val="000000"/>
              </w:rPr>
            </w:pPr>
            <w:r w:rsidRPr="00A96574">
              <w:rPr>
                <w:rFonts w:cs="Arial"/>
                <w:color w:val="000000"/>
              </w:rPr>
              <w:t>(d)</w:t>
            </w:r>
            <w:r w:rsidRPr="00A96574">
              <w:rPr>
                <w:rFonts w:cs="Arial"/>
                <w:color w:val="000000"/>
              </w:rPr>
              <w:tab/>
              <w:t>what modification to the original application should be tolerated and still receive the tariff guarantee?</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CA3877" w:rsidP="003D1FAD">
            <w:pPr>
              <w:pStyle w:val="TableText"/>
            </w:pPr>
            <w:r>
              <w:t>30</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Should MCS continue to be the route for FITs accreditation</w:t>
            </w:r>
            <w:r w:rsidR="00D73C6C" w:rsidRPr="00A96574">
              <w:rPr>
                <w:rFonts w:ascii="Arial" w:hAnsi="Arial" w:cs="Arial"/>
                <w:color w:val="000000"/>
                <w:sz w:val="24"/>
                <w:szCs w:val="24"/>
              </w:rPr>
              <w:t xml:space="preserve"> for micro-generation</w:t>
            </w:r>
            <w:r w:rsidRPr="00A96574">
              <w:rPr>
                <w:rFonts w:ascii="Arial" w:hAnsi="Arial" w:cs="Arial"/>
                <w:color w:val="000000"/>
                <w:sz w:val="24"/>
                <w:szCs w:val="24"/>
              </w:rPr>
              <w:t xml:space="preserve"> under the scheme or should there be a new body?</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C4312F" w:rsidP="003D1FAD">
            <w:pPr>
              <w:pStyle w:val="TableText"/>
            </w:pPr>
            <w:r>
              <w:t>31</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Are the criteria listed above sufficient to be used to determine if a scheme is equivalent to MCS? Are there alternative criteria that could be used?</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C4312F" w:rsidP="003D1FAD">
            <w:pPr>
              <w:pStyle w:val="TableText"/>
            </w:pPr>
            <w:r>
              <w:t>32</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have any other comments on the current operation of the MCS-FIT accreditation system.?</w:t>
            </w:r>
          </w:p>
        </w:tc>
      </w:tr>
      <w:tr w:rsidR="00B5775B"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Del="00D6095B" w:rsidRDefault="00C4312F" w:rsidP="00C4312F">
            <w:pPr>
              <w:pStyle w:val="TableText"/>
            </w:pPr>
            <w:r>
              <w:t>33</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What do you consider is the best way for micro-hydro installations to be accredited for FITs?</w:t>
            </w:r>
          </w:p>
        </w:tc>
      </w:tr>
      <w:tr w:rsidR="00B5775B"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C4312F" w:rsidP="00C4312F">
            <w:pPr>
              <w:pStyle w:val="TableText"/>
            </w:pPr>
            <w:r>
              <w:t>34</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Do you support </w:t>
            </w:r>
            <w:r w:rsidR="00C4312F" w:rsidRPr="00A96574">
              <w:rPr>
                <w:rFonts w:ascii="Arial" w:hAnsi="Arial" w:cs="Arial"/>
                <w:color w:val="000000"/>
                <w:sz w:val="24"/>
                <w:szCs w:val="24"/>
              </w:rPr>
              <w:t xml:space="preserve">the principle of a </w:t>
            </w:r>
            <w:r w:rsidRPr="00A96574">
              <w:rPr>
                <w:rFonts w:ascii="Arial" w:hAnsi="Arial" w:cs="Arial"/>
                <w:color w:val="000000"/>
                <w:sz w:val="24"/>
                <w:szCs w:val="24"/>
              </w:rPr>
              <w:t xml:space="preserve">voluntary approach to ensuring sustainable use of </w:t>
            </w:r>
            <w:r w:rsidR="00C4312F" w:rsidRPr="00A96574">
              <w:rPr>
                <w:rFonts w:ascii="Arial" w:hAnsi="Arial" w:cs="Arial"/>
                <w:color w:val="000000"/>
                <w:sz w:val="24"/>
                <w:szCs w:val="24"/>
              </w:rPr>
              <w:t xml:space="preserve">purpose grown </w:t>
            </w:r>
            <w:r w:rsidRPr="00A96574">
              <w:rPr>
                <w:rFonts w:ascii="Arial" w:hAnsi="Arial" w:cs="Arial"/>
                <w:color w:val="000000"/>
                <w:sz w:val="24"/>
                <w:szCs w:val="24"/>
              </w:rPr>
              <w:t>crops in AD plants that benefit from FITs</w:t>
            </w:r>
            <w:r w:rsidR="00F10C9F" w:rsidRPr="00A96574">
              <w:rPr>
                <w:rFonts w:ascii="Arial" w:hAnsi="Arial" w:cs="Arial"/>
                <w:color w:val="000000"/>
                <w:sz w:val="24"/>
                <w:szCs w:val="24"/>
              </w:rPr>
              <w:t xml:space="preserve"> and to prioritise </w:t>
            </w:r>
            <w:r w:rsidR="00B35050">
              <w:rPr>
                <w:rFonts w:ascii="Arial" w:hAnsi="Arial" w:cs="Arial"/>
                <w:color w:val="000000"/>
                <w:sz w:val="24"/>
                <w:szCs w:val="24"/>
              </w:rPr>
              <w:t xml:space="preserve">plants </w:t>
            </w:r>
            <w:r w:rsidR="00F10C9F" w:rsidRPr="00A96574">
              <w:rPr>
                <w:rFonts w:ascii="Arial" w:hAnsi="Arial" w:cs="Arial"/>
                <w:color w:val="000000"/>
                <w:sz w:val="24"/>
                <w:szCs w:val="24"/>
              </w:rPr>
              <w:t xml:space="preserve">using waste </w:t>
            </w:r>
            <w:proofErr w:type="spellStart"/>
            <w:r w:rsidR="00F10C9F" w:rsidRPr="00A96574">
              <w:rPr>
                <w:rFonts w:ascii="Arial" w:hAnsi="Arial" w:cs="Arial"/>
                <w:color w:val="000000"/>
                <w:sz w:val="24"/>
                <w:szCs w:val="24"/>
              </w:rPr>
              <w:t>feedstocks</w:t>
            </w:r>
            <w:proofErr w:type="spellEnd"/>
            <w:r w:rsidRPr="00A96574">
              <w:rPr>
                <w:rFonts w:ascii="Arial" w:hAnsi="Arial" w:cs="Arial"/>
                <w:color w:val="000000"/>
                <w:sz w:val="24"/>
                <w:szCs w:val="24"/>
              </w:rPr>
              <w:t xml:space="preserve">? If not, what alternative controls should be put in place?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C4312F" w:rsidP="00C4312F">
            <w:pPr>
              <w:pStyle w:val="TableText"/>
            </w:pPr>
            <w:r>
              <w:t>35</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Which organisations do you consider should be included in the definition of “community</w:t>
            </w:r>
            <w:r w:rsidR="00EA15AC">
              <w:rPr>
                <w:rFonts w:ascii="Arial" w:hAnsi="Arial" w:cs="Arial"/>
                <w:color w:val="000000"/>
                <w:sz w:val="24"/>
                <w:szCs w:val="24"/>
              </w:rPr>
              <w:t>”</w:t>
            </w:r>
            <w:r w:rsidRPr="00A96574">
              <w:rPr>
                <w:rFonts w:ascii="Arial" w:hAnsi="Arial" w:cs="Arial"/>
                <w:color w:val="000000"/>
                <w:sz w:val="24"/>
                <w:szCs w:val="24"/>
              </w:rPr>
              <w:t xml:space="preserve"> installations? </w:t>
            </w:r>
          </w:p>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Should the definition include social enterprises? Charities? Non-profit social housing providers? Any other groups?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2E1B53" w:rsidP="002E1B53">
            <w:pPr>
              <w:pStyle w:val="TableText"/>
            </w:pPr>
            <w:r>
              <w:t>36</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Should other factors be taken into account e.g. scale and primary purpose?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2E1B53" w:rsidP="003D1FAD">
            <w:pPr>
              <w:pStyle w:val="TableText"/>
            </w:pPr>
            <w:r>
              <w:t>37.</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Do you agree that non-community multi-installations should receive a basic stand-alone tariff?</w:t>
            </w:r>
          </w:p>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Should the energy efficiency requirement still be applied to these installations once they are receiving the stand-alone tariff?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2E1B53" w:rsidP="002E1B53">
            <w:pPr>
              <w:pStyle w:val="TableText"/>
            </w:pPr>
            <w:r>
              <w:t>38</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 xml:space="preserve">Do you agree that </w:t>
            </w:r>
            <w:r w:rsidR="00D52075" w:rsidRPr="00A96574">
              <w:rPr>
                <w:rFonts w:ascii="Arial" w:hAnsi="Arial" w:cs="Arial"/>
                <w:color w:val="000000"/>
                <w:sz w:val="24"/>
                <w:szCs w:val="24"/>
              </w:rPr>
              <w:t xml:space="preserve">“community” </w:t>
            </w:r>
            <w:r w:rsidRPr="00A96574">
              <w:rPr>
                <w:rFonts w:ascii="Arial" w:hAnsi="Arial" w:cs="Arial"/>
                <w:color w:val="000000"/>
                <w:sz w:val="24"/>
                <w:szCs w:val="24"/>
              </w:rPr>
              <w:t>multiple installations should receive a higher rate of multi-installation tariffs</w:t>
            </w:r>
            <w:r w:rsidR="002E1B53" w:rsidRPr="00A96574">
              <w:rPr>
                <w:rFonts w:ascii="Arial" w:hAnsi="Arial" w:cs="Arial"/>
                <w:color w:val="000000"/>
                <w:sz w:val="24"/>
                <w:szCs w:val="24"/>
              </w:rPr>
              <w:t xml:space="preserve"> than commercial installations</w:t>
            </w:r>
            <w:r w:rsidRPr="00A96574">
              <w:rPr>
                <w:rFonts w:ascii="Arial" w:hAnsi="Arial" w:cs="Arial"/>
                <w:color w:val="000000"/>
                <w:sz w:val="24"/>
                <w:szCs w:val="24"/>
              </w:rPr>
              <w:t xml:space="preserv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2E1B53" w:rsidP="002E1B53">
            <w:pPr>
              <w:pStyle w:val="TableText"/>
            </w:pPr>
            <w:r>
              <w:t>39</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Would it be possible to design a cost effective mechanism that would allow ”community” projects to “fix” their FITs tariff for a set period of time at some point earlier in the development process?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Del="00606320" w:rsidRDefault="002E1B53" w:rsidP="003D1FAD">
            <w:pPr>
              <w:pStyle w:val="TableText"/>
            </w:pPr>
            <w:r>
              <w:t>40</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Should this apply to just solar, or also to wind projects below 50kW</w:t>
            </w:r>
            <w:r w:rsidR="000D23FA" w:rsidRPr="00A96574">
              <w:rPr>
                <w:rFonts w:ascii="Arial" w:hAnsi="Arial" w:cs="Arial"/>
                <w:color w:val="000000"/>
                <w:sz w:val="24"/>
                <w:szCs w:val="24"/>
              </w:rPr>
              <w:t xml:space="preserve"> (DNC)</w:t>
            </w:r>
            <w:r w:rsidRPr="00A96574">
              <w:rPr>
                <w:rFonts w:ascii="Arial" w:hAnsi="Arial" w:cs="Arial"/>
                <w:color w:val="000000"/>
                <w:sz w:val="24"/>
                <w:szCs w:val="24"/>
              </w:rPr>
              <w:t>?</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2E1B53" w:rsidP="003D1FAD">
            <w:pPr>
              <w:pStyle w:val="TableText"/>
            </w:pPr>
            <w:r>
              <w:t>41</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spacing w:after="0"/>
              <w:ind w:left="0"/>
              <w:jc w:val="both"/>
              <w:rPr>
                <w:rFonts w:ascii="Arial" w:hAnsi="Arial" w:cs="Arial"/>
                <w:color w:val="000000"/>
                <w:sz w:val="24"/>
                <w:szCs w:val="24"/>
              </w:rPr>
            </w:pPr>
            <w:r w:rsidRPr="00A96574">
              <w:rPr>
                <w:rFonts w:ascii="Arial" w:hAnsi="Arial" w:cs="Arial"/>
                <w:color w:val="000000"/>
                <w:sz w:val="24"/>
                <w:szCs w:val="24"/>
              </w:rPr>
              <w:t>What</w:t>
            </w:r>
            <w:r w:rsidR="002E1B53" w:rsidRPr="00A96574">
              <w:rPr>
                <w:rFonts w:ascii="Arial" w:hAnsi="Arial" w:cs="Arial"/>
                <w:color w:val="000000"/>
                <w:sz w:val="24"/>
                <w:szCs w:val="24"/>
              </w:rPr>
              <w:t xml:space="preserve"> other</w:t>
            </w:r>
            <w:r w:rsidRPr="00A96574">
              <w:rPr>
                <w:rFonts w:ascii="Arial" w:hAnsi="Arial" w:cs="Arial"/>
                <w:color w:val="000000"/>
                <w:sz w:val="24"/>
                <w:szCs w:val="24"/>
              </w:rPr>
              <w:t xml:space="preserve"> ideas do you have for helping one-off community projects?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8E03ED" w:rsidP="003D1FAD">
            <w:pPr>
              <w:pStyle w:val="TableText"/>
            </w:pPr>
            <w:r>
              <w:t>42</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Style w:val="yiv1036703747apple-style-span"/>
                <w:rFonts w:ascii="Arial" w:hAnsi="Arial" w:cs="Arial"/>
                <w:color w:val="000000"/>
                <w:sz w:val="24"/>
                <w:szCs w:val="24"/>
              </w:rPr>
            </w:pPr>
            <w:r w:rsidRPr="00A96574">
              <w:rPr>
                <w:rStyle w:val="yiv1036703747apple-style-span"/>
                <w:rFonts w:ascii="Arial" w:hAnsi="Arial" w:cs="Arial"/>
                <w:color w:val="000000"/>
                <w:sz w:val="24"/>
                <w:szCs w:val="24"/>
              </w:rPr>
              <w:t xml:space="preserve">Do you believe that the </w:t>
            </w:r>
            <w:r w:rsidR="008E03ED" w:rsidRPr="00A96574">
              <w:rPr>
                <w:rStyle w:val="yiv1036703747apple-style-span"/>
                <w:rFonts w:ascii="Arial" w:hAnsi="Arial" w:cs="Arial"/>
                <w:color w:val="000000"/>
                <w:sz w:val="24"/>
                <w:szCs w:val="24"/>
              </w:rPr>
              <w:t xml:space="preserve">current </w:t>
            </w:r>
            <w:r w:rsidRPr="00A96574">
              <w:rPr>
                <w:rStyle w:val="yiv1036703747apple-style-span"/>
                <w:rFonts w:ascii="Arial" w:hAnsi="Arial" w:cs="Arial"/>
                <w:color w:val="000000"/>
                <w:sz w:val="24"/>
                <w:szCs w:val="24"/>
              </w:rPr>
              <w:t>enforcement provisions of Ofgem's powers are sufficient?</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Del="00A11C41" w:rsidRDefault="008E03ED" w:rsidP="008E03ED">
            <w:pPr>
              <w:pStyle w:val="TableText"/>
            </w:pPr>
            <w:r>
              <w:t>43</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Style w:val="yiv1036703747apple-style-span"/>
                <w:rFonts w:ascii="Arial" w:hAnsi="Arial" w:cs="Arial"/>
                <w:color w:val="000000"/>
                <w:sz w:val="24"/>
                <w:szCs w:val="24"/>
              </w:rPr>
            </w:pPr>
            <w:r w:rsidRPr="00A96574">
              <w:rPr>
                <w:rStyle w:val="yiv1036703747apple-style-span"/>
                <w:rFonts w:ascii="Arial" w:hAnsi="Arial" w:cs="Arial"/>
                <w:color w:val="000000"/>
                <w:sz w:val="24"/>
                <w:szCs w:val="24"/>
              </w:rPr>
              <w:t>Do you believe that a power to remove individual installations post-accreditation would provide a more proportionate penalty to deal with individual cases of malpractice?</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8E03ED" w:rsidP="008E03ED">
            <w:pPr>
              <w:pStyle w:val="TableText"/>
            </w:pPr>
            <w:r>
              <w:t>44</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Style w:val="yiv1036703747apple-style-span"/>
                <w:rFonts w:ascii="Arial" w:hAnsi="Arial" w:cs="Arial"/>
                <w:color w:val="000000"/>
                <w:sz w:val="24"/>
                <w:szCs w:val="24"/>
              </w:rPr>
            </w:pPr>
            <w:r w:rsidRPr="00A96574">
              <w:rPr>
                <w:rStyle w:val="yiv1036703747apple-style-span"/>
                <w:rFonts w:ascii="Arial" w:hAnsi="Arial" w:cs="Arial"/>
                <w:color w:val="000000"/>
                <w:sz w:val="24"/>
                <w:szCs w:val="24"/>
              </w:rPr>
              <w:t xml:space="preserve">If further provisions are required, what form might these take?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8E03ED" w:rsidP="008E03ED">
            <w:pPr>
              <w:pStyle w:val="TableText"/>
            </w:pPr>
            <w:r>
              <w:t>45</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Style w:val="yiv1036703747apple-style-span"/>
                <w:rFonts w:ascii="Arial" w:hAnsi="Arial" w:cs="Arial"/>
                <w:color w:val="000000"/>
                <w:sz w:val="24"/>
                <w:szCs w:val="24"/>
              </w:rPr>
              <w:t>Do you believe that the current provision of information and advice regarding FITs is adequate?</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8E03ED" w:rsidP="008E03ED">
            <w:pPr>
              <w:pStyle w:val="TableText"/>
            </w:pPr>
            <w:r>
              <w:t>46</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Style w:val="yiv1036703747apple-style-span"/>
                <w:rFonts w:ascii="Arial" w:hAnsi="Arial" w:cs="Arial"/>
                <w:color w:val="000000"/>
                <w:sz w:val="24"/>
                <w:szCs w:val="24"/>
              </w:rPr>
              <w:t>Who do you think should have the responsibility for drawing up and providing advice to Generators?</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8E03ED" w:rsidP="008E03ED">
            <w:pPr>
              <w:pStyle w:val="TableText"/>
            </w:pPr>
            <w:r>
              <w:t>47</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Style w:val="yiv1036703747apple-style-span"/>
                <w:rFonts w:ascii="Arial" w:hAnsi="Arial" w:cs="Arial"/>
                <w:color w:val="000000"/>
                <w:sz w:val="24"/>
                <w:szCs w:val="24"/>
              </w:rPr>
            </w:pPr>
            <w:r w:rsidRPr="00A96574">
              <w:rPr>
                <w:rFonts w:ascii="Arial" w:hAnsi="Arial" w:cs="Arial"/>
                <w:color w:val="000000"/>
                <w:sz w:val="24"/>
                <w:szCs w:val="24"/>
              </w:rPr>
              <w:t>How should the dissemination of advice be monitored, and who should have the responsibility for ensuring this is carried out correctly?</w:t>
            </w:r>
          </w:p>
        </w:tc>
      </w:tr>
      <w:tr w:rsidR="00B5775B" w:rsidRPr="00251F5F"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155A53" w:rsidRDefault="008E03ED" w:rsidP="008E03ED">
            <w:pPr>
              <w:pStyle w:val="TableText"/>
            </w:pPr>
            <w:r>
              <w:t>48</w:t>
            </w:r>
            <w:r w:rsidR="00B5775B" w:rsidRPr="00155A53">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Are the FITs terms set out in the Summary of Terms </w:t>
            </w:r>
            <w:r w:rsidRPr="00A96574">
              <w:rPr>
                <w:rStyle w:val="yiv1636427688apple-style-span"/>
                <w:rFonts w:ascii="Arial" w:hAnsi="Arial" w:cs="Arial"/>
                <w:color w:val="000000"/>
                <w:sz w:val="24"/>
                <w:szCs w:val="24"/>
              </w:rPr>
              <w:t>appropriate and sufficiently clear or are they too complex or onerous, requiring the</w:t>
            </w:r>
            <w:r w:rsidRPr="00A96574">
              <w:rPr>
                <w:rFonts w:ascii="Arial" w:hAnsi="Arial" w:cs="Arial"/>
                <w:color w:val="000000"/>
                <w:sz w:val="24"/>
                <w:szCs w:val="24"/>
              </w:rPr>
              <w:t xml:space="preserve"> Generator to accept too many obligations</w:t>
            </w:r>
            <w:r w:rsidRPr="00A96574">
              <w:rPr>
                <w:rStyle w:val="yiv1636427688apple-style-span"/>
                <w:rFonts w:ascii="Arial" w:hAnsi="Arial" w:cs="Arial"/>
                <w:color w:val="000000"/>
                <w:sz w:val="24"/>
                <w:szCs w:val="24"/>
              </w:rPr>
              <w:t>?</w:t>
            </w:r>
            <w:r w:rsidRPr="00A96574">
              <w:rPr>
                <w:rFonts w:ascii="Arial" w:hAnsi="Arial" w:cs="Arial"/>
                <w:color w:val="000000"/>
                <w:sz w:val="24"/>
                <w:szCs w:val="24"/>
              </w:rPr>
              <w:t xml:space="preserve"> </w:t>
            </w:r>
          </w:p>
        </w:tc>
      </w:tr>
      <w:tr w:rsidR="00B5775B" w:rsidRPr="00251F5F"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155A53" w:rsidRDefault="00E7433E" w:rsidP="003D1FAD">
            <w:pPr>
              <w:pStyle w:val="TableText"/>
            </w:pPr>
            <w:r>
              <w:t>49.</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Is payment to generators at least every 3 months reasonable? Should it be obligatory to make payments more or less frequently?</w:t>
            </w:r>
          </w:p>
        </w:tc>
      </w:tr>
      <w:tr w:rsidR="00B5775B" w:rsidRPr="002F6F0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E7433E" w:rsidP="003D1FAD">
            <w:pPr>
              <w:pStyle w:val="TableText"/>
            </w:pPr>
            <w:r>
              <w:t>50</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Are there any issues that are not taken account of </w:t>
            </w:r>
            <w:r w:rsidR="00E7433E" w:rsidRPr="00A96574">
              <w:rPr>
                <w:rFonts w:ascii="Arial" w:hAnsi="Arial" w:cs="Arial"/>
                <w:color w:val="000000"/>
                <w:sz w:val="24"/>
                <w:szCs w:val="24"/>
              </w:rPr>
              <w:t xml:space="preserve">in </w:t>
            </w:r>
            <w:r w:rsidRPr="00A96574">
              <w:rPr>
                <w:rFonts w:ascii="Arial" w:hAnsi="Arial" w:cs="Arial"/>
                <w:color w:val="000000"/>
                <w:sz w:val="24"/>
                <w:szCs w:val="24"/>
              </w:rPr>
              <w:t xml:space="preserve">the DECC guide? </w:t>
            </w:r>
          </w:p>
        </w:tc>
      </w:tr>
      <w:tr w:rsidR="00B5775B" w:rsidRPr="002F6F0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E7433E" w:rsidP="003D1FAD">
            <w:pPr>
              <w:pStyle w:val="TableText"/>
            </w:pPr>
            <w:r>
              <w:t>51</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Style w:val="yiv1636427688apple-style-span"/>
                <w:rFonts w:ascii="Arial" w:hAnsi="Arial" w:cs="Arial"/>
                <w:color w:val="000000"/>
                <w:sz w:val="24"/>
                <w:szCs w:val="24"/>
              </w:rPr>
              <w:t xml:space="preserve">Do you think that the current complaints/dispute resolution arrangements for the FITs Scheme are adequate? </w:t>
            </w:r>
          </w:p>
        </w:tc>
      </w:tr>
      <w:tr w:rsidR="00B5775B" w:rsidRPr="002F6F06"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E7433E" w:rsidP="003D1FAD">
            <w:pPr>
              <w:pStyle w:val="TableText"/>
            </w:pPr>
            <w:r>
              <w:t>52</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Style w:val="yiv1636427688apple-style-span"/>
                <w:rFonts w:ascii="Arial" w:hAnsi="Arial" w:cs="Arial"/>
                <w:color w:val="000000"/>
                <w:sz w:val="24"/>
                <w:szCs w:val="24"/>
              </w:rPr>
            </w:pPr>
            <w:r w:rsidRPr="00A96574">
              <w:rPr>
                <w:rFonts w:ascii="Arial" w:hAnsi="Arial" w:cs="Arial"/>
                <w:color w:val="000000"/>
                <w:sz w:val="24"/>
                <w:szCs w:val="24"/>
              </w:rPr>
              <w:t xml:space="preserve">If the current arrangements are not adequate, what changes should be made?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E7433E" w:rsidP="00E7433E">
            <w:pPr>
              <w:pStyle w:val="TableText"/>
            </w:pPr>
            <w:r>
              <w:t>53</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Do you support changing the thresholds for mandatory </w:t>
            </w:r>
            <w:r w:rsidR="007A32EC" w:rsidRPr="00A96574">
              <w:rPr>
                <w:rFonts w:ascii="Arial" w:hAnsi="Arial" w:cs="Arial"/>
                <w:color w:val="000000"/>
                <w:sz w:val="24"/>
                <w:szCs w:val="24"/>
              </w:rPr>
              <w:t>licensee</w:t>
            </w:r>
            <w:r w:rsidRPr="00A96574">
              <w:rPr>
                <w:rFonts w:ascii="Arial" w:hAnsi="Arial" w:cs="Arial"/>
                <w:color w:val="000000"/>
                <w:sz w:val="24"/>
                <w:szCs w:val="24"/>
              </w:rPr>
              <w:t xml:space="preserve">s to 250,000 residential consumers? If not what alternative do you propose? </w:t>
            </w:r>
          </w:p>
        </w:tc>
      </w:tr>
      <w:tr w:rsidR="00B5775B" w:rsidRPr="00015C4E"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E7433E" w:rsidP="00E7433E">
            <w:pPr>
              <w:pStyle w:val="TableText"/>
            </w:pPr>
            <w:r>
              <w:t>54</w:t>
            </w:r>
            <w:r w:rsidR="00B5775B">
              <w:t>.</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Should individual installation data be collected centrally, and what do you think the </w:t>
            </w:r>
            <w:r w:rsidR="000D23FA" w:rsidRPr="00A96574">
              <w:rPr>
                <w:rFonts w:ascii="Arial" w:hAnsi="Arial" w:cs="Arial"/>
                <w:color w:val="000000"/>
                <w:sz w:val="24"/>
                <w:szCs w:val="24"/>
              </w:rPr>
              <w:t>most cost-effective</w:t>
            </w:r>
            <w:r w:rsidRPr="00A96574">
              <w:rPr>
                <w:rFonts w:ascii="Arial" w:hAnsi="Arial" w:cs="Arial"/>
                <w:color w:val="000000"/>
                <w:sz w:val="24"/>
                <w:szCs w:val="24"/>
              </w:rPr>
              <w:t xml:space="preserve"> way of doing this would be?</w:t>
            </w:r>
          </w:p>
        </w:tc>
      </w:tr>
      <w:tr w:rsidR="00B5775B" w:rsidRPr="00F57AFD"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015C4E" w:rsidRDefault="00B5775B" w:rsidP="003D1FAD">
            <w:pPr>
              <w:pStyle w:val="TableText"/>
            </w:pPr>
            <w:r>
              <w:t>55.</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Do you support the establishment of provisions equivalent to the supplier of last resort arrangements for FITs payments?</w:t>
            </w:r>
          </w:p>
        </w:tc>
      </w:tr>
      <w:tr w:rsidR="00B5775B" w:rsidRPr="00F57AFD"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Default="00B5775B" w:rsidP="003D1FAD">
            <w:pPr>
              <w:pStyle w:val="TableText"/>
            </w:pPr>
            <w:r>
              <w:t>56.</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B5775B" w:rsidRPr="00A96574" w:rsidRDefault="00B5775B"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Do you support the mutualisation of shortfalls within the FITs </w:t>
            </w:r>
            <w:proofErr w:type="spellStart"/>
            <w:r w:rsidRPr="00A96574">
              <w:rPr>
                <w:rFonts w:ascii="Arial" w:hAnsi="Arial" w:cs="Arial"/>
                <w:color w:val="000000"/>
                <w:sz w:val="24"/>
                <w:szCs w:val="24"/>
              </w:rPr>
              <w:t>levelisation</w:t>
            </w:r>
            <w:proofErr w:type="spellEnd"/>
            <w:r w:rsidRPr="00A96574">
              <w:rPr>
                <w:rFonts w:ascii="Arial" w:hAnsi="Arial" w:cs="Arial"/>
                <w:color w:val="000000"/>
                <w:sz w:val="24"/>
                <w:szCs w:val="24"/>
              </w:rPr>
              <w:t xml:space="preserve"> arrangements among licensees?</w:t>
            </w:r>
          </w:p>
        </w:tc>
      </w:tr>
      <w:tr w:rsidR="007E27B8" w:rsidRPr="00F57AFD" w:rsidTr="007E27B8">
        <w:tc>
          <w:tcPr>
            <w:tcW w:w="328"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7E27B8" w:rsidRDefault="007E27B8" w:rsidP="003D1FAD">
            <w:pPr>
              <w:pStyle w:val="TableText"/>
            </w:pPr>
            <w:r>
              <w:t>57.</w:t>
            </w:r>
          </w:p>
        </w:tc>
        <w:tc>
          <w:tcPr>
            <w:tcW w:w="4672" w:type="pct"/>
            <w:tcBorders>
              <w:top w:val="single" w:sz="8" w:space="0" w:color="009EE3"/>
              <w:left w:val="single" w:sz="8" w:space="0" w:color="009EE3"/>
              <w:bottom w:val="single" w:sz="8" w:space="0" w:color="009EE3"/>
              <w:right w:val="single" w:sz="8" w:space="0" w:color="009EE3"/>
            </w:tcBorders>
            <w:shd w:val="clear" w:color="auto" w:fill="CCECF9"/>
            <w:tcMar>
              <w:top w:w="113" w:type="dxa"/>
              <w:bottom w:w="113" w:type="dxa"/>
            </w:tcMar>
          </w:tcPr>
          <w:p w:rsidR="007E27B8" w:rsidRPr="00A96574" w:rsidRDefault="007E27B8" w:rsidP="00A96574">
            <w:pPr>
              <w:pStyle w:val="ListParagraph1"/>
              <w:ind w:left="0"/>
              <w:jc w:val="both"/>
              <w:rPr>
                <w:rFonts w:ascii="Arial" w:hAnsi="Arial" w:cs="Arial"/>
                <w:color w:val="000000"/>
                <w:sz w:val="24"/>
                <w:szCs w:val="24"/>
              </w:rPr>
            </w:pPr>
            <w:r w:rsidRPr="00A96574">
              <w:rPr>
                <w:rFonts w:ascii="Arial" w:hAnsi="Arial" w:cs="Arial"/>
                <w:color w:val="000000"/>
                <w:sz w:val="24"/>
                <w:szCs w:val="24"/>
              </w:rPr>
              <w:t xml:space="preserve">Do you support the continuation of the current arrangements on the frequency of </w:t>
            </w:r>
            <w:proofErr w:type="spellStart"/>
            <w:r w:rsidRPr="00A96574">
              <w:rPr>
                <w:rFonts w:ascii="Arial" w:hAnsi="Arial" w:cs="Arial"/>
                <w:color w:val="000000"/>
                <w:sz w:val="24"/>
                <w:szCs w:val="24"/>
              </w:rPr>
              <w:t>levelisation</w:t>
            </w:r>
            <w:proofErr w:type="spellEnd"/>
            <w:r w:rsidRPr="00A96574">
              <w:rPr>
                <w:rFonts w:ascii="Arial" w:hAnsi="Arial" w:cs="Arial"/>
                <w:color w:val="000000"/>
                <w:sz w:val="24"/>
                <w:szCs w:val="24"/>
              </w:rPr>
              <w:t>, i.e. at least quarterly but more frequency at the discretion of Ofgem? If not, what alternative to you propose?</w:t>
            </w:r>
          </w:p>
        </w:tc>
      </w:tr>
    </w:tbl>
    <w:p w:rsidR="00625068" w:rsidRPr="00946B47" w:rsidRDefault="00625068" w:rsidP="00625068"/>
    <w:p w:rsidR="00B7171A" w:rsidRPr="00C02B0A" w:rsidRDefault="00B7171A" w:rsidP="00C02B0A">
      <w:pPr>
        <w:sectPr w:rsidR="00B7171A" w:rsidRPr="00C02B0A" w:rsidSect="00F61950">
          <w:headerReference w:type="even" r:id="rId23"/>
          <w:headerReference w:type="default" r:id="rId24"/>
          <w:headerReference w:type="first" r:id="rId25"/>
          <w:pgSz w:w="11906" w:h="16838" w:code="9"/>
          <w:pgMar w:top="1440" w:right="1440" w:bottom="1440" w:left="1276" w:header="437" w:footer="267" w:gutter="0"/>
          <w:cols w:space="720"/>
          <w:titlePg/>
          <w:docGrid w:linePitch="326"/>
        </w:sectPr>
      </w:pPr>
    </w:p>
    <w:p w:rsidR="000158F9" w:rsidRDefault="00E32ED5" w:rsidP="00553F55">
      <w:pPr>
        <w:pStyle w:val="EndpageText"/>
        <w:spacing w:line="240" w:lineRule="auto"/>
        <w:jc w:val="both"/>
      </w:pPr>
      <w:r>
        <w:t>© Crown copyright 20</w:t>
      </w:r>
      <w:r w:rsidR="00B932AD">
        <w:t>1</w:t>
      </w:r>
      <w:r w:rsidR="00C23C92">
        <w:t>2</w:t>
      </w:r>
    </w:p>
    <w:p w:rsidR="00E32ED5" w:rsidRDefault="00E32ED5" w:rsidP="00553F55">
      <w:pPr>
        <w:pStyle w:val="EndpageText"/>
        <w:spacing w:line="240" w:lineRule="auto"/>
        <w:jc w:val="both"/>
      </w:pPr>
    </w:p>
    <w:p w:rsidR="00E32ED5" w:rsidRDefault="00E32ED5" w:rsidP="00553F55">
      <w:pPr>
        <w:pStyle w:val="EndpageText"/>
        <w:spacing w:line="240" w:lineRule="auto"/>
        <w:jc w:val="both"/>
      </w:pPr>
      <w:r>
        <w:t>Department of Energy &amp; Climate Change</w:t>
      </w:r>
    </w:p>
    <w:p w:rsidR="00E32ED5" w:rsidRDefault="00E32ED5" w:rsidP="00553F55">
      <w:pPr>
        <w:pStyle w:val="EndpageText"/>
        <w:spacing w:line="240" w:lineRule="auto"/>
        <w:jc w:val="both"/>
      </w:pPr>
      <w:r>
        <w:t>3 Whitehall Place</w:t>
      </w:r>
    </w:p>
    <w:p w:rsidR="00E32ED5" w:rsidRDefault="00236C9C" w:rsidP="00553F55">
      <w:pPr>
        <w:pStyle w:val="EndpageText"/>
        <w:spacing w:line="240" w:lineRule="auto"/>
        <w:jc w:val="both"/>
      </w:pPr>
      <w:r>
        <w:t>London SW1A 2AW</w:t>
      </w:r>
    </w:p>
    <w:p w:rsidR="005B402C" w:rsidRDefault="00E32ED5" w:rsidP="00553F55">
      <w:pPr>
        <w:pStyle w:val="EndpageText"/>
        <w:spacing w:line="240" w:lineRule="auto"/>
        <w:jc w:val="both"/>
        <w:rPr>
          <w:b/>
          <w:bCs/>
        </w:rPr>
      </w:pPr>
      <w:r w:rsidRPr="00E32ED5">
        <w:rPr>
          <w:b/>
          <w:bCs/>
        </w:rPr>
        <w:t>www.decc.gov.uk</w:t>
      </w:r>
    </w:p>
    <w:p w:rsidR="00226F71" w:rsidRDefault="00226F71" w:rsidP="00553F55">
      <w:pPr>
        <w:pStyle w:val="EndpageText"/>
        <w:spacing w:line="240" w:lineRule="auto"/>
        <w:jc w:val="both"/>
        <w:rPr>
          <w:b/>
          <w:bCs/>
        </w:rPr>
      </w:pPr>
    </w:p>
    <w:p w:rsidR="00226F71" w:rsidRPr="00870CA2" w:rsidRDefault="00C23C92" w:rsidP="00C23C92">
      <w:pPr>
        <w:pStyle w:val="EndpageText"/>
        <w:spacing w:line="240" w:lineRule="auto"/>
        <w:ind w:left="0"/>
        <w:jc w:val="both"/>
        <w:rPr>
          <w:b/>
          <w:bCs/>
          <w:szCs w:val="20"/>
        </w:rPr>
      </w:pPr>
      <w:r>
        <w:rPr>
          <w:b/>
          <w:bCs/>
        </w:rPr>
        <w:t xml:space="preserve"> </w:t>
      </w:r>
      <w:r w:rsidR="00226F71">
        <w:rPr>
          <w:b/>
          <w:bCs/>
        </w:rPr>
        <w:t xml:space="preserve"> </w:t>
      </w:r>
      <w:r w:rsidR="00333AFB" w:rsidRPr="00333AFB">
        <w:rPr>
          <w:rFonts w:cs="Arial"/>
          <w:b/>
          <w:bCs/>
          <w:szCs w:val="20"/>
          <w:lang w:val="cy-GB"/>
        </w:rPr>
        <w:t>URN: 12D/010</w:t>
      </w:r>
    </w:p>
    <w:sectPr w:rsidR="00226F71" w:rsidRPr="00870CA2" w:rsidSect="009E5FC6">
      <w:headerReference w:type="even" r:id="rId26"/>
      <w:headerReference w:type="default" r:id="rId27"/>
      <w:headerReference w:type="first" r:id="rId28"/>
      <w:footerReference w:type="first" r:id="rId29"/>
      <w:pgSz w:w="11906" w:h="16838" w:code="9"/>
      <w:pgMar w:top="13668" w:right="566" w:bottom="680" w:left="851" w:header="437" w:footer="2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72" w:rsidRDefault="00077A72">
      <w:r>
        <w:separator/>
      </w:r>
    </w:p>
  </w:endnote>
  <w:endnote w:type="continuationSeparator" w:id="0">
    <w:p w:rsidR="00077A72" w:rsidRDefault="00077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Default="00077A72" w:rsidP="004D6DE1">
    <w:pPr>
      <w:pStyle w:val="EvenPageNumber"/>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46</w:t>
    </w:r>
    <w:r w:rsidRPr="003966DE">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Default="00077A72">
    <w:pPr>
      <w:pStyle w:val="Footer"/>
      <w:jc w:val="center"/>
    </w:pPr>
    <w:fldSimple w:instr=" PAGE   \* MERGEFORMAT ">
      <w:r w:rsidR="00632D7C">
        <w:rPr>
          <w:noProof/>
        </w:rPr>
        <w:t>3</w:t>
      </w:r>
    </w:fldSimple>
  </w:p>
  <w:p w:rsidR="00077A72" w:rsidRPr="004D6DE1" w:rsidRDefault="00077A72" w:rsidP="004D6D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Pr="00FC3779" w:rsidRDefault="00077A72" w:rsidP="00FC3779">
    <w:pPr>
      <w:rPr>
        <w:rStyle w:val="Page1White"/>
        <w:rFonts w:ascii="Times New Roman" w:hAnsi="Times New Roman"/>
        <w:color w:val="auto"/>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72" w:rsidRDefault="00077A72">
      <w:r>
        <w:separator/>
      </w:r>
    </w:p>
  </w:footnote>
  <w:footnote w:type="continuationSeparator" w:id="0">
    <w:p w:rsidR="00077A72" w:rsidRDefault="00077A72">
      <w:r>
        <w:continuationSeparator/>
      </w:r>
    </w:p>
  </w:footnote>
  <w:footnote w:id="1">
    <w:p w:rsidR="00077A72" w:rsidRDefault="00077A72" w:rsidP="001932F2">
      <w:pPr>
        <w:pStyle w:val="FootnoteText"/>
      </w:pPr>
      <w:r>
        <w:rPr>
          <w:rStyle w:val="FootnoteReference"/>
        </w:rPr>
        <w:footnoteRef/>
      </w:r>
      <w:r>
        <w:t xml:space="preserve"> </w:t>
      </w:r>
      <w:r w:rsidRPr="00CD3A9B">
        <w:t>www.ofgem.gov.uk/Pages/MoreInformation.aspx?docid=26&amp;refer=Sustainability/Environment/fits</w:t>
      </w:r>
    </w:p>
  </w:footnote>
  <w:footnote w:id="2">
    <w:p w:rsidR="00077A72" w:rsidRDefault="00077A72" w:rsidP="00812997">
      <w:pPr>
        <w:pStyle w:val="FootnoteText"/>
      </w:pPr>
      <w:r>
        <w:rPr>
          <w:rStyle w:val="FootnoteReference"/>
        </w:rPr>
        <w:footnoteRef/>
      </w:r>
      <w:r>
        <w:t xml:space="preserve"> </w:t>
      </w:r>
      <w:r w:rsidRPr="000A7234">
        <w:t>www.renewablesandchp.ofgem.gov.uk/Default.aspx</w:t>
      </w:r>
    </w:p>
  </w:footnote>
  <w:footnote w:id="3">
    <w:p w:rsidR="00077A72" w:rsidRDefault="00077A72" w:rsidP="003C2EA9">
      <w:pPr>
        <w:pStyle w:val="FootnoteText"/>
        <w:spacing w:after="0" w:line="240" w:lineRule="auto"/>
      </w:pPr>
      <w:r>
        <w:rPr>
          <w:rStyle w:val="FootnoteReference"/>
        </w:rPr>
        <w:footnoteRef/>
      </w:r>
      <w:r>
        <w:t xml:space="preserve"> See </w:t>
      </w:r>
      <w:hyperlink r:id="rId1" w:history="1">
        <w:r w:rsidRPr="00F01870">
          <w:rPr>
            <w:rStyle w:val="Hyperlink"/>
          </w:rPr>
          <w:t>www.ofgem.gov.uk/Sustainability/Environment/RenewablObl/Pages/RenewablObl.aspx</w:t>
        </w:r>
      </w:hyperlink>
      <w:r>
        <w:t xml:space="preserve"> </w:t>
      </w:r>
    </w:p>
  </w:footnote>
  <w:footnote w:id="4">
    <w:p w:rsidR="00077A72" w:rsidRPr="00451FA9" w:rsidRDefault="00077A72" w:rsidP="00F016FF">
      <w:pPr>
        <w:pStyle w:val="FootnoteText"/>
        <w:rPr>
          <w:sz w:val="18"/>
          <w:szCs w:val="18"/>
        </w:rPr>
      </w:pPr>
      <w:r w:rsidRPr="00451FA9">
        <w:rPr>
          <w:rStyle w:val="FootnoteReference"/>
          <w:sz w:val="18"/>
          <w:szCs w:val="18"/>
        </w:rPr>
        <w:footnoteRef/>
      </w:r>
      <w:r w:rsidRPr="00451FA9">
        <w:rPr>
          <w:sz w:val="18"/>
          <w:szCs w:val="18"/>
        </w:rPr>
        <w:t xml:space="preserve"> </w:t>
      </w:r>
      <w:hyperlink r:id="rId2" w:history="1">
        <w:r w:rsidRPr="00451FA9">
          <w:rPr>
            <w:rStyle w:val="Hyperlink"/>
            <w:sz w:val="18"/>
            <w:szCs w:val="18"/>
          </w:rPr>
          <w:t>www.ofgem.gov.uk/Sustainability/Environment/fits/Documents1/FIT_generating%20equipment%20consultation_final.pdf</w:t>
        </w:r>
      </w:hyperlink>
      <w:r w:rsidRPr="00451FA9">
        <w:rPr>
          <w:sz w:val="18"/>
          <w:szCs w:val="18"/>
        </w:rPr>
        <w:t xml:space="preserve"> </w:t>
      </w:r>
    </w:p>
  </w:footnote>
  <w:footnote w:id="5">
    <w:p w:rsidR="00077A72" w:rsidRDefault="00077A72" w:rsidP="006D62E6">
      <w:pPr>
        <w:pStyle w:val="FootnoteText"/>
      </w:pPr>
      <w:r>
        <w:rPr>
          <w:rStyle w:val="FootnoteReference"/>
        </w:rPr>
        <w:t>[1]</w:t>
      </w:r>
      <w:r>
        <w:t xml:space="preserve"> Under EN 45011, the definition of a “product” includes a process or service.</w:t>
      </w:r>
    </w:p>
  </w:footnote>
  <w:footnote w:id="6">
    <w:p w:rsidR="00077A72" w:rsidRDefault="00077A72" w:rsidP="00826EFD">
      <w:pPr>
        <w:spacing w:after="0"/>
        <w:rPr>
          <w:rFonts w:cs="Arial"/>
          <w:sz w:val="18"/>
          <w:szCs w:val="18"/>
        </w:rPr>
      </w:pPr>
      <w:r>
        <w:rPr>
          <w:rStyle w:val="FootnoteReference"/>
          <w:rFonts w:cs="Arial"/>
          <w:sz w:val="18"/>
          <w:szCs w:val="18"/>
        </w:rPr>
        <w:footnoteRef/>
      </w:r>
      <w:r>
        <w:rPr>
          <w:rFonts w:cs="Arial"/>
          <w:sz w:val="18"/>
          <w:szCs w:val="18"/>
        </w:rPr>
        <w:t xml:space="preserve"> Community Interest Companies (CICs) are limited companies, with special additional features, created for the use of people who want to conduct a business or other activity for community benefit, and not purely for private advantage. The CIC Regulator enforces a "community interest test" and "asset lock", which ensure that the CIC is established for community purposes and the assets and profits are dedicated to these purposes. </w:t>
      </w:r>
    </w:p>
  </w:footnote>
  <w:footnote w:id="7">
    <w:p w:rsidR="00077A72" w:rsidRDefault="00077A72" w:rsidP="00826EFD">
      <w:pPr>
        <w:pStyle w:val="FootnoteText"/>
      </w:pPr>
      <w:r>
        <w:rPr>
          <w:rStyle w:val="FootnoteReference"/>
          <w:rFonts w:ascii="Arial" w:hAnsi="Arial" w:cs="Arial"/>
          <w:sz w:val="18"/>
          <w:szCs w:val="18"/>
        </w:rPr>
        <w:footnoteRef/>
      </w:r>
      <w:r>
        <w:rPr>
          <w:rFonts w:ascii="Arial" w:hAnsi="Arial" w:cs="Arial"/>
          <w:sz w:val="18"/>
          <w:szCs w:val="18"/>
        </w:rPr>
        <w:t xml:space="preserve"> This was included for completeness in HMRC legislation re VCTs and FITs but may not be necessary.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Pr="00D90412" w:rsidRDefault="00077A72" w:rsidP="00D90412">
    <w:r>
      <w:rPr>
        <w:noProof/>
        <w:lang w:eastAsia="en-GB"/>
      </w:rPr>
      <w:pict>
        <v:line id="_x0000_s2049" style="position:absolute;left:0;text-align:left;z-index:251655680" from="-2.65pt,13.2pt" to="513.85pt,13.2pt" wrapcoords="1 1 690 1 690 1 1 1 1 1" strokecolor="#06c" strokeweight="1pt">
          <w10:wrap type="tight"/>
        </v:line>
      </w:pict>
    </w:r>
    <w:r w:rsidRPr="00D90412">
      <w:t>DECC running header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Default="00077A72" w:rsidP="00D90412">
    <w:r>
      <w:rPr>
        <w:noProof/>
        <w:lang w:eastAsia="en-GB"/>
      </w:rPr>
      <w:pict>
        <v:rect id="_x0000_s2051" style="position:absolute;left:0;text-align:left;margin-left:0;margin-top:114.55pt;width:595.3pt;height:731.65pt;z-index:-251658752;mso-position-horizontal-relative:page;mso-position-vertical-relative:page" wrapcoords="-27 -23 -27 21577 21627 21577 21627 -23 -27 -23" fillcolor="#009ee3" strokecolor="#009ee3">
          <w10:wrap anchorx="page" anchory="page"/>
        </v:rect>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32.15pt;margin-top:-3.25pt;width:176.15pt;height:49.2pt;z-index:-251657728" wrapcoords="-92 0 -92 21273 21600 21273 21600 0 -92 0">
          <v:imagedata r:id="rId1" o:title="DECC_Colour_Only"/>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Pr="00A95640" w:rsidRDefault="00077A72" w:rsidP="00A95640">
    <w:pPr>
      <w:pStyle w:val="DECCEvenHeader"/>
    </w:pPr>
    <w:r>
      <w:pict>
        <v:line id="_x0000_s2050" style="position:absolute;left:0;text-align:left;z-index:251656704;mso-position-horizontal-relative:page;mso-position-vertical-relative:page" from="0,34pt" to="595.3pt,34pt" wrapcoords="1 1 690 1 690 1 1 1 1 1" strokecolor="#00aeef" strokeweight="1pt">
          <w10:wrap type="tight" anchorx="page" anchory="page"/>
        </v:line>
      </w:pict>
    </w:r>
    <w:r w:rsidRPr="00A95640">
      <w:t>DECC running header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Pr="00EF54A8" w:rsidRDefault="00077A72" w:rsidP="00040617">
    <w:pPr>
      <w:pStyle w:val="Header"/>
      <w:jc w:val="center"/>
      <w:rPr>
        <w:sz w:val="16"/>
        <w:szCs w:val="16"/>
      </w:rPr>
    </w:pPr>
    <w:r>
      <w:rPr>
        <w:rFonts w:cs="Arial"/>
        <w:sz w:val="16"/>
        <w:szCs w:val="16"/>
      </w:rPr>
      <w:t xml:space="preserve">Feed-in Tariffs Scheme – Consultation on </w:t>
    </w:r>
    <w:r w:rsidRPr="00EF54A8">
      <w:rPr>
        <w:rFonts w:cs="Arial"/>
        <w:sz w:val="16"/>
        <w:szCs w:val="16"/>
      </w:rPr>
      <w:t>Comprehensive Review Phase 2B</w:t>
    </w:r>
    <w:r>
      <w:rPr>
        <w:rFonts w:cs="Arial"/>
        <w:sz w:val="16"/>
        <w:szCs w:val="16"/>
      </w:rPr>
      <w:t xml:space="preserve">: </w:t>
    </w:r>
    <w:r w:rsidRPr="00EF54A8">
      <w:rPr>
        <w:rFonts w:cs="Arial"/>
        <w:sz w:val="16"/>
        <w:szCs w:val="16"/>
      </w:rPr>
      <w:t>tariffs</w:t>
    </w:r>
    <w:r>
      <w:rPr>
        <w:rFonts w:cs="Arial"/>
        <w:sz w:val="16"/>
        <w:szCs w:val="16"/>
      </w:rPr>
      <w:t xml:space="preserve"> for non-PV technologies </w:t>
    </w:r>
    <w:r w:rsidRPr="00EF54A8">
      <w:rPr>
        <w:rFonts w:cs="Arial"/>
        <w:sz w:val="16"/>
        <w:szCs w:val="16"/>
      </w:rPr>
      <w:t xml:space="preserve">and scheme administration issues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Default="00077A7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Default="00077A7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Default="00077A7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72" w:rsidRPr="00015C4E" w:rsidRDefault="00077A72" w:rsidP="00015C4E">
    <w:r>
      <w:rPr>
        <w:noProof/>
        <w:lang w:eastAsia="en-GB"/>
      </w:rPr>
      <w:pict>
        <v:rect id="_x0000_s2059" style="position:absolute;left:0;text-align:left;margin-left:0;margin-top:15.75pt;width:595.3pt;height:841.9pt;z-index:-251656704;mso-position-horizontal-relative:page;mso-position-vertical-relative:page" wrapcoords="-27 -23 -27 21577 21627 21577 21627 -23 -27 -23" fillcolor="#009ee3" strokecolor="#009ee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A3"/>
    <w:multiLevelType w:val="hybridMultilevel"/>
    <w:tmpl w:val="348EA7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AB15824"/>
    <w:multiLevelType w:val="multilevel"/>
    <w:tmpl w:val="FE105B6C"/>
    <w:styleLink w:val="StyleOutlinenumberedLeft089cmHanging063cm"/>
    <w:lvl w:ilvl="0">
      <w:start w:val="1"/>
      <w:numFmt w:val="decimal"/>
      <w:lvlText w:val="%1."/>
      <w:lvlJc w:val="left"/>
      <w:pPr>
        <w:ind w:left="709" w:firstLine="0"/>
      </w:pPr>
      <w:rPr>
        <w:rFonts w:ascii="Arial" w:hAnsi="Arial" w:hint="default"/>
        <w:sz w:val="24"/>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nsid w:val="0E3119D0"/>
    <w:multiLevelType w:val="hybridMultilevel"/>
    <w:tmpl w:val="0D3E6D78"/>
    <w:lvl w:ilvl="0" w:tplc="EFA415F8">
      <w:start w:val="1"/>
      <w:numFmt w:val="bullet"/>
      <w:lvlText w:val=""/>
      <w:lvlJc w:val="left"/>
      <w:pPr>
        <w:tabs>
          <w:tab w:val="num" w:pos="780"/>
        </w:tabs>
        <w:ind w:left="780" w:hanging="360"/>
      </w:pPr>
      <w:rPr>
        <w:rFonts w:ascii="Symbol" w:hAnsi="Symbol" w:cs="Symbol" w:hint="default"/>
      </w:rPr>
    </w:lvl>
    <w:lvl w:ilvl="1" w:tplc="33300E16">
      <w:start w:val="1"/>
      <w:numFmt w:val="bullet"/>
      <w:lvlText w:val="o"/>
      <w:lvlJc w:val="left"/>
      <w:pPr>
        <w:tabs>
          <w:tab w:val="num" w:pos="1500"/>
        </w:tabs>
        <w:ind w:left="1500" w:hanging="360"/>
      </w:pPr>
      <w:rPr>
        <w:rFonts w:ascii="Courier New" w:hAnsi="Courier New" w:cs="Courier New" w:hint="default"/>
      </w:rPr>
    </w:lvl>
    <w:lvl w:ilvl="2" w:tplc="D254587E">
      <w:start w:val="1"/>
      <w:numFmt w:val="bullet"/>
      <w:lvlText w:val=""/>
      <w:lvlJc w:val="left"/>
      <w:pPr>
        <w:tabs>
          <w:tab w:val="num" w:pos="2220"/>
        </w:tabs>
        <w:ind w:left="2220" w:hanging="360"/>
      </w:pPr>
      <w:rPr>
        <w:rFonts w:ascii="Wingdings" w:hAnsi="Wingdings" w:cs="Wingdings" w:hint="default"/>
      </w:rPr>
    </w:lvl>
    <w:lvl w:ilvl="3" w:tplc="4E28B08C">
      <w:start w:val="1"/>
      <w:numFmt w:val="bullet"/>
      <w:lvlText w:val=""/>
      <w:lvlJc w:val="left"/>
      <w:pPr>
        <w:tabs>
          <w:tab w:val="num" w:pos="2940"/>
        </w:tabs>
        <w:ind w:left="2940" w:hanging="360"/>
      </w:pPr>
      <w:rPr>
        <w:rFonts w:ascii="Symbol" w:hAnsi="Symbol" w:cs="Symbol" w:hint="default"/>
      </w:rPr>
    </w:lvl>
    <w:lvl w:ilvl="4" w:tplc="77488B18">
      <w:start w:val="1"/>
      <w:numFmt w:val="bullet"/>
      <w:lvlText w:val="o"/>
      <w:lvlJc w:val="left"/>
      <w:pPr>
        <w:tabs>
          <w:tab w:val="num" w:pos="3660"/>
        </w:tabs>
        <w:ind w:left="3660" w:hanging="360"/>
      </w:pPr>
      <w:rPr>
        <w:rFonts w:ascii="Courier New" w:hAnsi="Courier New" w:cs="Courier New" w:hint="default"/>
      </w:rPr>
    </w:lvl>
    <w:lvl w:ilvl="5" w:tplc="9DF42ECC">
      <w:start w:val="1"/>
      <w:numFmt w:val="bullet"/>
      <w:lvlText w:val=""/>
      <w:lvlJc w:val="left"/>
      <w:pPr>
        <w:tabs>
          <w:tab w:val="num" w:pos="4380"/>
        </w:tabs>
        <w:ind w:left="4380" w:hanging="360"/>
      </w:pPr>
      <w:rPr>
        <w:rFonts w:ascii="Wingdings" w:hAnsi="Wingdings" w:cs="Wingdings" w:hint="default"/>
      </w:rPr>
    </w:lvl>
    <w:lvl w:ilvl="6" w:tplc="A002DF9E">
      <w:start w:val="1"/>
      <w:numFmt w:val="bullet"/>
      <w:lvlText w:val=""/>
      <w:lvlJc w:val="left"/>
      <w:pPr>
        <w:tabs>
          <w:tab w:val="num" w:pos="5100"/>
        </w:tabs>
        <w:ind w:left="5100" w:hanging="360"/>
      </w:pPr>
      <w:rPr>
        <w:rFonts w:ascii="Symbol" w:hAnsi="Symbol" w:cs="Symbol" w:hint="default"/>
      </w:rPr>
    </w:lvl>
    <w:lvl w:ilvl="7" w:tplc="739E1196">
      <w:start w:val="1"/>
      <w:numFmt w:val="bullet"/>
      <w:lvlText w:val="o"/>
      <w:lvlJc w:val="left"/>
      <w:pPr>
        <w:tabs>
          <w:tab w:val="num" w:pos="5820"/>
        </w:tabs>
        <w:ind w:left="5820" w:hanging="360"/>
      </w:pPr>
      <w:rPr>
        <w:rFonts w:ascii="Courier New" w:hAnsi="Courier New" w:cs="Courier New" w:hint="default"/>
      </w:rPr>
    </w:lvl>
    <w:lvl w:ilvl="8" w:tplc="0EC0381E">
      <w:start w:val="1"/>
      <w:numFmt w:val="bullet"/>
      <w:lvlText w:val=""/>
      <w:lvlJc w:val="left"/>
      <w:pPr>
        <w:tabs>
          <w:tab w:val="num" w:pos="6540"/>
        </w:tabs>
        <w:ind w:left="6540" w:hanging="360"/>
      </w:pPr>
      <w:rPr>
        <w:rFonts w:ascii="Wingdings" w:hAnsi="Wingdings" w:cs="Wingdings" w:hint="default"/>
      </w:rPr>
    </w:lvl>
  </w:abstractNum>
  <w:abstractNum w:abstractNumId="3">
    <w:nsid w:val="118D0CC8"/>
    <w:multiLevelType w:val="hybridMultilevel"/>
    <w:tmpl w:val="35A0A5B2"/>
    <w:lvl w:ilvl="0" w:tplc="04090001">
      <w:start w:val="1"/>
      <w:numFmt w:val="bullet"/>
      <w:pStyle w:val="ListBullet"/>
      <w:lvlText w:val=""/>
      <w:lvlJc w:val="left"/>
      <w:pPr>
        <w:tabs>
          <w:tab w:val="num" w:pos="284"/>
        </w:tabs>
        <w:ind w:left="284" w:hanging="284"/>
      </w:pPr>
      <w:rPr>
        <w:rFonts w:ascii="Symbol" w:hAnsi="Symbol" w:hint="default"/>
        <w:color w:val="000000"/>
        <w:sz w:val="24"/>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
    <w:nsid w:val="2056451D"/>
    <w:multiLevelType w:val="hybridMultilevel"/>
    <w:tmpl w:val="3C723440"/>
    <w:lvl w:ilvl="0" w:tplc="A82C4BF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6">
    <w:nsid w:val="2E262B64"/>
    <w:multiLevelType w:val="hybridMultilevel"/>
    <w:tmpl w:val="B9244C28"/>
    <w:lvl w:ilvl="0" w:tplc="B42A25F6">
      <w:start w:val="1"/>
      <w:numFmt w:val="bullet"/>
      <w:lvlText w:val=""/>
      <w:lvlJc w:val="left"/>
      <w:pPr>
        <w:ind w:left="1506" w:hanging="360"/>
      </w:pPr>
      <w:rPr>
        <w:rFonts w:ascii="Symbol" w:hAnsi="Symbol" w:hint="default"/>
      </w:rPr>
    </w:lvl>
    <w:lvl w:ilvl="1" w:tplc="B17ED59E" w:tentative="1">
      <w:start w:val="1"/>
      <w:numFmt w:val="bullet"/>
      <w:lvlText w:val="o"/>
      <w:lvlJc w:val="left"/>
      <w:pPr>
        <w:ind w:left="2226" w:hanging="360"/>
      </w:pPr>
      <w:rPr>
        <w:rFonts w:ascii="Courier New" w:hAnsi="Courier New" w:cs="Courier New" w:hint="default"/>
      </w:rPr>
    </w:lvl>
    <w:lvl w:ilvl="2" w:tplc="B1187860" w:tentative="1">
      <w:start w:val="1"/>
      <w:numFmt w:val="bullet"/>
      <w:lvlText w:val=""/>
      <w:lvlJc w:val="left"/>
      <w:pPr>
        <w:ind w:left="2946" w:hanging="360"/>
      </w:pPr>
      <w:rPr>
        <w:rFonts w:ascii="Wingdings" w:hAnsi="Wingdings" w:hint="default"/>
      </w:rPr>
    </w:lvl>
    <w:lvl w:ilvl="3" w:tplc="8CBC9916" w:tentative="1">
      <w:start w:val="1"/>
      <w:numFmt w:val="bullet"/>
      <w:lvlText w:val=""/>
      <w:lvlJc w:val="left"/>
      <w:pPr>
        <w:ind w:left="3666" w:hanging="360"/>
      </w:pPr>
      <w:rPr>
        <w:rFonts w:ascii="Symbol" w:hAnsi="Symbol" w:hint="default"/>
      </w:rPr>
    </w:lvl>
    <w:lvl w:ilvl="4" w:tplc="5AD05F4A" w:tentative="1">
      <w:start w:val="1"/>
      <w:numFmt w:val="bullet"/>
      <w:lvlText w:val="o"/>
      <w:lvlJc w:val="left"/>
      <w:pPr>
        <w:ind w:left="4386" w:hanging="360"/>
      </w:pPr>
      <w:rPr>
        <w:rFonts w:ascii="Courier New" w:hAnsi="Courier New" w:cs="Courier New" w:hint="default"/>
      </w:rPr>
    </w:lvl>
    <w:lvl w:ilvl="5" w:tplc="11E600AA" w:tentative="1">
      <w:start w:val="1"/>
      <w:numFmt w:val="bullet"/>
      <w:lvlText w:val=""/>
      <w:lvlJc w:val="left"/>
      <w:pPr>
        <w:ind w:left="5106" w:hanging="360"/>
      </w:pPr>
      <w:rPr>
        <w:rFonts w:ascii="Wingdings" w:hAnsi="Wingdings" w:hint="default"/>
      </w:rPr>
    </w:lvl>
    <w:lvl w:ilvl="6" w:tplc="BC28D678" w:tentative="1">
      <w:start w:val="1"/>
      <w:numFmt w:val="bullet"/>
      <w:lvlText w:val=""/>
      <w:lvlJc w:val="left"/>
      <w:pPr>
        <w:ind w:left="5826" w:hanging="360"/>
      </w:pPr>
      <w:rPr>
        <w:rFonts w:ascii="Symbol" w:hAnsi="Symbol" w:hint="default"/>
      </w:rPr>
    </w:lvl>
    <w:lvl w:ilvl="7" w:tplc="5684568E" w:tentative="1">
      <w:start w:val="1"/>
      <w:numFmt w:val="bullet"/>
      <w:lvlText w:val="o"/>
      <w:lvlJc w:val="left"/>
      <w:pPr>
        <w:ind w:left="6546" w:hanging="360"/>
      </w:pPr>
      <w:rPr>
        <w:rFonts w:ascii="Courier New" w:hAnsi="Courier New" w:cs="Courier New" w:hint="default"/>
      </w:rPr>
    </w:lvl>
    <w:lvl w:ilvl="8" w:tplc="20CA55F8" w:tentative="1">
      <w:start w:val="1"/>
      <w:numFmt w:val="bullet"/>
      <w:lvlText w:val=""/>
      <w:lvlJc w:val="left"/>
      <w:pPr>
        <w:ind w:left="7266" w:hanging="360"/>
      </w:pPr>
      <w:rPr>
        <w:rFonts w:ascii="Wingdings" w:hAnsi="Wingdings" w:hint="default"/>
      </w:rPr>
    </w:lvl>
  </w:abstractNum>
  <w:abstractNum w:abstractNumId="7">
    <w:nsid w:val="2FE36033"/>
    <w:multiLevelType w:val="hybridMultilevel"/>
    <w:tmpl w:val="7CFC6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086A12"/>
    <w:multiLevelType w:val="hybridMultilevel"/>
    <w:tmpl w:val="9B186F94"/>
    <w:lvl w:ilvl="0" w:tplc="E5F23BD6">
      <w:start w:val="1"/>
      <w:numFmt w:val="decimal"/>
      <w:pStyle w:val="DECCnumberingBold"/>
      <w:lvlText w:val="%1."/>
      <w:lvlJc w:val="left"/>
      <w:pPr>
        <w:ind w:left="502" w:hanging="360"/>
      </w:pPr>
      <w:rPr>
        <w:rFonts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33CE2379"/>
    <w:multiLevelType w:val="hybridMultilevel"/>
    <w:tmpl w:val="30BADD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34A27B21"/>
    <w:multiLevelType w:val="hybridMultilevel"/>
    <w:tmpl w:val="F4F02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045FF4"/>
    <w:multiLevelType w:val="hybridMultilevel"/>
    <w:tmpl w:val="A4F4B27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3CAB1D5E"/>
    <w:multiLevelType w:val="hybridMultilevel"/>
    <w:tmpl w:val="86AE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5E03D8"/>
    <w:multiLevelType w:val="hybridMultilevel"/>
    <w:tmpl w:val="4E626C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3DA1062C"/>
    <w:multiLevelType w:val="hybridMultilevel"/>
    <w:tmpl w:val="119A9DB6"/>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5">
    <w:nsid w:val="3E2A0F02"/>
    <w:multiLevelType w:val="hybridMultilevel"/>
    <w:tmpl w:val="28BACA32"/>
    <w:lvl w:ilvl="0" w:tplc="9BDCE3D4">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16">
    <w:nsid w:val="43CA6ECE"/>
    <w:multiLevelType w:val="hybridMultilevel"/>
    <w:tmpl w:val="BEF0766C"/>
    <w:lvl w:ilvl="0" w:tplc="67082704">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444A05F5"/>
    <w:multiLevelType w:val="hybridMultilevel"/>
    <w:tmpl w:val="4A0E7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469F011C"/>
    <w:multiLevelType w:val="hybridMultilevel"/>
    <w:tmpl w:val="6A001296"/>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9">
    <w:nsid w:val="46C4182A"/>
    <w:multiLevelType w:val="hybridMultilevel"/>
    <w:tmpl w:val="62D85868"/>
    <w:lvl w:ilvl="0" w:tplc="FFFFFFFF">
      <w:start w:val="1"/>
      <w:numFmt w:val="bullet"/>
      <w:lvlText w:val=""/>
      <w:lvlJc w:val="left"/>
      <w:pPr>
        <w:ind w:left="1572"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81E77C8"/>
    <w:multiLevelType w:val="hybridMultilevel"/>
    <w:tmpl w:val="10B09266"/>
    <w:lvl w:ilvl="0" w:tplc="071E5974">
      <w:start w:val="1"/>
      <w:numFmt w:val="bullet"/>
      <w:lvlText w:val=""/>
      <w:lvlJc w:val="left"/>
      <w:pPr>
        <w:ind w:left="1069" w:hanging="360"/>
      </w:pPr>
      <w:rPr>
        <w:rFonts w:ascii="Symbol" w:hAnsi="Symbol" w:hint="default"/>
      </w:rPr>
    </w:lvl>
    <w:lvl w:ilvl="1" w:tplc="08090019" w:tentative="1">
      <w:start w:val="1"/>
      <w:numFmt w:val="bullet"/>
      <w:lvlText w:val="o"/>
      <w:lvlJc w:val="left"/>
      <w:pPr>
        <w:ind w:left="1789" w:hanging="360"/>
      </w:pPr>
      <w:rPr>
        <w:rFonts w:ascii="Courier New" w:hAnsi="Courier New" w:cs="Courier New" w:hint="default"/>
      </w:rPr>
    </w:lvl>
    <w:lvl w:ilvl="2" w:tplc="0809001B" w:tentative="1">
      <w:start w:val="1"/>
      <w:numFmt w:val="bullet"/>
      <w:lvlText w:val=""/>
      <w:lvlJc w:val="left"/>
      <w:pPr>
        <w:ind w:left="2509" w:hanging="360"/>
      </w:pPr>
      <w:rPr>
        <w:rFonts w:ascii="Wingdings" w:hAnsi="Wingdings" w:hint="default"/>
      </w:rPr>
    </w:lvl>
    <w:lvl w:ilvl="3" w:tplc="0809000F" w:tentative="1">
      <w:start w:val="1"/>
      <w:numFmt w:val="bullet"/>
      <w:lvlText w:val=""/>
      <w:lvlJc w:val="left"/>
      <w:pPr>
        <w:ind w:left="3229" w:hanging="360"/>
      </w:pPr>
      <w:rPr>
        <w:rFonts w:ascii="Symbol" w:hAnsi="Symbol" w:hint="default"/>
      </w:rPr>
    </w:lvl>
    <w:lvl w:ilvl="4" w:tplc="08090019" w:tentative="1">
      <w:start w:val="1"/>
      <w:numFmt w:val="bullet"/>
      <w:lvlText w:val="o"/>
      <w:lvlJc w:val="left"/>
      <w:pPr>
        <w:ind w:left="3949" w:hanging="360"/>
      </w:pPr>
      <w:rPr>
        <w:rFonts w:ascii="Courier New" w:hAnsi="Courier New" w:cs="Courier New" w:hint="default"/>
      </w:rPr>
    </w:lvl>
    <w:lvl w:ilvl="5" w:tplc="0809001B" w:tentative="1">
      <w:start w:val="1"/>
      <w:numFmt w:val="bullet"/>
      <w:lvlText w:val=""/>
      <w:lvlJc w:val="left"/>
      <w:pPr>
        <w:ind w:left="4669" w:hanging="360"/>
      </w:pPr>
      <w:rPr>
        <w:rFonts w:ascii="Wingdings" w:hAnsi="Wingdings" w:hint="default"/>
      </w:rPr>
    </w:lvl>
    <w:lvl w:ilvl="6" w:tplc="0809000F" w:tentative="1">
      <w:start w:val="1"/>
      <w:numFmt w:val="bullet"/>
      <w:lvlText w:val=""/>
      <w:lvlJc w:val="left"/>
      <w:pPr>
        <w:ind w:left="5389" w:hanging="360"/>
      </w:pPr>
      <w:rPr>
        <w:rFonts w:ascii="Symbol" w:hAnsi="Symbol" w:hint="default"/>
      </w:rPr>
    </w:lvl>
    <w:lvl w:ilvl="7" w:tplc="08090019" w:tentative="1">
      <w:start w:val="1"/>
      <w:numFmt w:val="bullet"/>
      <w:lvlText w:val="o"/>
      <w:lvlJc w:val="left"/>
      <w:pPr>
        <w:ind w:left="6109" w:hanging="360"/>
      </w:pPr>
      <w:rPr>
        <w:rFonts w:ascii="Courier New" w:hAnsi="Courier New" w:cs="Courier New" w:hint="default"/>
      </w:rPr>
    </w:lvl>
    <w:lvl w:ilvl="8" w:tplc="0809001B" w:tentative="1">
      <w:start w:val="1"/>
      <w:numFmt w:val="bullet"/>
      <w:lvlText w:val=""/>
      <w:lvlJc w:val="left"/>
      <w:pPr>
        <w:ind w:left="6829" w:hanging="360"/>
      </w:pPr>
      <w:rPr>
        <w:rFonts w:ascii="Wingdings" w:hAnsi="Wingdings" w:hint="default"/>
      </w:rPr>
    </w:lvl>
  </w:abstractNum>
  <w:abstractNum w:abstractNumId="21">
    <w:nsid w:val="48260F78"/>
    <w:multiLevelType w:val="hybridMultilevel"/>
    <w:tmpl w:val="26BE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036730A"/>
    <w:multiLevelType w:val="multilevel"/>
    <w:tmpl w:val="1EC2581A"/>
    <w:lvl w:ilvl="0">
      <w:start w:val="1"/>
      <w:numFmt w:val="decimal"/>
      <w:pStyle w:val="NPSPartHeading"/>
      <w:lvlText w:val="PART %1."/>
      <w:lvlJc w:val="left"/>
      <w:pPr>
        <w:tabs>
          <w:tab w:val="num" w:pos="1134"/>
        </w:tabs>
        <w:ind w:left="0" w:firstLine="0"/>
      </w:pPr>
      <w:rPr>
        <w:rFonts w:ascii="Arial (W1)" w:hAnsi="Arial (W1)" w:cs="Times New Roman" w:hint="default"/>
        <w:b/>
        <w:i w:val="0"/>
        <w:sz w:val="24"/>
      </w:rPr>
    </w:lvl>
    <w:lvl w:ilvl="1">
      <w:start w:val="1"/>
      <w:numFmt w:val="decimal"/>
      <w:pStyle w:val="NPSSectionHeading"/>
      <w:lvlText w:val="%1.%2."/>
      <w:lvlJc w:val="left"/>
      <w:pPr>
        <w:tabs>
          <w:tab w:val="num" w:pos="1134"/>
        </w:tabs>
        <w:ind w:left="0" w:firstLine="0"/>
      </w:pPr>
      <w:rPr>
        <w:rFonts w:ascii="Arial" w:hAnsi="Arial" w:cs="Times New Roman" w:hint="default"/>
        <w:b w:val="0"/>
        <w:i w:val="0"/>
        <w:smallCaps/>
        <w:color w:val="auto"/>
        <w:spacing w:val="0"/>
        <w:kern w:val="0"/>
        <w:sz w:val="24"/>
      </w:rPr>
    </w:lvl>
    <w:lvl w:ilvl="2">
      <w:start w:val="1"/>
      <w:numFmt w:val="decimal"/>
      <w:pStyle w:val="NPSBodyText"/>
      <w:lvlText w:val="%1.%2.%3"/>
      <w:lvlJc w:val="left"/>
      <w:pPr>
        <w:tabs>
          <w:tab w:val="num" w:pos="1134"/>
        </w:tabs>
        <w:ind w:left="1134" w:hanging="1134"/>
      </w:pPr>
      <w:rPr>
        <w:rFonts w:cs="Times New Roman" w:hint="default"/>
      </w:rPr>
    </w:lvl>
    <w:lvl w:ilvl="3">
      <w:start w:val="1"/>
      <w:numFmt w:val="decimal"/>
      <w:suff w:val="space"/>
      <w:lvlText w:val="%1.%2.%3.%4."/>
      <w:lvlJc w:val="left"/>
      <w:pPr>
        <w:ind w:left="0" w:firstLine="0"/>
      </w:pPr>
      <w:rPr>
        <w:rFonts w:cs="Times New Roman" w:hint="default"/>
        <w:color w:val="auto"/>
      </w:rPr>
    </w:lvl>
    <w:lvl w:ilvl="4">
      <w:start w:val="1"/>
      <w:numFmt w:val="decimal"/>
      <w:lvlText w:val="%1.%2.%3.%4.%5."/>
      <w:lvlJc w:val="left"/>
      <w:pPr>
        <w:tabs>
          <w:tab w:val="num" w:pos="1440"/>
        </w:tabs>
        <w:ind w:left="0" w:firstLine="0"/>
      </w:pPr>
      <w:rPr>
        <w:rFonts w:cs="Times New Roman" w:hint="default"/>
      </w:rPr>
    </w:lvl>
    <w:lvl w:ilvl="5">
      <w:start w:val="1"/>
      <w:numFmt w:val="decimal"/>
      <w:lvlText w:val="%1.%2.%3.%4.%5.%6."/>
      <w:lvlJc w:val="left"/>
      <w:pPr>
        <w:tabs>
          <w:tab w:val="num" w:pos="1800"/>
        </w:tabs>
        <w:ind w:left="0" w:firstLine="0"/>
      </w:pPr>
      <w:rPr>
        <w:rFonts w:cs="Times New Roman" w:hint="default"/>
      </w:rPr>
    </w:lvl>
    <w:lvl w:ilvl="6">
      <w:start w:val="1"/>
      <w:numFmt w:val="decimal"/>
      <w:lvlText w:val="%1.%2.%3.%4.%5.%6.%7."/>
      <w:lvlJc w:val="left"/>
      <w:pPr>
        <w:tabs>
          <w:tab w:val="num" w:pos="2520"/>
        </w:tabs>
        <w:ind w:left="0" w:firstLine="0"/>
      </w:pPr>
      <w:rPr>
        <w:rFonts w:cs="Times New Roman" w:hint="default"/>
      </w:rPr>
    </w:lvl>
    <w:lvl w:ilvl="7">
      <w:start w:val="1"/>
      <w:numFmt w:val="decimal"/>
      <w:lvlText w:val="%1.%2.%3.%4.%5.%6.%7.%8."/>
      <w:lvlJc w:val="left"/>
      <w:pPr>
        <w:tabs>
          <w:tab w:val="num" w:pos="2880"/>
        </w:tabs>
        <w:ind w:left="0" w:firstLine="0"/>
      </w:pPr>
      <w:rPr>
        <w:rFonts w:cs="Times New Roman" w:hint="default"/>
      </w:rPr>
    </w:lvl>
    <w:lvl w:ilvl="8">
      <w:start w:val="1"/>
      <w:numFmt w:val="decimal"/>
      <w:lvlText w:val="%1.%2.%3.%4.%5.%6.%7.%8.%9."/>
      <w:lvlJc w:val="left"/>
      <w:pPr>
        <w:tabs>
          <w:tab w:val="num" w:pos="3600"/>
        </w:tabs>
        <w:ind w:left="0" w:firstLine="0"/>
      </w:pPr>
      <w:rPr>
        <w:rFonts w:cs="Times New Roman" w:hint="default"/>
      </w:rPr>
    </w:lvl>
  </w:abstractNum>
  <w:abstractNum w:abstractNumId="23">
    <w:nsid w:val="506A3395"/>
    <w:multiLevelType w:val="hybridMultilevel"/>
    <w:tmpl w:val="481CD05C"/>
    <w:lvl w:ilvl="0" w:tplc="27CAEBC4">
      <w:start w:val="1"/>
      <w:numFmt w:val="bullet"/>
      <w:lvlText w:val=""/>
      <w:lvlJc w:val="left"/>
      <w:pPr>
        <w:ind w:left="720" w:hanging="360"/>
      </w:pPr>
      <w:rPr>
        <w:rFonts w:ascii="Symbol" w:hAnsi="Symbol" w:hint="default"/>
      </w:rPr>
    </w:lvl>
    <w:lvl w:ilvl="1" w:tplc="682CCFFE" w:tentative="1">
      <w:start w:val="1"/>
      <w:numFmt w:val="bullet"/>
      <w:lvlText w:val="o"/>
      <w:lvlJc w:val="left"/>
      <w:pPr>
        <w:ind w:left="1440" w:hanging="360"/>
      </w:pPr>
      <w:rPr>
        <w:rFonts w:ascii="Courier New" w:hAnsi="Courier New" w:hint="default"/>
      </w:rPr>
    </w:lvl>
    <w:lvl w:ilvl="2" w:tplc="CBC26246" w:tentative="1">
      <w:start w:val="1"/>
      <w:numFmt w:val="bullet"/>
      <w:lvlText w:val=""/>
      <w:lvlJc w:val="left"/>
      <w:pPr>
        <w:ind w:left="2160" w:hanging="360"/>
      </w:pPr>
      <w:rPr>
        <w:rFonts w:ascii="Wingdings" w:hAnsi="Wingdings" w:hint="default"/>
      </w:rPr>
    </w:lvl>
    <w:lvl w:ilvl="3" w:tplc="A0264ED8" w:tentative="1">
      <w:start w:val="1"/>
      <w:numFmt w:val="bullet"/>
      <w:lvlText w:val=""/>
      <w:lvlJc w:val="left"/>
      <w:pPr>
        <w:ind w:left="2880" w:hanging="360"/>
      </w:pPr>
      <w:rPr>
        <w:rFonts w:ascii="Symbol" w:hAnsi="Symbol" w:hint="default"/>
      </w:rPr>
    </w:lvl>
    <w:lvl w:ilvl="4" w:tplc="10480808" w:tentative="1">
      <w:start w:val="1"/>
      <w:numFmt w:val="bullet"/>
      <w:lvlText w:val="o"/>
      <w:lvlJc w:val="left"/>
      <w:pPr>
        <w:ind w:left="3600" w:hanging="360"/>
      </w:pPr>
      <w:rPr>
        <w:rFonts w:ascii="Courier New" w:hAnsi="Courier New" w:hint="default"/>
      </w:rPr>
    </w:lvl>
    <w:lvl w:ilvl="5" w:tplc="7F521164" w:tentative="1">
      <w:start w:val="1"/>
      <w:numFmt w:val="bullet"/>
      <w:lvlText w:val=""/>
      <w:lvlJc w:val="left"/>
      <w:pPr>
        <w:ind w:left="4320" w:hanging="360"/>
      </w:pPr>
      <w:rPr>
        <w:rFonts w:ascii="Wingdings" w:hAnsi="Wingdings" w:hint="default"/>
      </w:rPr>
    </w:lvl>
    <w:lvl w:ilvl="6" w:tplc="9CF0394A" w:tentative="1">
      <w:start w:val="1"/>
      <w:numFmt w:val="bullet"/>
      <w:lvlText w:val=""/>
      <w:lvlJc w:val="left"/>
      <w:pPr>
        <w:ind w:left="5040" w:hanging="360"/>
      </w:pPr>
      <w:rPr>
        <w:rFonts w:ascii="Symbol" w:hAnsi="Symbol" w:hint="default"/>
      </w:rPr>
    </w:lvl>
    <w:lvl w:ilvl="7" w:tplc="40AC5CFA" w:tentative="1">
      <w:start w:val="1"/>
      <w:numFmt w:val="bullet"/>
      <w:lvlText w:val="o"/>
      <w:lvlJc w:val="left"/>
      <w:pPr>
        <w:ind w:left="5760" w:hanging="360"/>
      </w:pPr>
      <w:rPr>
        <w:rFonts w:ascii="Courier New" w:hAnsi="Courier New" w:hint="default"/>
      </w:rPr>
    </w:lvl>
    <w:lvl w:ilvl="8" w:tplc="35848B3A" w:tentative="1">
      <w:start w:val="1"/>
      <w:numFmt w:val="bullet"/>
      <w:lvlText w:val=""/>
      <w:lvlJc w:val="left"/>
      <w:pPr>
        <w:ind w:left="6480" w:hanging="360"/>
      </w:pPr>
      <w:rPr>
        <w:rFonts w:ascii="Wingdings" w:hAnsi="Wingdings" w:hint="default"/>
      </w:rPr>
    </w:lvl>
  </w:abstractNum>
  <w:abstractNum w:abstractNumId="24">
    <w:nsid w:val="515A356D"/>
    <w:multiLevelType w:val="hybridMultilevel"/>
    <w:tmpl w:val="C6C63B28"/>
    <w:lvl w:ilvl="0" w:tplc="FFFFFFFF">
      <w:start w:val="1"/>
      <w:numFmt w:val="bullet"/>
      <w:lvlText w:val=""/>
      <w:lvlJc w:val="left"/>
      <w:pPr>
        <w:ind w:left="2580" w:hanging="360"/>
      </w:pPr>
      <w:rPr>
        <w:rFonts w:ascii="Symbol" w:hAnsi="Symbol" w:hint="default"/>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5">
    <w:nsid w:val="52862B9E"/>
    <w:multiLevelType w:val="hybridMultilevel"/>
    <w:tmpl w:val="3B047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676DCC"/>
    <w:multiLevelType w:val="hybridMultilevel"/>
    <w:tmpl w:val="B87C12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78E26F6"/>
    <w:multiLevelType w:val="hybridMultilevel"/>
    <w:tmpl w:val="B2F88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F81991"/>
    <w:multiLevelType w:val="hybridMultilevel"/>
    <w:tmpl w:val="FC70E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63AE4B41"/>
    <w:multiLevelType w:val="hybridMultilevel"/>
    <w:tmpl w:val="62F81A7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DA4FB0"/>
    <w:multiLevelType w:val="hybridMultilevel"/>
    <w:tmpl w:val="AF8AB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5566C33"/>
    <w:multiLevelType w:val="hybridMultilevel"/>
    <w:tmpl w:val="3DC878C0"/>
    <w:lvl w:ilvl="0" w:tplc="FFFFFFFF">
      <w:start w:val="1"/>
      <w:numFmt w:val="bullet"/>
      <w:lvlText w:val=""/>
      <w:lvlJc w:val="left"/>
      <w:pPr>
        <w:ind w:left="1572"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6BA271AF"/>
    <w:multiLevelType w:val="hybridMultilevel"/>
    <w:tmpl w:val="520AA9A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3">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F427483"/>
    <w:multiLevelType w:val="hybridMultilevel"/>
    <w:tmpl w:val="FA08928A"/>
    <w:lvl w:ilvl="0" w:tplc="3120F29E">
      <w:start w:val="1"/>
      <w:numFmt w:val="lowerLetter"/>
      <w:lvlText w:val="(%1)"/>
      <w:lvlJc w:val="left"/>
      <w:pPr>
        <w:ind w:left="1484" w:hanging="360"/>
      </w:pPr>
      <w:rPr>
        <w:rFonts w:hint="default"/>
      </w:rPr>
    </w:lvl>
    <w:lvl w:ilvl="1" w:tplc="5ABE8E3C">
      <w:start w:val="1"/>
      <w:numFmt w:val="lowerLetter"/>
      <w:lvlText w:val="%2."/>
      <w:lvlJc w:val="left"/>
      <w:pPr>
        <w:ind w:left="2204" w:hanging="360"/>
      </w:pPr>
    </w:lvl>
    <w:lvl w:ilvl="2" w:tplc="0980BF78" w:tentative="1">
      <w:start w:val="1"/>
      <w:numFmt w:val="lowerRoman"/>
      <w:lvlText w:val="%3."/>
      <w:lvlJc w:val="right"/>
      <w:pPr>
        <w:ind w:left="2924" w:hanging="180"/>
      </w:pPr>
    </w:lvl>
    <w:lvl w:ilvl="3" w:tplc="017A1D00" w:tentative="1">
      <w:start w:val="1"/>
      <w:numFmt w:val="decimal"/>
      <w:lvlText w:val="%4."/>
      <w:lvlJc w:val="left"/>
      <w:pPr>
        <w:ind w:left="3644" w:hanging="360"/>
      </w:pPr>
    </w:lvl>
    <w:lvl w:ilvl="4" w:tplc="F8EC367E" w:tentative="1">
      <w:start w:val="1"/>
      <w:numFmt w:val="lowerLetter"/>
      <w:lvlText w:val="%5."/>
      <w:lvlJc w:val="left"/>
      <w:pPr>
        <w:ind w:left="4364" w:hanging="360"/>
      </w:pPr>
    </w:lvl>
    <w:lvl w:ilvl="5" w:tplc="E1C6FCE0" w:tentative="1">
      <w:start w:val="1"/>
      <w:numFmt w:val="lowerRoman"/>
      <w:lvlText w:val="%6."/>
      <w:lvlJc w:val="right"/>
      <w:pPr>
        <w:ind w:left="5084" w:hanging="180"/>
      </w:pPr>
    </w:lvl>
    <w:lvl w:ilvl="6" w:tplc="BDA62E28" w:tentative="1">
      <w:start w:val="1"/>
      <w:numFmt w:val="decimal"/>
      <w:lvlText w:val="%7."/>
      <w:lvlJc w:val="left"/>
      <w:pPr>
        <w:ind w:left="5804" w:hanging="360"/>
      </w:pPr>
    </w:lvl>
    <w:lvl w:ilvl="7" w:tplc="2B7CB296" w:tentative="1">
      <w:start w:val="1"/>
      <w:numFmt w:val="lowerLetter"/>
      <w:lvlText w:val="%8."/>
      <w:lvlJc w:val="left"/>
      <w:pPr>
        <w:ind w:left="6524" w:hanging="360"/>
      </w:pPr>
    </w:lvl>
    <w:lvl w:ilvl="8" w:tplc="D6F4024E" w:tentative="1">
      <w:start w:val="1"/>
      <w:numFmt w:val="lowerRoman"/>
      <w:lvlText w:val="%9."/>
      <w:lvlJc w:val="right"/>
      <w:pPr>
        <w:ind w:left="7244" w:hanging="180"/>
      </w:pPr>
    </w:lvl>
  </w:abstractNum>
  <w:abstractNum w:abstractNumId="35">
    <w:nsid w:val="73210CEF"/>
    <w:multiLevelType w:val="hybridMultilevel"/>
    <w:tmpl w:val="D176460C"/>
    <w:lvl w:ilvl="0" w:tplc="FFFFFFFF">
      <w:start w:val="1"/>
      <w:numFmt w:val="bullet"/>
      <w:lvlText w:val=""/>
      <w:lvlJc w:val="left"/>
      <w:pPr>
        <w:ind w:left="2646"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6">
    <w:nsid w:val="73F30BB1"/>
    <w:multiLevelType w:val="hybridMultilevel"/>
    <w:tmpl w:val="49DE4F4C"/>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5CA136F"/>
    <w:multiLevelType w:val="hybridMultilevel"/>
    <w:tmpl w:val="BD8AD63C"/>
    <w:lvl w:ilvl="0" w:tplc="B7C6C80A">
      <w:start w:val="1"/>
      <w:numFmt w:val="bullet"/>
      <w:pStyle w:val="DECCInsidebullets"/>
      <w:lvlText w:val=""/>
      <w:lvlJc w:val="left"/>
      <w:pPr>
        <w:tabs>
          <w:tab w:val="num" w:pos="360"/>
        </w:tabs>
        <w:ind w:left="360" w:hanging="360"/>
      </w:pPr>
      <w:rPr>
        <w:rFonts w:ascii="Wingdings 2" w:hAnsi="Wingdings 2" w:hint="default"/>
        <w:color w:val="FFFFFF"/>
      </w:rPr>
    </w:lvl>
    <w:lvl w:ilvl="1" w:tplc="A2B0A7F2" w:tentative="1">
      <w:start w:val="1"/>
      <w:numFmt w:val="bullet"/>
      <w:lvlText w:val="o"/>
      <w:lvlJc w:val="left"/>
      <w:pPr>
        <w:tabs>
          <w:tab w:val="num" w:pos="1080"/>
        </w:tabs>
        <w:ind w:left="1080" w:hanging="360"/>
      </w:pPr>
      <w:rPr>
        <w:rFonts w:ascii="Courier New" w:hAnsi="Courier New" w:cs="Courier New" w:hint="default"/>
      </w:rPr>
    </w:lvl>
    <w:lvl w:ilvl="2" w:tplc="95D22D94" w:tentative="1">
      <w:start w:val="1"/>
      <w:numFmt w:val="bullet"/>
      <w:lvlText w:val=""/>
      <w:lvlJc w:val="left"/>
      <w:pPr>
        <w:tabs>
          <w:tab w:val="num" w:pos="1800"/>
        </w:tabs>
        <w:ind w:left="1800" w:hanging="360"/>
      </w:pPr>
      <w:rPr>
        <w:rFonts w:ascii="Wingdings" w:hAnsi="Wingdings" w:hint="default"/>
      </w:rPr>
    </w:lvl>
    <w:lvl w:ilvl="3" w:tplc="D7882888" w:tentative="1">
      <w:start w:val="1"/>
      <w:numFmt w:val="bullet"/>
      <w:lvlText w:val=""/>
      <w:lvlJc w:val="left"/>
      <w:pPr>
        <w:tabs>
          <w:tab w:val="num" w:pos="2520"/>
        </w:tabs>
        <w:ind w:left="2520" w:hanging="360"/>
      </w:pPr>
      <w:rPr>
        <w:rFonts w:ascii="Symbol" w:hAnsi="Symbol" w:hint="default"/>
      </w:rPr>
    </w:lvl>
    <w:lvl w:ilvl="4" w:tplc="3D1AA16E" w:tentative="1">
      <w:start w:val="1"/>
      <w:numFmt w:val="bullet"/>
      <w:lvlText w:val="o"/>
      <w:lvlJc w:val="left"/>
      <w:pPr>
        <w:tabs>
          <w:tab w:val="num" w:pos="3240"/>
        </w:tabs>
        <w:ind w:left="3240" w:hanging="360"/>
      </w:pPr>
      <w:rPr>
        <w:rFonts w:ascii="Courier New" w:hAnsi="Courier New" w:cs="Courier New" w:hint="default"/>
      </w:rPr>
    </w:lvl>
    <w:lvl w:ilvl="5" w:tplc="9E8866C2" w:tentative="1">
      <w:start w:val="1"/>
      <w:numFmt w:val="bullet"/>
      <w:lvlText w:val=""/>
      <w:lvlJc w:val="left"/>
      <w:pPr>
        <w:tabs>
          <w:tab w:val="num" w:pos="3960"/>
        </w:tabs>
        <w:ind w:left="3960" w:hanging="360"/>
      </w:pPr>
      <w:rPr>
        <w:rFonts w:ascii="Wingdings" w:hAnsi="Wingdings" w:hint="default"/>
      </w:rPr>
    </w:lvl>
    <w:lvl w:ilvl="6" w:tplc="7C7AB2CC" w:tentative="1">
      <w:start w:val="1"/>
      <w:numFmt w:val="bullet"/>
      <w:lvlText w:val=""/>
      <w:lvlJc w:val="left"/>
      <w:pPr>
        <w:tabs>
          <w:tab w:val="num" w:pos="4680"/>
        </w:tabs>
        <w:ind w:left="4680" w:hanging="360"/>
      </w:pPr>
      <w:rPr>
        <w:rFonts w:ascii="Symbol" w:hAnsi="Symbol" w:hint="default"/>
      </w:rPr>
    </w:lvl>
    <w:lvl w:ilvl="7" w:tplc="DDB4E20A" w:tentative="1">
      <w:start w:val="1"/>
      <w:numFmt w:val="bullet"/>
      <w:lvlText w:val="o"/>
      <w:lvlJc w:val="left"/>
      <w:pPr>
        <w:tabs>
          <w:tab w:val="num" w:pos="5400"/>
        </w:tabs>
        <w:ind w:left="5400" w:hanging="360"/>
      </w:pPr>
      <w:rPr>
        <w:rFonts w:ascii="Courier New" w:hAnsi="Courier New" w:cs="Courier New" w:hint="default"/>
      </w:rPr>
    </w:lvl>
    <w:lvl w:ilvl="8" w:tplc="44420178"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3"/>
  </w:num>
  <w:num w:numId="3">
    <w:abstractNumId w:val="5"/>
  </w:num>
  <w:num w:numId="4">
    <w:abstractNumId w:val="33"/>
  </w:num>
  <w:num w:numId="5">
    <w:abstractNumId w:val="1"/>
  </w:num>
  <w:num w:numId="6">
    <w:abstractNumId w:val="2"/>
  </w:num>
  <w:num w:numId="7">
    <w:abstractNumId w:val="14"/>
  </w:num>
  <w:num w:numId="8">
    <w:abstractNumId w:val="21"/>
  </w:num>
  <w:num w:numId="9">
    <w:abstractNumId w:val="22"/>
  </w:num>
  <w:num w:numId="10">
    <w:abstractNumId w:val="20"/>
  </w:num>
  <w:num w:numId="11">
    <w:abstractNumId w:val="27"/>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3"/>
  </w:num>
  <w:num w:numId="17">
    <w:abstractNumId w:val="16"/>
  </w:num>
  <w:num w:numId="18">
    <w:abstractNumId w:val="10"/>
  </w:num>
  <w:num w:numId="19">
    <w:abstractNumId w:val="0"/>
  </w:num>
  <w:num w:numId="20">
    <w:abstractNumId w:val="15"/>
  </w:num>
  <w:num w:numId="21">
    <w:abstractNumId w:val="7"/>
  </w:num>
  <w:num w:numId="22">
    <w:abstractNumId w:val="16"/>
    <w:lvlOverride w:ilvl="0">
      <w:startOverride w:val="1"/>
    </w:lvlOverride>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4"/>
  </w:num>
  <w:num w:numId="28">
    <w:abstractNumId w:val="28"/>
  </w:num>
  <w:num w:numId="29">
    <w:abstractNumId w:val="13"/>
  </w:num>
  <w:num w:numId="30">
    <w:abstractNumId w:val="30"/>
  </w:num>
  <w:num w:numId="31">
    <w:abstractNumId w:val="16"/>
    <w:lvlOverride w:ilvl="0">
      <w:startOverride w:val="1"/>
    </w:lvlOverride>
  </w:num>
  <w:num w:numId="32">
    <w:abstractNumId w:val="32"/>
  </w:num>
  <w:num w:numId="33">
    <w:abstractNumId w:val="6"/>
  </w:num>
  <w:num w:numId="34">
    <w:abstractNumId w:val="31"/>
  </w:num>
  <w:num w:numId="35">
    <w:abstractNumId w:val="19"/>
  </w:num>
  <w:num w:numId="36">
    <w:abstractNumId w:val="35"/>
  </w:num>
  <w:num w:numId="37">
    <w:abstractNumId w:val="24"/>
  </w:num>
  <w:num w:numId="38">
    <w:abstractNumId w:val="18"/>
  </w:num>
  <w:num w:numId="39">
    <w:abstractNumId w:val="25"/>
  </w:num>
  <w:num w:numId="40">
    <w:abstractNumId w:val="8"/>
  </w:num>
  <w:num w:numId="41">
    <w:abstractNumId w:val="11"/>
  </w:num>
  <w:num w:numId="42">
    <w:abstractNumId w:val="17"/>
  </w:num>
  <w:num w:numId="43">
    <w:abstractNumId w:val="29"/>
  </w:num>
  <w:num w:numId="44">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2060">
      <o:colormru v:ext="edit" colors="#009ee3,#aa0721,#06c,#00aeef,#9a9b00,#009ee0,#f08015,#742f89"/>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950"/>
    <w:rsid w:val="0000039A"/>
    <w:rsid w:val="000007E6"/>
    <w:rsid w:val="000021C3"/>
    <w:rsid w:val="00003BD0"/>
    <w:rsid w:val="00003E28"/>
    <w:rsid w:val="00004045"/>
    <w:rsid w:val="00004950"/>
    <w:rsid w:val="00005832"/>
    <w:rsid w:val="00005AC4"/>
    <w:rsid w:val="00005F03"/>
    <w:rsid w:val="00006159"/>
    <w:rsid w:val="0000618F"/>
    <w:rsid w:val="00007573"/>
    <w:rsid w:val="00007CF2"/>
    <w:rsid w:val="00010CB6"/>
    <w:rsid w:val="00010E64"/>
    <w:rsid w:val="000135CA"/>
    <w:rsid w:val="000158F9"/>
    <w:rsid w:val="00015C4E"/>
    <w:rsid w:val="00017B3A"/>
    <w:rsid w:val="00022837"/>
    <w:rsid w:val="00024094"/>
    <w:rsid w:val="00024217"/>
    <w:rsid w:val="000248AA"/>
    <w:rsid w:val="00025F2E"/>
    <w:rsid w:val="00026E1E"/>
    <w:rsid w:val="00026F53"/>
    <w:rsid w:val="00027BA5"/>
    <w:rsid w:val="0003034C"/>
    <w:rsid w:val="00030A7C"/>
    <w:rsid w:val="00030F68"/>
    <w:rsid w:val="00031C6C"/>
    <w:rsid w:val="0003211C"/>
    <w:rsid w:val="00032EC6"/>
    <w:rsid w:val="00037D5E"/>
    <w:rsid w:val="00040617"/>
    <w:rsid w:val="00041AEE"/>
    <w:rsid w:val="00042033"/>
    <w:rsid w:val="0004377D"/>
    <w:rsid w:val="00043EBC"/>
    <w:rsid w:val="000458A4"/>
    <w:rsid w:val="00047477"/>
    <w:rsid w:val="0005012F"/>
    <w:rsid w:val="00050EDF"/>
    <w:rsid w:val="00052976"/>
    <w:rsid w:val="00060186"/>
    <w:rsid w:val="00060738"/>
    <w:rsid w:val="0006175F"/>
    <w:rsid w:val="000617DE"/>
    <w:rsid w:val="000620C7"/>
    <w:rsid w:val="00062ACD"/>
    <w:rsid w:val="00062AF2"/>
    <w:rsid w:val="000636C4"/>
    <w:rsid w:val="00063823"/>
    <w:rsid w:val="000663AB"/>
    <w:rsid w:val="0006649E"/>
    <w:rsid w:val="00067B15"/>
    <w:rsid w:val="0007059F"/>
    <w:rsid w:val="000717AD"/>
    <w:rsid w:val="00071852"/>
    <w:rsid w:val="000722B9"/>
    <w:rsid w:val="0007255B"/>
    <w:rsid w:val="00072F2D"/>
    <w:rsid w:val="000736F4"/>
    <w:rsid w:val="000753E5"/>
    <w:rsid w:val="00077A72"/>
    <w:rsid w:val="00077F76"/>
    <w:rsid w:val="00081BAB"/>
    <w:rsid w:val="000825A0"/>
    <w:rsid w:val="000827E6"/>
    <w:rsid w:val="00082A78"/>
    <w:rsid w:val="00083782"/>
    <w:rsid w:val="00085CC9"/>
    <w:rsid w:val="00090950"/>
    <w:rsid w:val="00091644"/>
    <w:rsid w:val="00091DE9"/>
    <w:rsid w:val="00094B29"/>
    <w:rsid w:val="00094F70"/>
    <w:rsid w:val="00095B10"/>
    <w:rsid w:val="00096FAD"/>
    <w:rsid w:val="000975C7"/>
    <w:rsid w:val="000A1F41"/>
    <w:rsid w:val="000A32F5"/>
    <w:rsid w:val="000A51C1"/>
    <w:rsid w:val="000A5643"/>
    <w:rsid w:val="000A69CB"/>
    <w:rsid w:val="000A7234"/>
    <w:rsid w:val="000A733D"/>
    <w:rsid w:val="000B02E5"/>
    <w:rsid w:val="000B0984"/>
    <w:rsid w:val="000B3232"/>
    <w:rsid w:val="000B3496"/>
    <w:rsid w:val="000B3ABF"/>
    <w:rsid w:val="000B6352"/>
    <w:rsid w:val="000B797D"/>
    <w:rsid w:val="000B7B04"/>
    <w:rsid w:val="000C1584"/>
    <w:rsid w:val="000C1F66"/>
    <w:rsid w:val="000C2643"/>
    <w:rsid w:val="000C334A"/>
    <w:rsid w:val="000C38F6"/>
    <w:rsid w:val="000C7309"/>
    <w:rsid w:val="000C7BEB"/>
    <w:rsid w:val="000D23FA"/>
    <w:rsid w:val="000D28E5"/>
    <w:rsid w:val="000D2F65"/>
    <w:rsid w:val="000D31AB"/>
    <w:rsid w:val="000D361B"/>
    <w:rsid w:val="000D38B9"/>
    <w:rsid w:val="000D5911"/>
    <w:rsid w:val="000E0DCA"/>
    <w:rsid w:val="000E134D"/>
    <w:rsid w:val="000E1F17"/>
    <w:rsid w:val="000E2C52"/>
    <w:rsid w:val="000E426E"/>
    <w:rsid w:val="000E50CC"/>
    <w:rsid w:val="000E5617"/>
    <w:rsid w:val="000E6169"/>
    <w:rsid w:val="000E708A"/>
    <w:rsid w:val="000E7E77"/>
    <w:rsid w:val="000F0D9E"/>
    <w:rsid w:val="000F20C3"/>
    <w:rsid w:val="000F2A55"/>
    <w:rsid w:val="000F3D2A"/>
    <w:rsid w:val="000F43A2"/>
    <w:rsid w:val="000F6161"/>
    <w:rsid w:val="00100ABA"/>
    <w:rsid w:val="0010236F"/>
    <w:rsid w:val="00102DEA"/>
    <w:rsid w:val="00103889"/>
    <w:rsid w:val="001048D5"/>
    <w:rsid w:val="00105B4D"/>
    <w:rsid w:val="001100D6"/>
    <w:rsid w:val="00112DDF"/>
    <w:rsid w:val="00113749"/>
    <w:rsid w:val="001139C3"/>
    <w:rsid w:val="00115E1A"/>
    <w:rsid w:val="00116888"/>
    <w:rsid w:val="00117619"/>
    <w:rsid w:val="001179B3"/>
    <w:rsid w:val="001208E0"/>
    <w:rsid w:val="001219BF"/>
    <w:rsid w:val="00121FED"/>
    <w:rsid w:val="00124BDC"/>
    <w:rsid w:val="00126D37"/>
    <w:rsid w:val="00126E00"/>
    <w:rsid w:val="0013088F"/>
    <w:rsid w:val="00130CEB"/>
    <w:rsid w:val="00132537"/>
    <w:rsid w:val="00132BC8"/>
    <w:rsid w:val="001343A8"/>
    <w:rsid w:val="00134ED9"/>
    <w:rsid w:val="00135206"/>
    <w:rsid w:val="00135960"/>
    <w:rsid w:val="001369F4"/>
    <w:rsid w:val="00136E65"/>
    <w:rsid w:val="0014152D"/>
    <w:rsid w:val="00141667"/>
    <w:rsid w:val="00141771"/>
    <w:rsid w:val="00142CAA"/>
    <w:rsid w:val="00143047"/>
    <w:rsid w:val="001430E1"/>
    <w:rsid w:val="00144D32"/>
    <w:rsid w:val="00145016"/>
    <w:rsid w:val="00145101"/>
    <w:rsid w:val="0014577B"/>
    <w:rsid w:val="00145AA1"/>
    <w:rsid w:val="00145F9B"/>
    <w:rsid w:val="0014611D"/>
    <w:rsid w:val="0014731E"/>
    <w:rsid w:val="001479F4"/>
    <w:rsid w:val="0015126F"/>
    <w:rsid w:val="001516A7"/>
    <w:rsid w:val="00152E94"/>
    <w:rsid w:val="00152EAF"/>
    <w:rsid w:val="00153E0F"/>
    <w:rsid w:val="00155371"/>
    <w:rsid w:val="0015588D"/>
    <w:rsid w:val="00155A35"/>
    <w:rsid w:val="00155A53"/>
    <w:rsid w:val="00155A9C"/>
    <w:rsid w:val="001567E5"/>
    <w:rsid w:val="0015683C"/>
    <w:rsid w:val="00156AD8"/>
    <w:rsid w:val="00156E3E"/>
    <w:rsid w:val="00157FCE"/>
    <w:rsid w:val="00161B9D"/>
    <w:rsid w:val="00161C3F"/>
    <w:rsid w:val="0016495E"/>
    <w:rsid w:val="00165774"/>
    <w:rsid w:val="00165849"/>
    <w:rsid w:val="0017134E"/>
    <w:rsid w:val="00171F77"/>
    <w:rsid w:val="001726DF"/>
    <w:rsid w:val="001727C9"/>
    <w:rsid w:val="001741A6"/>
    <w:rsid w:val="001761BE"/>
    <w:rsid w:val="0018188B"/>
    <w:rsid w:val="001871A6"/>
    <w:rsid w:val="00187DB6"/>
    <w:rsid w:val="0019081F"/>
    <w:rsid w:val="00191B54"/>
    <w:rsid w:val="001926CF"/>
    <w:rsid w:val="00193033"/>
    <w:rsid w:val="001932F2"/>
    <w:rsid w:val="001946F0"/>
    <w:rsid w:val="00194925"/>
    <w:rsid w:val="0019579B"/>
    <w:rsid w:val="00195CC0"/>
    <w:rsid w:val="00196549"/>
    <w:rsid w:val="001971A3"/>
    <w:rsid w:val="001974D4"/>
    <w:rsid w:val="00197CBA"/>
    <w:rsid w:val="001A075C"/>
    <w:rsid w:val="001A2131"/>
    <w:rsid w:val="001A3FE6"/>
    <w:rsid w:val="001A4F35"/>
    <w:rsid w:val="001A5BB3"/>
    <w:rsid w:val="001A5C42"/>
    <w:rsid w:val="001A7BC7"/>
    <w:rsid w:val="001A7BC8"/>
    <w:rsid w:val="001B0FD2"/>
    <w:rsid w:val="001B1032"/>
    <w:rsid w:val="001B25CE"/>
    <w:rsid w:val="001B42D7"/>
    <w:rsid w:val="001C1FE5"/>
    <w:rsid w:val="001C20B3"/>
    <w:rsid w:val="001C25CE"/>
    <w:rsid w:val="001C3B01"/>
    <w:rsid w:val="001C7CE0"/>
    <w:rsid w:val="001C7FE1"/>
    <w:rsid w:val="001D311F"/>
    <w:rsid w:val="001D3275"/>
    <w:rsid w:val="001D35A0"/>
    <w:rsid w:val="001D3C33"/>
    <w:rsid w:val="001D41E6"/>
    <w:rsid w:val="001D737D"/>
    <w:rsid w:val="001E0569"/>
    <w:rsid w:val="001E1293"/>
    <w:rsid w:val="001E1370"/>
    <w:rsid w:val="001E144F"/>
    <w:rsid w:val="001E1ED0"/>
    <w:rsid w:val="001E27E7"/>
    <w:rsid w:val="001E28D3"/>
    <w:rsid w:val="001E2E55"/>
    <w:rsid w:val="001E3C61"/>
    <w:rsid w:val="001E40A2"/>
    <w:rsid w:val="001E768A"/>
    <w:rsid w:val="001E7F1B"/>
    <w:rsid w:val="001F0E91"/>
    <w:rsid w:val="001F19BF"/>
    <w:rsid w:val="001F1A23"/>
    <w:rsid w:val="001F1B1A"/>
    <w:rsid w:val="001F446B"/>
    <w:rsid w:val="001F4831"/>
    <w:rsid w:val="001F4BAA"/>
    <w:rsid w:val="001F5C31"/>
    <w:rsid w:val="001F5E43"/>
    <w:rsid w:val="001F6722"/>
    <w:rsid w:val="0020077E"/>
    <w:rsid w:val="00201B3A"/>
    <w:rsid w:val="00201B9C"/>
    <w:rsid w:val="00202C1D"/>
    <w:rsid w:val="0020316F"/>
    <w:rsid w:val="00204951"/>
    <w:rsid w:val="0020604B"/>
    <w:rsid w:val="0020783B"/>
    <w:rsid w:val="00207C5E"/>
    <w:rsid w:val="00210F13"/>
    <w:rsid w:val="00212578"/>
    <w:rsid w:val="00215876"/>
    <w:rsid w:val="00215AE6"/>
    <w:rsid w:val="00215C8A"/>
    <w:rsid w:val="0021686B"/>
    <w:rsid w:val="00216F14"/>
    <w:rsid w:val="00217EDF"/>
    <w:rsid w:val="002202D6"/>
    <w:rsid w:val="0022142C"/>
    <w:rsid w:val="00221A5E"/>
    <w:rsid w:val="0022209D"/>
    <w:rsid w:val="002236A9"/>
    <w:rsid w:val="002239FE"/>
    <w:rsid w:val="00223D30"/>
    <w:rsid w:val="00224610"/>
    <w:rsid w:val="0022474C"/>
    <w:rsid w:val="00224C7F"/>
    <w:rsid w:val="002262C2"/>
    <w:rsid w:val="00226F71"/>
    <w:rsid w:val="002316EB"/>
    <w:rsid w:val="00231E34"/>
    <w:rsid w:val="0023210D"/>
    <w:rsid w:val="00232413"/>
    <w:rsid w:val="00232B67"/>
    <w:rsid w:val="00232C51"/>
    <w:rsid w:val="0023304D"/>
    <w:rsid w:val="00233239"/>
    <w:rsid w:val="00235FF6"/>
    <w:rsid w:val="0023691F"/>
    <w:rsid w:val="00236C9C"/>
    <w:rsid w:val="002405F5"/>
    <w:rsid w:val="0024063F"/>
    <w:rsid w:val="0024204F"/>
    <w:rsid w:val="002420BC"/>
    <w:rsid w:val="00242C47"/>
    <w:rsid w:val="00244FC1"/>
    <w:rsid w:val="002451F0"/>
    <w:rsid w:val="0024542C"/>
    <w:rsid w:val="00246CB3"/>
    <w:rsid w:val="0025179E"/>
    <w:rsid w:val="00251F5F"/>
    <w:rsid w:val="00252AED"/>
    <w:rsid w:val="002543A8"/>
    <w:rsid w:val="002553F6"/>
    <w:rsid w:val="002569A9"/>
    <w:rsid w:val="002616D9"/>
    <w:rsid w:val="0026463D"/>
    <w:rsid w:val="00267D4C"/>
    <w:rsid w:val="00272134"/>
    <w:rsid w:val="00273593"/>
    <w:rsid w:val="00275279"/>
    <w:rsid w:val="00276BDF"/>
    <w:rsid w:val="00282708"/>
    <w:rsid w:val="00284F4D"/>
    <w:rsid w:val="00285FFA"/>
    <w:rsid w:val="002860A0"/>
    <w:rsid w:val="0028755F"/>
    <w:rsid w:val="002918E1"/>
    <w:rsid w:val="00292FA8"/>
    <w:rsid w:val="0029461F"/>
    <w:rsid w:val="00294D2F"/>
    <w:rsid w:val="0029579D"/>
    <w:rsid w:val="00297270"/>
    <w:rsid w:val="002973ED"/>
    <w:rsid w:val="002975BB"/>
    <w:rsid w:val="002A0579"/>
    <w:rsid w:val="002A4B67"/>
    <w:rsid w:val="002A4F6E"/>
    <w:rsid w:val="002A746C"/>
    <w:rsid w:val="002B25C6"/>
    <w:rsid w:val="002B30B6"/>
    <w:rsid w:val="002B4381"/>
    <w:rsid w:val="002B6AF3"/>
    <w:rsid w:val="002B7190"/>
    <w:rsid w:val="002B766B"/>
    <w:rsid w:val="002C09C6"/>
    <w:rsid w:val="002C0F33"/>
    <w:rsid w:val="002C1C66"/>
    <w:rsid w:val="002C3962"/>
    <w:rsid w:val="002C40F3"/>
    <w:rsid w:val="002C5503"/>
    <w:rsid w:val="002C6FD8"/>
    <w:rsid w:val="002C7FF9"/>
    <w:rsid w:val="002D03F0"/>
    <w:rsid w:val="002D0E82"/>
    <w:rsid w:val="002D12B5"/>
    <w:rsid w:val="002D1EC1"/>
    <w:rsid w:val="002D212C"/>
    <w:rsid w:val="002D6AAA"/>
    <w:rsid w:val="002D7123"/>
    <w:rsid w:val="002D79A0"/>
    <w:rsid w:val="002E189C"/>
    <w:rsid w:val="002E1B53"/>
    <w:rsid w:val="002E4254"/>
    <w:rsid w:val="002E48F0"/>
    <w:rsid w:val="002E49C4"/>
    <w:rsid w:val="002E6E1E"/>
    <w:rsid w:val="002F0508"/>
    <w:rsid w:val="002F15CA"/>
    <w:rsid w:val="002F1A06"/>
    <w:rsid w:val="002F1CC6"/>
    <w:rsid w:val="002F1FF4"/>
    <w:rsid w:val="002F359D"/>
    <w:rsid w:val="002F37D4"/>
    <w:rsid w:val="002F64AD"/>
    <w:rsid w:val="002F6C66"/>
    <w:rsid w:val="002F6F06"/>
    <w:rsid w:val="002F6FC4"/>
    <w:rsid w:val="002F7B28"/>
    <w:rsid w:val="00300710"/>
    <w:rsid w:val="00303A3E"/>
    <w:rsid w:val="00310182"/>
    <w:rsid w:val="00310421"/>
    <w:rsid w:val="00310E5A"/>
    <w:rsid w:val="00311280"/>
    <w:rsid w:val="0031178B"/>
    <w:rsid w:val="00315ED2"/>
    <w:rsid w:val="00316F30"/>
    <w:rsid w:val="0031796C"/>
    <w:rsid w:val="00317FDC"/>
    <w:rsid w:val="003213B0"/>
    <w:rsid w:val="0032760D"/>
    <w:rsid w:val="00327929"/>
    <w:rsid w:val="00327D36"/>
    <w:rsid w:val="00327E64"/>
    <w:rsid w:val="003321B9"/>
    <w:rsid w:val="00332BF3"/>
    <w:rsid w:val="00333683"/>
    <w:rsid w:val="00333AFB"/>
    <w:rsid w:val="00334D07"/>
    <w:rsid w:val="00336718"/>
    <w:rsid w:val="00336CB3"/>
    <w:rsid w:val="00336FC1"/>
    <w:rsid w:val="00337389"/>
    <w:rsid w:val="003407B6"/>
    <w:rsid w:val="0034094C"/>
    <w:rsid w:val="00342430"/>
    <w:rsid w:val="0034423E"/>
    <w:rsid w:val="00346B3D"/>
    <w:rsid w:val="003508F8"/>
    <w:rsid w:val="00351475"/>
    <w:rsid w:val="003524AE"/>
    <w:rsid w:val="003542F2"/>
    <w:rsid w:val="003555D2"/>
    <w:rsid w:val="00356445"/>
    <w:rsid w:val="00357250"/>
    <w:rsid w:val="00357E8B"/>
    <w:rsid w:val="00357F98"/>
    <w:rsid w:val="00360B25"/>
    <w:rsid w:val="00361CC0"/>
    <w:rsid w:val="003621C2"/>
    <w:rsid w:val="003635F8"/>
    <w:rsid w:val="003654E6"/>
    <w:rsid w:val="0036589C"/>
    <w:rsid w:val="00366C97"/>
    <w:rsid w:val="00366FED"/>
    <w:rsid w:val="00370181"/>
    <w:rsid w:val="00370650"/>
    <w:rsid w:val="003716A9"/>
    <w:rsid w:val="0037170C"/>
    <w:rsid w:val="00373222"/>
    <w:rsid w:val="00373FB9"/>
    <w:rsid w:val="00376894"/>
    <w:rsid w:val="003823A5"/>
    <w:rsid w:val="00384F64"/>
    <w:rsid w:val="00385494"/>
    <w:rsid w:val="00386BE5"/>
    <w:rsid w:val="00386C08"/>
    <w:rsid w:val="00387AD0"/>
    <w:rsid w:val="00387D9C"/>
    <w:rsid w:val="0039005D"/>
    <w:rsid w:val="0039232F"/>
    <w:rsid w:val="003930E4"/>
    <w:rsid w:val="00395AEC"/>
    <w:rsid w:val="003966DE"/>
    <w:rsid w:val="00396735"/>
    <w:rsid w:val="00396969"/>
    <w:rsid w:val="003974B3"/>
    <w:rsid w:val="0039777F"/>
    <w:rsid w:val="003A26BD"/>
    <w:rsid w:val="003A49D0"/>
    <w:rsid w:val="003A5F2F"/>
    <w:rsid w:val="003A6AE7"/>
    <w:rsid w:val="003A6EAC"/>
    <w:rsid w:val="003A7ACF"/>
    <w:rsid w:val="003B0A0F"/>
    <w:rsid w:val="003B0CCA"/>
    <w:rsid w:val="003B240B"/>
    <w:rsid w:val="003B2C18"/>
    <w:rsid w:val="003B310D"/>
    <w:rsid w:val="003B321A"/>
    <w:rsid w:val="003B39A6"/>
    <w:rsid w:val="003B434C"/>
    <w:rsid w:val="003B5CF9"/>
    <w:rsid w:val="003B6A61"/>
    <w:rsid w:val="003B7BD5"/>
    <w:rsid w:val="003C0965"/>
    <w:rsid w:val="003C1341"/>
    <w:rsid w:val="003C1CC3"/>
    <w:rsid w:val="003C1D69"/>
    <w:rsid w:val="003C2743"/>
    <w:rsid w:val="003C2EA9"/>
    <w:rsid w:val="003C3122"/>
    <w:rsid w:val="003C69C3"/>
    <w:rsid w:val="003C77FB"/>
    <w:rsid w:val="003C7B98"/>
    <w:rsid w:val="003D1FAD"/>
    <w:rsid w:val="003D49C5"/>
    <w:rsid w:val="003D4F6C"/>
    <w:rsid w:val="003D689C"/>
    <w:rsid w:val="003D7067"/>
    <w:rsid w:val="003D7954"/>
    <w:rsid w:val="003E26A0"/>
    <w:rsid w:val="003E26E3"/>
    <w:rsid w:val="003E3FC0"/>
    <w:rsid w:val="003E4110"/>
    <w:rsid w:val="003E6245"/>
    <w:rsid w:val="003E65A5"/>
    <w:rsid w:val="003E6A84"/>
    <w:rsid w:val="003E6E7C"/>
    <w:rsid w:val="003F0F2E"/>
    <w:rsid w:val="003F2A51"/>
    <w:rsid w:val="003F2C4C"/>
    <w:rsid w:val="003F35D6"/>
    <w:rsid w:val="003F419D"/>
    <w:rsid w:val="003F4884"/>
    <w:rsid w:val="003F50F1"/>
    <w:rsid w:val="003F534E"/>
    <w:rsid w:val="003F5575"/>
    <w:rsid w:val="003F687A"/>
    <w:rsid w:val="003F7079"/>
    <w:rsid w:val="003F72AA"/>
    <w:rsid w:val="00401DF0"/>
    <w:rsid w:val="00401F63"/>
    <w:rsid w:val="004030DF"/>
    <w:rsid w:val="00403570"/>
    <w:rsid w:val="00404B7C"/>
    <w:rsid w:val="004056B9"/>
    <w:rsid w:val="00405DF9"/>
    <w:rsid w:val="004072F2"/>
    <w:rsid w:val="00407993"/>
    <w:rsid w:val="00410D0E"/>
    <w:rsid w:val="0041225C"/>
    <w:rsid w:val="00412A5C"/>
    <w:rsid w:val="00413A9C"/>
    <w:rsid w:val="00413B88"/>
    <w:rsid w:val="00414091"/>
    <w:rsid w:val="00414376"/>
    <w:rsid w:val="00416448"/>
    <w:rsid w:val="00421074"/>
    <w:rsid w:val="004212C2"/>
    <w:rsid w:val="004243AA"/>
    <w:rsid w:val="00424B51"/>
    <w:rsid w:val="00425DC0"/>
    <w:rsid w:val="00425FE3"/>
    <w:rsid w:val="00427579"/>
    <w:rsid w:val="00427801"/>
    <w:rsid w:val="0043078D"/>
    <w:rsid w:val="0043287E"/>
    <w:rsid w:val="00433E15"/>
    <w:rsid w:val="0043612D"/>
    <w:rsid w:val="004364AE"/>
    <w:rsid w:val="00436692"/>
    <w:rsid w:val="004367F6"/>
    <w:rsid w:val="00437916"/>
    <w:rsid w:val="00437D53"/>
    <w:rsid w:val="0044193D"/>
    <w:rsid w:val="00441B44"/>
    <w:rsid w:val="00441F60"/>
    <w:rsid w:val="00442169"/>
    <w:rsid w:val="004437D2"/>
    <w:rsid w:val="00443FE8"/>
    <w:rsid w:val="00445725"/>
    <w:rsid w:val="00447B51"/>
    <w:rsid w:val="004507BF"/>
    <w:rsid w:val="00451FA9"/>
    <w:rsid w:val="0045206D"/>
    <w:rsid w:val="00452858"/>
    <w:rsid w:val="004530BD"/>
    <w:rsid w:val="00454B25"/>
    <w:rsid w:val="004558DB"/>
    <w:rsid w:val="00455D55"/>
    <w:rsid w:val="00456054"/>
    <w:rsid w:val="00456C85"/>
    <w:rsid w:val="00457046"/>
    <w:rsid w:val="00457F43"/>
    <w:rsid w:val="00460298"/>
    <w:rsid w:val="00461196"/>
    <w:rsid w:val="00461DDB"/>
    <w:rsid w:val="00462798"/>
    <w:rsid w:val="00462D69"/>
    <w:rsid w:val="00462DB8"/>
    <w:rsid w:val="00464B1E"/>
    <w:rsid w:val="004663C5"/>
    <w:rsid w:val="004719F4"/>
    <w:rsid w:val="00472207"/>
    <w:rsid w:val="004738F3"/>
    <w:rsid w:val="00473D14"/>
    <w:rsid w:val="00475D60"/>
    <w:rsid w:val="00477C7F"/>
    <w:rsid w:val="0048103B"/>
    <w:rsid w:val="00481757"/>
    <w:rsid w:val="0048228B"/>
    <w:rsid w:val="004823EB"/>
    <w:rsid w:val="00484140"/>
    <w:rsid w:val="004846EC"/>
    <w:rsid w:val="00484B18"/>
    <w:rsid w:val="004852AD"/>
    <w:rsid w:val="00486079"/>
    <w:rsid w:val="004863E1"/>
    <w:rsid w:val="00490A88"/>
    <w:rsid w:val="00493463"/>
    <w:rsid w:val="004940AD"/>
    <w:rsid w:val="00496EC8"/>
    <w:rsid w:val="004A164A"/>
    <w:rsid w:val="004A1BFD"/>
    <w:rsid w:val="004A207F"/>
    <w:rsid w:val="004A3D83"/>
    <w:rsid w:val="004A44CF"/>
    <w:rsid w:val="004A561B"/>
    <w:rsid w:val="004A5C80"/>
    <w:rsid w:val="004A609A"/>
    <w:rsid w:val="004A6F8F"/>
    <w:rsid w:val="004B04DA"/>
    <w:rsid w:val="004B1A04"/>
    <w:rsid w:val="004B2B3D"/>
    <w:rsid w:val="004B2C2D"/>
    <w:rsid w:val="004B3038"/>
    <w:rsid w:val="004B3975"/>
    <w:rsid w:val="004B3A95"/>
    <w:rsid w:val="004B4926"/>
    <w:rsid w:val="004B4DDD"/>
    <w:rsid w:val="004B68DA"/>
    <w:rsid w:val="004C02BC"/>
    <w:rsid w:val="004C05C9"/>
    <w:rsid w:val="004C246A"/>
    <w:rsid w:val="004C4CC5"/>
    <w:rsid w:val="004C594A"/>
    <w:rsid w:val="004C69BB"/>
    <w:rsid w:val="004C709D"/>
    <w:rsid w:val="004C7F9D"/>
    <w:rsid w:val="004D036E"/>
    <w:rsid w:val="004D08B3"/>
    <w:rsid w:val="004D13CC"/>
    <w:rsid w:val="004D2913"/>
    <w:rsid w:val="004D2A3A"/>
    <w:rsid w:val="004D477F"/>
    <w:rsid w:val="004D6DE1"/>
    <w:rsid w:val="004E092C"/>
    <w:rsid w:val="004E189A"/>
    <w:rsid w:val="004E1AEF"/>
    <w:rsid w:val="004E1D8E"/>
    <w:rsid w:val="004E2FEA"/>
    <w:rsid w:val="004E309F"/>
    <w:rsid w:val="004E3180"/>
    <w:rsid w:val="004E375F"/>
    <w:rsid w:val="004E6AA8"/>
    <w:rsid w:val="004E6E64"/>
    <w:rsid w:val="004E70F6"/>
    <w:rsid w:val="004F020A"/>
    <w:rsid w:val="004F1A39"/>
    <w:rsid w:val="004F2498"/>
    <w:rsid w:val="004F3B73"/>
    <w:rsid w:val="004F471E"/>
    <w:rsid w:val="004F4CC0"/>
    <w:rsid w:val="004F4F6E"/>
    <w:rsid w:val="004F5A2C"/>
    <w:rsid w:val="004F5C6B"/>
    <w:rsid w:val="004F63DB"/>
    <w:rsid w:val="004F6F06"/>
    <w:rsid w:val="00501C4D"/>
    <w:rsid w:val="00502BC7"/>
    <w:rsid w:val="00502D14"/>
    <w:rsid w:val="00504EAC"/>
    <w:rsid w:val="00505103"/>
    <w:rsid w:val="00505570"/>
    <w:rsid w:val="005130F0"/>
    <w:rsid w:val="0051412C"/>
    <w:rsid w:val="00515D8D"/>
    <w:rsid w:val="00516AA8"/>
    <w:rsid w:val="005172C5"/>
    <w:rsid w:val="00517750"/>
    <w:rsid w:val="0051788F"/>
    <w:rsid w:val="00517E66"/>
    <w:rsid w:val="00520EC0"/>
    <w:rsid w:val="00521823"/>
    <w:rsid w:val="00523D48"/>
    <w:rsid w:val="00525465"/>
    <w:rsid w:val="00525567"/>
    <w:rsid w:val="00525BE8"/>
    <w:rsid w:val="0052606C"/>
    <w:rsid w:val="005269D3"/>
    <w:rsid w:val="00526A9C"/>
    <w:rsid w:val="005276AE"/>
    <w:rsid w:val="00530422"/>
    <w:rsid w:val="00530C35"/>
    <w:rsid w:val="00530E52"/>
    <w:rsid w:val="005310B7"/>
    <w:rsid w:val="005312BB"/>
    <w:rsid w:val="00531FFD"/>
    <w:rsid w:val="00532504"/>
    <w:rsid w:val="005331D4"/>
    <w:rsid w:val="005332A9"/>
    <w:rsid w:val="00533C58"/>
    <w:rsid w:val="00534C53"/>
    <w:rsid w:val="00536392"/>
    <w:rsid w:val="0053650F"/>
    <w:rsid w:val="005369F5"/>
    <w:rsid w:val="00536D34"/>
    <w:rsid w:val="00541C6B"/>
    <w:rsid w:val="005446D4"/>
    <w:rsid w:val="005447BF"/>
    <w:rsid w:val="00545FB2"/>
    <w:rsid w:val="0054643F"/>
    <w:rsid w:val="00546612"/>
    <w:rsid w:val="005468A5"/>
    <w:rsid w:val="00546B55"/>
    <w:rsid w:val="00546E57"/>
    <w:rsid w:val="0054725A"/>
    <w:rsid w:val="00550C8C"/>
    <w:rsid w:val="00551327"/>
    <w:rsid w:val="0055133D"/>
    <w:rsid w:val="00551DE0"/>
    <w:rsid w:val="0055256A"/>
    <w:rsid w:val="00552660"/>
    <w:rsid w:val="00552A29"/>
    <w:rsid w:val="005536F3"/>
    <w:rsid w:val="00553964"/>
    <w:rsid w:val="00553F55"/>
    <w:rsid w:val="00554495"/>
    <w:rsid w:val="005544FA"/>
    <w:rsid w:val="00555126"/>
    <w:rsid w:val="00556829"/>
    <w:rsid w:val="0055714C"/>
    <w:rsid w:val="00557B95"/>
    <w:rsid w:val="00557E49"/>
    <w:rsid w:val="005625A2"/>
    <w:rsid w:val="0056301E"/>
    <w:rsid w:val="005637BC"/>
    <w:rsid w:val="005638BE"/>
    <w:rsid w:val="00564E9F"/>
    <w:rsid w:val="005671F4"/>
    <w:rsid w:val="00567978"/>
    <w:rsid w:val="005718BD"/>
    <w:rsid w:val="00573141"/>
    <w:rsid w:val="005733AC"/>
    <w:rsid w:val="00573A49"/>
    <w:rsid w:val="005743B9"/>
    <w:rsid w:val="0057565B"/>
    <w:rsid w:val="00576565"/>
    <w:rsid w:val="00576A63"/>
    <w:rsid w:val="00576BF1"/>
    <w:rsid w:val="00576FAA"/>
    <w:rsid w:val="00577ED1"/>
    <w:rsid w:val="0058051A"/>
    <w:rsid w:val="005813E7"/>
    <w:rsid w:val="00581969"/>
    <w:rsid w:val="005821DE"/>
    <w:rsid w:val="00583A55"/>
    <w:rsid w:val="0058440C"/>
    <w:rsid w:val="00590278"/>
    <w:rsid w:val="005913D2"/>
    <w:rsid w:val="005917D7"/>
    <w:rsid w:val="005918B4"/>
    <w:rsid w:val="005957AB"/>
    <w:rsid w:val="005A0576"/>
    <w:rsid w:val="005A169D"/>
    <w:rsid w:val="005A30EC"/>
    <w:rsid w:val="005A4164"/>
    <w:rsid w:val="005A6936"/>
    <w:rsid w:val="005B05B1"/>
    <w:rsid w:val="005B3216"/>
    <w:rsid w:val="005B3367"/>
    <w:rsid w:val="005B402C"/>
    <w:rsid w:val="005B4870"/>
    <w:rsid w:val="005B4960"/>
    <w:rsid w:val="005B5701"/>
    <w:rsid w:val="005B760E"/>
    <w:rsid w:val="005C0E84"/>
    <w:rsid w:val="005C11C2"/>
    <w:rsid w:val="005C1A0D"/>
    <w:rsid w:val="005C2861"/>
    <w:rsid w:val="005C38FF"/>
    <w:rsid w:val="005C6117"/>
    <w:rsid w:val="005C630A"/>
    <w:rsid w:val="005D1613"/>
    <w:rsid w:val="005D29B2"/>
    <w:rsid w:val="005D3024"/>
    <w:rsid w:val="005D55BA"/>
    <w:rsid w:val="005D5886"/>
    <w:rsid w:val="005D58CC"/>
    <w:rsid w:val="005D6933"/>
    <w:rsid w:val="005D6CB0"/>
    <w:rsid w:val="005D6F75"/>
    <w:rsid w:val="005D72C5"/>
    <w:rsid w:val="005D7CA8"/>
    <w:rsid w:val="005D7F6F"/>
    <w:rsid w:val="005E096D"/>
    <w:rsid w:val="005E0CE3"/>
    <w:rsid w:val="005E16F6"/>
    <w:rsid w:val="005E2273"/>
    <w:rsid w:val="005E3265"/>
    <w:rsid w:val="005E53B3"/>
    <w:rsid w:val="005E6C3A"/>
    <w:rsid w:val="005E7763"/>
    <w:rsid w:val="005F064A"/>
    <w:rsid w:val="005F0735"/>
    <w:rsid w:val="005F0CAB"/>
    <w:rsid w:val="005F163F"/>
    <w:rsid w:val="005F1D47"/>
    <w:rsid w:val="006016B1"/>
    <w:rsid w:val="006028BB"/>
    <w:rsid w:val="00604885"/>
    <w:rsid w:val="0060507D"/>
    <w:rsid w:val="006050E5"/>
    <w:rsid w:val="00606320"/>
    <w:rsid w:val="00606AED"/>
    <w:rsid w:val="00610B5A"/>
    <w:rsid w:val="00611039"/>
    <w:rsid w:val="00611E8F"/>
    <w:rsid w:val="00613462"/>
    <w:rsid w:val="00614021"/>
    <w:rsid w:val="00614696"/>
    <w:rsid w:val="006147E9"/>
    <w:rsid w:val="00614B5C"/>
    <w:rsid w:val="0061588F"/>
    <w:rsid w:val="006160F5"/>
    <w:rsid w:val="00622A34"/>
    <w:rsid w:val="00622B21"/>
    <w:rsid w:val="00623282"/>
    <w:rsid w:val="00623889"/>
    <w:rsid w:val="00624791"/>
    <w:rsid w:val="00625068"/>
    <w:rsid w:val="00625138"/>
    <w:rsid w:val="006253DF"/>
    <w:rsid w:val="00626E2A"/>
    <w:rsid w:val="00627AB9"/>
    <w:rsid w:val="00627EDF"/>
    <w:rsid w:val="006301E4"/>
    <w:rsid w:val="00632D7C"/>
    <w:rsid w:val="00632EA1"/>
    <w:rsid w:val="0063588B"/>
    <w:rsid w:val="006369FB"/>
    <w:rsid w:val="00636DBD"/>
    <w:rsid w:val="006372EF"/>
    <w:rsid w:val="00640A79"/>
    <w:rsid w:val="00640F9C"/>
    <w:rsid w:val="00641D5C"/>
    <w:rsid w:val="00642113"/>
    <w:rsid w:val="006426BC"/>
    <w:rsid w:val="00642744"/>
    <w:rsid w:val="00645462"/>
    <w:rsid w:val="0064568F"/>
    <w:rsid w:val="0064605A"/>
    <w:rsid w:val="00646A3A"/>
    <w:rsid w:val="0064704D"/>
    <w:rsid w:val="00647764"/>
    <w:rsid w:val="00647F74"/>
    <w:rsid w:val="0065055F"/>
    <w:rsid w:val="006506B3"/>
    <w:rsid w:val="00650E4B"/>
    <w:rsid w:val="00650EF6"/>
    <w:rsid w:val="00650F3A"/>
    <w:rsid w:val="00652343"/>
    <w:rsid w:val="00652BA2"/>
    <w:rsid w:val="006546AB"/>
    <w:rsid w:val="006555AE"/>
    <w:rsid w:val="00655E87"/>
    <w:rsid w:val="00660A2E"/>
    <w:rsid w:val="00661BE5"/>
    <w:rsid w:val="00661E7C"/>
    <w:rsid w:val="0066280D"/>
    <w:rsid w:val="00663458"/>
    <w:rsid w:val="00663827"/>
    <w:rsid w:val="00664EBF"/>
    <w:rsid w:val="006651BF"/>
    <w:rsid w:val="0066533B"/>
    <w:rsid w:val="00666183"/>
    <w:rsid w:val="00666B66"/>
    <w:rsid w:val="0067136C"/>
    <w:rsid w:val="00671516"/>
    <w:rsid w:val="00671F47"/>
    <w:rsid w:val="00672F81"/>
    <w:rsid w:val="00674AB5"/>
    <w:rsid w:val="00675821"/>
    <w:rsid w:val="0067618C"/>
    <w:rsid w:val="006767D1"/>
    <w:rsid w:val="00677453"/>
    <w:rsid w:val="00677BD3"/>
    <w:rsid w:val="00677EFD"/>
    <w:rsid w:val="0068196C"/>
    <w:rsid w:val="00682FEC"/>
    <w:rsid w:val="006839EE"/>
    <w:rsid w:val="0068546E"/>
    <w:rsid w:val="00685CFD"/>
    <w:rsid w:val="0068678B"/>
    <w:rsid w:val="00687872"/>
    <w:rsid w:val="00687D25"/>
    <w:rsid w:val="00690672"/>
    <w:rsid w:val="006907A8"/>
    <w:rsid w:val="006920EB"/>
    <w:rsid w:val="00692C01"/>
    <w:rsid w:val="00692F89"/>
    <w:rsid w:val="00693370"/>
    <w:rsid w:val="00693896"/>
    <w:rsid w:val="00696718"/>
    <w:rsid w:val="00696F5B"/>
    <w:rsid w:val="00697783"/>
    <w:rsid w:val="00697D76"/>
    <w:rsid w:val="00697E49"/>
    <w:rsid w:val="006A07AA"/>
    <w:rsid w:val="006A1772"/>
    <w:rsid w:val="006A3DEC"/>
    <w:rsid w:val="006A426E"/>
    <w:rsid w:val="006A54B0"/>
    <w:rsid w:val="006A640A"/>
    <w:rsid w:val="006A6548"/>
    <w:rsid w:val="006B1A24"/>
    <w:rsid w:val="006B2955"/>
    <w:rsid w:val="006B42BB"/>
    <w:rsid w:val="006B5346"/>
    <w:rsid w:val="006B5A2B"/>
    <w:rsid w:val="006B5EE4"/>
    <w:rsid w:val="006C1A34"/>
    <w:rsid w:val="006C1E05"/>
    <w:rsid w:val="006C26EB"/>
    <w:rsid w:val="006C3C44"/>
    <w:rsid w:val="006C5193"/>
    <w:rsid w:val="006D0100"/>
    <w:rsid w:val="006D08BD"/>
    <w:rsid w:val="006D0CBA"/>
    <w:rsid w:val="006D1415"/>
    <w:rsid w:val="006D62E6"/>
    <w:rsid w:val="006D6460"/>
    <w:rsid w:val="006D7E7C"/>
    <w:rsid w:val="006E0F3E"/>
    <w:rsid w:val="006E1326"/>
    <w:rsid w:val="006E3F24"/>
    <w:rsid w:val="006E7693"/>
    <w:rsid w:val="006E7F5E"/>
    <w:rsid w:val="006F2482"/>
    <w:rsid w:val="006F2507"/>
    <w:rsid w:val="006F2668"/>
    <w:rsid w:val="006F336B"/>
    <w:rsid w:val="006F39C0"/>
    <w:rsid w:val="006F3E5E"/>
    <w:rsid w:val="006F496E"/>
    <w:rsid w:val="006F541D"/>
    <w:rsid w:val="00701A29"/>
    <w:rsid w:val="00702BC1"/>
    <w:rsid w:val="00703372"/>
    <w:rsid w:val="00704F32"/>
    <w:rsid w:val="00705CE2"/>
    <w:rsid w:val="007066BF"/>
    <w:rsid w:val="00706B89"/>
    <w:rsid w:val="00707BEC"/>
    <w:rsid w:val="007108A2"/>
    <w:rsid w:val="0071097A"/>
    <w:rsid w:val="007111E1"/>
    <w:rsid w:val="0071164C"/>
    <w:rsid w:val="00714090"/>
    <w:rsid w:val="0071455B"/>
    <w:rsid w:val="00714F27"/>
    <w:rsid w:val="00714F3B"/>
    <w:rsid w:val="00715DA3"/>
    <w:rsid w:val="007167D8"/>
    <w:rsid w:val="007205D5"/>
    <w:rsid w:val="00720FCD"/>
    <w:rsid w:val="0072286E"/>
    <w:rsid w:val="007236B1"/>
    <w:rsid w:val="00723D3B"/>
    <w:rsid w:val="0072480F"/>
    <w:rsid w:val="007254D9"/>
    <w:rsid w:val="007255C5"/>
    <w:rsid w:val="007263F1"/>
    <w:rsid w:val="00727D75"/>
    <w:rsid w:val="00730C32"/>
    <w:rsid w:val="00731BD8"/>
    <w:rsid w:val="00732652"/>
    <w:rsid w:val="0073281D"/>
    <w:rsid w:val="00733C07"/>
    <w:rsid w:val="00736823"/>
    <w:rsid w:val="00736918"/>
    <w:rsid w:val="0073698C"/>
    <w:rsid w:val="007420B6"/>
    <w:rsid w:val="00744383"/>
    <w:rsid w:val="00744DE8"/>
    <w:rsid w:val="00745C2A"/>
    <w:rsid w:val="007464B0"/>
    <w:rsid w:val="0075099D"/>
    <w:rsid w:val="00750B2E"/>
    <w:rsid w:val="0075149D"/>
    <w:rsid w:val="0075197B"/>
    <w:rsid w:val="007522E9"/>
    <w:rsid w:val="00752422"/>
    <w:rsid w:val="00752AA2"/>
    <w:rsid w:val="00753414"/>
    <w:rsid w:val="007535D6"/>
    <w:rsid w:val="00753AE9"/>
    <w:rsid w:val="00754408"/>
    <w:rsid w:val="00755318"/>
    <w:rsid w:val="007554EF"/>
    <w:rsid w:val="007556B4"/>
    <w:rsid w:val="00756DFB"/>
    <w:rsid w:val="00757D64"/>
    <w:rsid w:val="00761CA2"/>
    <w:rsid w:val="007627DF"/>
    <w:rsid w:val="00763EE2"/>
    <w:rsid w:val="0076412F"/>
    <w:rsid w:val="007647C4"/>
    <w:rsid w:val="00764832"/>
    <w:rsid w:val="00765718"/>
    <w:rsid w:val="00766B55"/>
    <w:rsid w:val="00771089"/>
    <w:rsid w:val="0077123F"/>
    <w:rsid w:val="007730CC"/>
    <w:rsid w:val="00773306"/>
    <w:rsid w:val="007749FE"/>
    <w:rsid w:val="007758E0"/>
    <w:rsid w:val="00776690"/>
    <w:rsid w:val="007800B0"/>
    <w:rsid w:val="00780DBE"/>
    <w:rsid w:val="00781144"/>
    <w:rsid w:val="007813F0"/>
    <w:rsid w:val="0078153D"/>
    <w:rsid w:val="00781578"/>
    <w:rsid w:val="0078485C"/>
    <w:rsid w:val="0078539A"/>
    <w:rsid w:val="00785B44"/>
    <w:rsid w:val="00785E18"/>
    <w:rsid w:val="00786C6D"/>
    <w:rsid w:val="007873F1"/>
    <w:rsid w:val="00787AAD"/>
    <w:rsid w:val="00791072"/>
    <w:rsid w:val="00791934"/>
    <w:rsid w:val="00792E43"/>
    <w:rsid w:val="0079336B"/>
    <w:rsid w:val="00794050"/>
    <w:rsid w:val="007940C2"/>
    <w:rsid w:val="0079452E"/>
    <w:rsid w:val="00796369"/>
    <w:rsid w:val="00796375"/>
    <w:rsid w:val="00796A6E"/>
    <w:rsid w:val="007A0E4B"/>
    <w:rsid w:val="007A2884"/>
    <w:rsid w:val="007A3269"/>
    <w:rsid w:val="007A32EC"/>
    <w:rsid w:val="007A37A8"/>
    <w:rsid w:val="007A3F58"/>
    <w:rsid w:val="007A4190"/>
    <w:rsid w:val="007A562B"/>
    <w:rsid w:val="007A5D42"/>
    <w:rsid w:val="007A6224"/>
    <w:rsid w:val="007A7F89"/>
    <w:rsid w:val="007B07B6"/>
    <w:rsid w:val="007B0C49"/>
    <w:rsid w:val="007B11B8"/>
    <w:rsid w:val="007B11BA"/>
    <w:rsid w:val="007B1402"/>
    <w:rsid w:val="007B241E"/>
    <w:rsid w:val="007B3475"/>
    <w:rsid w:val="007B359A"/>
    <w:rsid w:val="007B3B6A"/>
    <w:rsid w:val="007B4C3A"/>
    <w:rsid w:val="007B63FC"/>
    <w:rsid w:val="007B6B37"/>
    <w:rsid w:val="007C3D47"/>
    <w:rsid w:val="007C4497"/>
    <w:rsid w:val="007C458D"/>
    <w:rsid w:val="007C4BB2"/>
    <w:rsid w:val="007D13FB"/>
    <w:rsid w:val="007D24AC"/>
    <w:rsid w:val="007D255E"/>
    <w:rsid w:val="007D2943"/>
    <w:rsid w:val="007D43A8"/>
    <w:rsid w:val="007D446B"/>
    <w:rsid w:val="007D4A6E"/>
    <w:rsid w:val="007D4E72"/>
    <w:rsid w:val="007D4FA5"/>
    <w:rsid w:val="007D7E91"/>
    <w:rsid w:val="007E0616"/>
    <w:rsid w:val="007E07BB"/>
    <w:rsid w:val="007E0CA2"/>
    <w:rsid w:val="007E1B83"/>
    <w:rsid w:val="007E1DEB"/>
    <w:rsid w:val="007E27B8"/>
    <w:rsid w:val="007E6B89"/>
    <w:rsid w:val="007E7597"/>
    <w:rsid w:val="007E786F"/>
    <w:rsid w:val="007E7FC1"/>
    <w:rsid w:val="007F071D"/>
    <w:rsid w:val="007F0BB3"/>
    <w:rsid w:val="007F18D7"/>
    <w:rsid w:val="007F2736"/>
    <w:rsid w:val="007F34B4"/>
    <w:rsid w:val="007F3690"/>
    <w:rsid w:val="007F39C7"/>
    <w:rsid w:val="007F5479"/>
    <w:rsid w:val="008021B7"/>
    <w:rsid w:val="00803FBB"/>
    <w:rsid w:val="00807813"/>
    <w:rsid w:val="00807895"/>
    <w:rsid w:val="00810C79"/>
    <w:rsid w:val="008128D3"/>
    <w:rsid w:val="00812997"/>
    <w:rsid w:val="008136BD"/>
    <w:rsid w:val="00814295"/>
    <w:rsid w:val="0081611A"/>
    <w:rsid w:val="00821C98"/>
    <w:rsid w:val="00826EFD"/>
    <w:rsid w:val="00831618"/>
    <w:rsid w:val="00832EC7"/>
    <w:rsid w:val="00833B3F"/>
    <w:rsid w:val="008344FE"/>
    <w:rsid w:val="00834D3E"/>
    <w:rsid w:val="00835364"/>
    <w:rsid w:val="00835568"/>
    <w:rsid w:val="00835A2B"/>
    <w:rsid w:val="00836832"/>
    <w:rsid w:val="00840B3B"/>
    <w:rsid w:val="008421E2"/>
    <w:rsid w:val="008440B6"/>
    <w:rsid w:val="008443F8"/>
    <w:rsid w:val="00844686"/>
    <w:rsid w:val="008446AF"/>
    <w:rsid w:val="00844EB4"/>
    <w:rsid w:val="00845974"/>
    <w:rsid w:val="0084624A"/>
    <w:rsid w:val="00846AA3"/>
    <w:rsid w:val="00846D73"/>
    <w:rsid w:val="00851913"/>
    <w:rsid w:val="0085390A"/>
    <w:rsid w:val="00854559"/>
    <w:rsid w:val="00856A33"/>
    <w:rsid w:val="008571A1"/>
    <w:rsid w:val="008603C5"/>
    <w:rsid w:val="008606AC"/>
    <w:rsid w:val="008606DA"/>
    <w:rsid w:val="00862081"/>
    <w:rsid w:val="008625BB"/>
    <w:rsid w:val="008636C6"/>
    <w:rsid w:val="008637EB"/>
    <w:rsid w:val="0086623B"/>
    <w:rsid w:val="00867720"/>
    <w:rsid w:val="00867E67"/>
    <w:rsid w:val="00870CA2"/>
    <w:rsid w:val="0087154A"/>
    <w:rsid w:val="00872311"/>
    <w:rsid w:val="008725EB"/>
    <w:rsid w:val="008728C0"/>
    <w:rsid w:val="00872AE5"/>
    <w:rsid w:val="00872BDB"/>
    <w:rsid w:val="008730FC"/>
    <w:rsid w:val="008731B8"/>
    <w:rsid w:val="00873216"/>
    <w:rsid w:val="00873BE0"/>
    <w:rsid w:val="00874340"/>
    <w:rsid w:val="008757AC"/>
    <w:rsid w:val="00875FE8"/>
    <w:rsid w:val="00876190"/>
    <w:rsid w:val="008766F5"/>
    <w:rsid w:val="00880589"/>
    <w:rsid w:val="0088178D"/>
    <w:rsid w:val="0088266A"/>
    <w:rsid w:val="008843B6"/>
    <w:rsid w:val="00884827"/>
    <w:rsid w:val="0088491D"/>
    <w:rsid w:val="00885A20"/>
    <w:rsid w:val="00885D83"/>
    <w:rsid w:val="00885E59"/>
    <w:rsid w:val="00886540"/>
    <w:rsid w:val="00891062"/>
    <w:rsid w:val="008912A8"/>
    <w:rsid w:val="008939B7"/>
    <w:rsid w:val="008939D7"/>
    <w:rsid w:val="00893F3F"/>
    <w:rsid w:val="00894A70"/>
    <w:rsid w:val="00894DD9"/>
    <w:rsid w:val="00896A5E"/>
    <w:rsid w:val="008A03F4"/>
    <w:rsid w:val="008A1568"/>
    <w:rsid w:val="008A1873"/>
    <w:rsid w:val="008A1D3B"/>
    <w:rsid w:val="008A2E7C"/>
    <w:rsid w:val="008A3576"/>
    <w:rsid w:val="008A474D"/>
    <w:rsid w:val="008A56AC"/>
    <w:rsid w:val="008A56C3"/>
    <w:rsid w:val="008A6B6D"/>
    <w:rsid w:val="008A746D"/>
    <w:rsid w:val="008B0636"/>
    <w:rsid w:val="008B0B74"/>
    <w:rsid w:val="008B0CBF"/>
    <w:rsid w:val="008B15E3"/>
    <w:rsid w:val="008B17EB"/>
    <w:rsid w:val="008B1809"/>
    <w:rsid w:val="008B3130"/>
    <w:rsid w:val="008B540A"/>
    <w:rsid w:val="008B54E1"/>
    <w:rsid w:val="008B723C"/>
    <w:rsid w:val="008B7C92"/>
    <w:rsid w:val="008C3807"/>
    <w:rsid w:val="008C5DB6"/>
    <w:rsid w:val="008C6170"/>
    <w:rsid w:val="008C7CC0"/>
    <w:rsid w:val="008D01D9"/>
    <w:rsid w:val="008D024F"/>
    <w:rsid w:val="008D0797"/>
    <w:rsid w:val="008D0EFA"/>
    <w:rsid w:val="008D0F4A"/>
    <w:rsid w:val="008D3226"/>
    <w:rsid w:val="008D569F"/>
    <w:rsid w:val="008D7092"/>
    <w:rsid w:val="008D7B4B"/>
    <w:rsid w:val="008E03ED"/>
    <w:rsid w:val="008E0B87"/>
    <w:rsid w:val="008E1BC3"/>
    <w:rsid w:val="008E38E7"/>
    <w:rsid w:val="008E4616"/>
    <w:rsid w:val="008E57AB"/>
    <w:rsid w:val="008E5975"/>
    <w:rsid w:val="008E6252"/>
    <w:rsid w:val="008E6C1C"/>
    <w:rsid w:val="008E7CFB"/>
    <w:rsid w:val="008F0C4E"/>
    <w:rsid w:val="008F3BF2"/>
    <w:rsid w:val="008F3D2D"/>
    <w:rsid w:val="008F4074"/>
    <w:rsid w:val="008F48BB"/>
    <w:rsid w:val="008F4D53"/>
    <w:rsid w:val="008F4FE0"/>
    <w:rsid w:val="008F7478"/>
    <w:rsid w:val="00900791"/>
    <w:rsid w:val="00901635"/>
    <w:rsid w:val="00902F92"/>
    <w:rsid w:val="00904067"/>
    <w:rsid w:val="00904A64"/>
    <w:rsid w:val="00904D51"/>
    <w:rsid w:val="00904EAC"/>
    <w:rsid w:val="0090596E"/>
    <w:rsid w:val="009063D1"/>
    <w:rsid w:val="00906C4C"/>
    <w:rsid w:val="009075CD"/>
    <w:rsid w:val="00913F40"/>
    <w:rsid w:val="0091458D"/>
    <w:rsid w:val="0091481B"/>
    <w:rsid w:val="009164E9"/>
    <w:rsid w:val="009205C3"/>
    <w:rsid w:val="00920CC3"/>
    <w:rsid w:val="00923859"/>
    <w:rsid w:val="0092385B"/>
    <w:rsid w:val="00923C6C"/>
    <w:rsid w:val="009241D2"/>
    <w:rsid w:val="009256AB"/>
    <w:rsid w:val="00926E4A"/>
    <w:rsid w:val="00927324"/>
    <w:rsid w:val="00930332"/>
    <w:rsid w:val="009312DE"/>
    <w:rsid w:val="009318C2"/>
    <w:rsid w:val="00932719"/>
    <w:rsid w:val="009336E7"/>
    <w:rsid w:val="00935824"/>
    <w:rsid w:val="00935EEC"/>
    <w:rsid w:val="00940864"/>
    <w:rsid w:val="00941D25"/>
    <w:rsid w:val="00942534"/>
    <w:rsid w:val="009454E8"/>
    <w:rsid w:val="00946833"/>
    <w:rsid w:val="00947A43"/>
    <w:rsid w:val="0095089A"/>
    <w:rsid w:val="00951FC0"/>
    <w:rsid w:val="00953ADA"/>
    <w:rsid w:val="0095568B"/>
    <w:rsid w:val="009578DC"/>
    <w:rsid w:val="009619CE"/>
    <w:rsid w:val="00963401"/>
    <w:rsid w:val="009637E7"/>
    <w:rsid w:val="0096471C"/>
    <w:rsid w:val="00965250"/>
    <w:rsid w:val="00965A03"/>
    <w:rsid w:val="00965E32"/>
    <w:rsid w:val="009665DC"/>
    <w:rsid w:val="00967AD7"/>
    <w:rsid w:val="0097182F"/>
    <w:rsid w:val="00972937"/>
    <w:rsid w:val="0097482C"/>
    <w:rsid w:val="00976E55"/>
    <w:rsid w:val="00977430"/>
    <w:rsid w:val="00977CAA"/>
    <w:rsid w:val="0098222C"/>
    <w:rsid w:val="00985D1C"/>
    <w:rsid w:val="00985FDA"/>
    <w:rsid w:val="00986EAF"/>
    <w:rsid w:val="009904B8"/>
    <w:rsid w:val="00991454"/>
    <w:rsid w:val="00992B51"/>
    <w:rsid w:val="00992C18"/>
    <w:rsid w:val="00993E3F"/>
    <w:rsid w:val="0099492E"/>
    <w:rsid w:val="00996D6E"/>
    <w:rsid w:val="00997251"/>
    <w:rsid w:val="00997B4D"/>
    <w:rsid w:val="009A03EF"/>
    <w:rsid w:val="009A1CAE"/>
    <w:rsid w:val="009A384E"/>
    <w:rsid w:val="009A3A7D"/>
    <w:rsid w:val="009B07F9"/>
    <w:rsid w:val="009B1F8C"/>
    <w:rsid w:val="009B303B"/>
    <w:rsid w:val="009B3DFA"/>
    <w:rsid w:val="009B4298"/>
    <w:rsid w:val="009B6E86"/>
    <w:rsid w:val="009B7B5F"/>
    <w:rsid w:val="009C1D63"/>
    <w:rsid w:val="009C27AF"/>
    <w:rsid w:val="009C31EC"/>
    <w:rsid w:val="009C395B"/>
    <w:rsid w:val="009C3C3C"/>
    <w:rsid w:val="009C40A9"/>
    <w:rsid w:val="009C5B8D"/>
    <w:rsid w:val="009C7346"/>
    <w:rsid w:val="009D2169"/>
    <w:rsid w:val="009D2D9F"/>
    <w:rsid w:val="009D3995"/>
    <w:rsid w:val="009D4851"/>
    <w:rsid w:val="009D4D61"/>
    <w:rsid w:val="009D664C"/>
    <w:rsid w:val="009D7263"/>
    <w:rsid w:val="009D72A4"/>
    <w:rsid w:val="009D73B9"/>
    <w:rsid w:val="009D7E26"/>
    <w:rsid w:val="009E191F"/>
    <w:rsid w:val="009E1E9C"/>
    <w:rsid w:val="009E2E76"/>
    <w:rsid w:val="009E2EDE"/>
    <w:rsid w:val="009E46D2"/>
    <w:rsid w:val="009E4A6A"/>
    <w:rsid w:val="009E4E44"/>
    <w:rsid w:val="009E5FC6"/>
    <w:rsid w:val="009E66C4"/>
    <w:rsid w:val="009E6A16"/>
    <w:rsid w:val="009E77AA"/>
    <w:rsid w:val="009E7CD4"/>
    <w:rsid w:val="009F01B4"/>
    <w:rsid w:val="009F06E2"/>
    <w:rsid w:val="009F15C4"/>
    <w:rsid w:val="009F31E5"/>
    <w:rsid w:val="009F34E9"/>
    <w:rsid w:val="009F3F65"/>
    <w:rsid w:val="009F61F2"/>
    <w:rsid w:val="009F79C7"/>
    <w:rsid w:val="009F7A30"/>
    <w:rsid w:val="00A019DF"/>
    <w:rsid w:val="00A01AF6"/>
    <w:rsid w:val="00A01F10"/>
    <w:rsid w:val="00A02314"/>
    <w:rsid w:val="00A028D7"/>
    <w:rsid w:val="00A03245"/>
    <w:rsid w:val="00A03749"/>
    <w:rsid w:val="00A0440F"/>
    <w:rsid w:val="00A04B04"/>
    <w:rsid w:val="00A066BE"/>
    <w:rsid w:val="00A071F2"/>
    <w:rsid w:val="00A07A33"/>
    <w:rsid w:val="00A11378"/>
    <w:rsid w:val="00A11C41"/>
    <w:rsid w:val="00A1215D"/>
    <w:rsid w:val="00A138C6"/>
    <w:rsid w:val="00A14146"/>
    <w:rsid w:val="00A14EB8"/>
    <w:rsid w:val="00A15B4E"/>
    <w:rsid w:val="00A15E26"/>
    <w:rsid w:val="00A166F1"/>
    <w:rsid w:val="00A23CD7"/>
    <w:rsid w:val="00A23EC7"/>
    <w:rsid w:val="00A24260"/>
    <w:rsid w:val="00A24967"/>
    <w:rsid w:val="00A2551C"/>
    <w:rsid w:val="00A27AC3"/>
    <w:rsid w:val="00A3067E"/>
    <w:rsid w:val="00A31348"/>
    <w:rsid w:val="00A327ED"/>
    <w:rsid w:val="00A33B31"/>
    <w:rsid w:val="00A33FEA"/>
    <w:rsid w:val="00A352EB"/>
    <w:rsid w:val="00A436A0"/>
    <w:rsid w:val="00A442CB"/>
    <w:rsid w:val="00A44650"/>
    <w:rsid w:val="00A45310"/>
    <w:rsid w:val="00A45723"/>
    <w:rsid w:val="00A461D0"/>
    <w:rsid w:val="00A4776C"/>
    <w:rsid w:val="00A478D3"/>
    <w:rsid w:val="00A47CB3"/>
    <w:rsid w:val="00A47D04"/>
    <w:rsid w:val="00A5134D"/>
    <w:rsid w:val="00A52A81"/>
    <w:rsid w:val="00A55143"/>
    <w:rsid w:val="00A562F9"/>
    <w:rsid w:val="00A574A6"/>
    <w:rsid w:val="00A5754A"/>
    <w:rsid w:val="00A5774F"/>
    <w:rsid w:val="00A60680"/>
    <w:rsid w:val="00A60F98"/>
    <w:rsid w:val="00A6128A"/>
    <w:rsid w:val="00A619D4"/>
    <w:rsid w:val="00A61D8A"/>
    <w:rsid w:val="00A621A9"/>
    <w:rsid w:val="00A63B7B"/>
    <w:rsid w:val="00A63BEB"/>
    <w:rsid w:val="00A64C5F"/>
    <w:rsid w:val="00A6514B"/>
    <w:rsid w:val="00A65B61"/>
    <w:rsid w:val="00A664D4"/>
    <w:rsid w:val="00A667C2"/>
    <w:rsid w:val="00A679EA"/>
    <w:rsid w:val="00A67C62"/>
    <w:rsid w:val="00A723B8"/>
    <w:rsid w:val="00A7638C"/>
    <w:rsid w:val="00A77434"/>
    <w:rsid w:val="00A83920"/>
    <w:rsid w:val="00A8530D"/>
    <w:rsid w:val="00A855DC"/>
    <w:rsid w:val="00A85D44"/>
    <w:rsid w:val="00A85DF8"/>
    <w:rsid w:val="00A85EB8"/>
    <w:rsid w:val="00A871CA"/>
    <w:rsid w:val="00A90E0B"/>
    <w:rsid w:val="00A90F06"/>
    <w:rsid w:val="00A91648"/>
    <w:rsid w:val="00A91BED"/>
    <w:rsid w:val="00A91CB7"/>
    <w:rsid w:val="00A91FF8"/>
    <w:rsid w:val="00A93692"/>
    <w:rsid w:val="00A941C5"/>
    <w:rsid w:val="00A95640"/>
    <w:rsid w:val="00A96574"/>
    <w:rsid w:val="00A97E51"/>
    <w:rsid w:val="00AA1082"/>
    <w:rsid w:val="00AA1412"/>
    <w:rsid w:val="00AA1CF5"/>
    <w:rsid w:val="00AA2E1C"/>
    <w:rsid w:val="00AA66CC"/>
    <w:rsid w:val="00AA6E75"/>
    <w:rsid w:val="00AA7049"/>
    <w:rsid w:val="00AA730B"/>
    <w:rsid w:val="00AA74A5"/>
    <w:rsid w:val="00AA7A4E"/>
    <w:rsid w:val="00AB006C"/>
    <w:rsid w:val="00AB1192"/>
    <w:rsid w:val="00AB16AA"/>
    <w:rsid w:val="00AB1B23"/>
    <w:rsid w:val="00AC0940"/>
    <w:rsid w:val="00AC2973"/>
    <w:rsid w:val="00AC3749"/>
    <w:rsid w:val="00AC5031"/>
    <w:rsid w:val="00AC69F0"/>
    <w:rsid w:val="00AC6BC1"/>
    <w:rsid w:val="00AC6E80"/>
    <w:rsid w:val="00AC70A5"/>
    <w:rsid w:val="00AC7435"/>
    <w:rsid w:val="00AC7449"/>
    <w:rsid w:val="00AD250B"/>
    <w:rsid w:val="00AD5428"/>
    <w:rsid w:val="00AD68C5"/>
    <w:rsid w:val="00AE1128"/>
    <w:rsid w:val="00AE19BD"/>
    <w:rsid w:val="00AE1EBA"/>
    <w:rsid w:val="00AE339E"/>
    <w:rsid w:val="00AE458A"/>
    <w:rsid w:val="00AE5200"/>
    <w:rsid w:val="00AE5AF1"/>
    <w:rsid w:val="00AE6DBB"/>
    <w:rsid w:val="00AE7EEA"/>
    <w:rsid w:val="00AF0696"/>
    <w:rsid w:val="00AF0B95"/>
    <w:rsid w:val="00AF131E"/>
    <w:rsid w:val="00AF1A2B"/>
    <w:rsid w:val="00AF3BBB"/>
    <w:rsid w:val="00B00314"/>
    <w:rsid w:val="00B01D7E"/>
    <w:rsid w:val="00B01F07"/>
    <w:rsid w:val="00B021F1"/>
    <w:rsid w:val="00B03443"/>
    <w:rsid w:val="00B03C8D"/>
    <w:rsid w:val="00B05486"/>
    <w:rsid w:val="00B06CCA"/>
    <w:rsid w:val="00B121DD"/>
    <w:rsid w:val="00B121EE"/>
    <w:rsid w:val="00B1327C"/>
    <w:rsid w:val="00B13AC8"/>
    <w:rsid w:val="00B144BB"/>
    <w:rsid w:val="00B14879"/>
    <w:rsid w:val="00B14A94"/>
    <w:rsid w:val="00B1638E"/>
    <w:rsid w:val="00B16CD1"/>
    <w:rsid w:val="00B17049"/>
    <w:rsid w:val="00B17A79"/>
    <w:rsid w:val="00B2394A"/>
    <w:rsid w:val="00B26520"/>
    <w:rsid w:val="00B2656D"/>
    <w:rsid w:val="00B3236C"/>
    <w:rsid w:val="00B328AD"/>
    <w:rsid w:val="00B32CDA"/>
    <w:rsid w:val="00B3326C"/>
    <w:rsid w:val="00B33400"/>
    <w:rsid w:val="00B34C88"/>
    <w:rsid w:val="00B35050"/>
    <w:rsid w:val="00B362D2"/>
    <w:rsid w:val="00B3630D"/>
    <w:rsid w:val="00B40CED"/>
    <w:rsid w:val="00B4255D"/>
    <w:rsid w:val="00B43D10"/>
    <w:rsid w:val="00B44399"/>
    <w:rsid w:val="00B4620A"/>
    <w:rsid w:val="00B46A77"/>
    <w:rsid w:val="00B46E72"/>
    <w:rsid w:val="00B50610"/>
    <w:rsid w:val="00B519A7"/>
    <w:rsid w:val="00B550CC"/>
    <w:rsid w:val="00B552C9"/>
    <w:rsid w:val="00B554FF"/>
    <w:rsid w:val="00B55E60"/>
    <w:rsid w:val="00B5775B"/>
    <w:rsid w:val="00B604C6"/>
    <w:rsid w:val="00B60C67"/>
    <w:rsid w:val="00B61085"/>
    <w:rsid w:val="00B6112C"/>
    <w:rsid w:val="00B615EE"/>
    <w:rsid w:val="00B626D0"/>
    <w:rsid w:val="00B6385E"/>
    <w:rsid w:val="00B64B3C"/>
    <w:rsid w:val="00B64DE1"/>
    <w:rsid w:val="00B663A8"/>
    <w:rsid w:val="00B665FB"/>
    <w:rsid w:val="00B67241"/>
    <w:rsid w:val="00B7171A"/>
    <w:rsid w:val="00B7206A"/>
    <w:rsid w:val="00B72755"/>
    <w:rsid w:val="00B767F5"/>
    <w:rsid w:val="00B8027E"/>
    <w:rsid w:val="00B80BC9"/>
    <w:rsid w:val="00B80FD4"/>
    <w:rsid w:val="00B86587"/>
    <w:rsid w:val="00B8661B"/>
    <w:rsid w:val="00B86F47"/>
    <w:rsid w:val="00B86F5C"/>
    <w:rsid w:val="00B87969"/>
    <w:rsid w:val="00B90430"/>
    <w:rsid w:val="00B909DD"/>
    <w:rsid w:val="00B91BC8"/>
    <w:rsid w:val="00B932AD"/>
    <w:rsid w:val="00B93AF1"/>
    <w:rsid w:val="00B93E66"/>
    <w:rsid w:val="00B94DB2"/>
    <w:rsid w:val="00B96AF0"/>
    <w:rsid w:val="00B96CFC"/>
    <w:rsid w:val="00B96E2B"/>
    <w:rsid w:val="00B97027"/>
    <w:rsid w:val="00B97B4E"/>
    <w:rsid w:val="00BA0435"/>
    <w:rsid w:val="00BA0970"/>
    <w:rsid w:val="00BA1233"/>
    <w:rsid w:val="00BA344E"/>
    <w:rsid w:val="00BA407B"/>
    <w:rsid w:val="00BA54CC"/>
    <w:rsid w:val="00BA5FD7"/>
    <w:rsid w:val="00BA758C"/>
    <w:rsid w:val="00BA777A"/>
    <w:rsid w:val="00BB0795"/>
    <w:rsid w:val="00BB18FE"/>
    <w:rsid w:val="00BB2FBB"/>
    <w:rsid w:val="00BB36CD"/>
    <w:rsid w:val="00BB55B9"/>
    <w:rsid w:val="00BB78FF"/>
    <w:rsid w:val="00BC1F9D"/>
    <w:rsid w:val="00BC237C"/>
    <w:rsid w:val="00BC28A2"/>
    <w:rsid w:val="00BC31C7"/>
    <w:rsid w:val="00BC4114"/>
    <w:rsid w:val="00BC411E"/>
    <w:rsid w:val="00BC48D5"/>
    <w:rsid w:val="00BC49A1"/>
    <w:rsid w:val="00BC5362"/>
    <w:rsid w:val="00BC63B0"/>
    <w:rsid w:val="00BC6C83"/>
    <w:rsid w:val="00BC7CB3"/>
    <w:rsid w:val="00BD04A6"/>
    <w:rsid w:val="00BD14B1"/>
    <w:rsid w:val="00BD5AE9"/>
    <w:rsid w:val="00BD7C87"/>
    <w:rsid w:val="00BE08B2"/>
    <w:rsid w:val="00BE248B"/>
    <w:rsid w:val="00BE33DB"/>
    <w:rsid w:val="00BE4DA9"/>
    <w:rsid w:val="00BE512D"/>
    <w:rsid w:val="00BE5B97"/>
    <w:rsid w:val="00BE5FB6"/>
    <w:rsid w:val="00BE6180"/>
    <w:rsid w:val="00BE7000"/>
    <w:rsid w:val="00BE775B"/>
    <w:rsid w:val="00BF04D4"/>
    <w:rsid w:val="00BF0823"/>
    <w:rsid w:val="00BF14AA"/>
    <w:rsid w:val="00BF282E"/>
    <w:rsid w:val="00BF3868"/>
    <w:rsid w:val="00BF43BE"/>
    <w:rsid w:val="00BF7695"/>
    <w:rsid w:val="00BF7749"/>
    <w:rsid w:val="00BF7CC3"/>
    <w:rsid w:val="00C0094C"/>
    <w:rsid w:val="00C01E11"/>
    <w:rsid w:val="00C01E52"/>
    <w:rsid w:val="00C02B0A"/>
    <w:rsid w:val="00C041B2"/>
    <w:rsid w:val="00C04B74"/>
    <w:rsid w:val="00C061A2"/>
    <w:rsid w:val="00C10365"/>
    <w:rsid w:val="00C10817"/>
    <w:rsid w:val="00C1102B"/>
    <w:rsid w:val="00C14DC7"/>
    <w:rsid w:val="00C14FAA"/>
    <w:rsid w:val="00C153CD"/>
    <w:rsid w:val="00C16F9B"/>
    <w:rsid w:val="00C202B7"/>
    <w:rsid w:val="00C20A44"/>
    <w:rsid w:val="00C20F5A"/>
    <w:rsid w:val="00C21134"/>
    <w:rsid w:val="00C2183F"/>
    <w:rsid w:val="00C23C92"/>
    <w:rsid w:val="00C24279"/>
    <w:rsid w:val="00C256B5"/>
    <w:rsid w:val="00C2626A"/>
    <w:rsid w:val="00C27416"/>
    <w:rsid w:val="00C276D9"/>
    <w:rsid w:val="00C300C9"/>
    <w:rsid w:val="00C321AB"/>
    <w:rsid w:val="00C33268"/>
    <w:rsid w:val="00C34C41"/>
    <w:rsid w:val="00C34CBE"/>
    <w:rsid w:val="00C3563A"/>
    <w:rsid w:val="00C4312F"/>
    <w:rsid w:val="00C43A0A"/>
    <w:rsid w:val="00C46706"/>
    <w:rsid w:val="00C5126B"/>
    <w:rsid w:val="00C51B05"/>
    <w:rsid w:val="00C51DA5"/>
    <w:rsid w:val="00C5206B"/>
    <w:rsid w:val="00C526F7"/>
    <w:rsid w:val="00C52F94"/>
    <w:rsid w:val="00C53781"/>
    <w:rsid w:val="00C54106"/>
    <w:rsid w:val="00C546E4"/>
    <w:rsid w:val="00C56581"/>
    <w:rsid w:val="00C56890"/>
    <w:rsid w:val="00C61CFB"/>
    <w:rsid w:val="00C6239D"/>
    <w:rsid w:val="00C623D2"/>
    <w:rsid w:val="00C66602"/>
    <w:rsid w:val="00C67CBE"/>
    <w:rsid w:val="00C710EB"/>
    <w:rsid w:val="00C715FE"/>
    <w:rsid w:val="00C7245B"/>
    <w:rsid w:val="00C7458E"/>
    <w:rsid w:val="00C748FA"/>
    <w:rsid w:val="00C761D0"/>
    <w:rsid w:val="00C80002"/>
    <w:rsid w:val="00C80929"/>
    <w:rsid w:val="00C80FDA"/>
    <w:rsid w:val="00C8212B"/>
    <w:rsid w:val="00C8271B"/>
    <w:rsid w:val="00C831FE"/>
    <w:rsid w:val="00C83968"/>
    <w:rsid w:val="00C9074C"/>
    <w:rsid w:val="00C90A3E"/>
    <w:rsid w:val="00C913EC"/>
    <w:rsid w:val="00C917AB"/>
    <w:rsid w:val="00C9203E"/>
    <w:rsid w:val="00C966BC"/>
    <w:rsid w:val="00C96C5F"/>
    <w:rsid w:val="00C96F01"/>
    <w:rsid w:val="00CA1E14"/>
    <w:rsid w:val="00CA2C20"/>
    <w:rsid w:val="00CA3877"/>
    <w:rsid w:val="00CA4B35"/>
    <w:rsid w:val="00CA5395"/>
    <w:rsid w:val="00CA590E"/>
    <w:rsid w:val="00CA6EDB"/>
    <w:rsid w:val="00CA785A"/>
    <w:rsid w:val="00CB2B5B"/>
    <w:rsid w:val="00CB36DA"/>
    <w:rsid w:val="00CB3F9E"/>
    <w:rsid w:val="00CB474E"/>
    <w:rsid w:val="00CB659C"/>
    <w:rsid w:val="00CB723F"/>
    <w:rsid w:val="00CC1B51"/>
    <w:rsid w:val="00CC2842"/>
    <w:rsid w:val="00CC2925"/>
    <w:rsid w:val="00CC3827"/>
    <w:rsid w:val="00CC4251"/>
    <w:rsid w:val="00CC481B"/>
    <w:rsid w:val="00CC7233"/>
    <w:rsid w:val="00CC7ADC"/>
    <w:rsid w:val="00CD027C"/>
    <w:rsid w:val="00CD133B"/>
    <w:rsid w:val="00CD2E6E"/>
    <w:rsid w:val="00CD33BC"/>
    <w:rsid w:val="00CD6EF4"/>
    <w:rsid w:val="00CE0784"/>
    <w:rsid w:val="00CE0D72"/>
    <w:rsid w:val="00CE2807"/>
    <w:rsid w:val="00CE2A6D"/>
    <w:rsid w:val="00CE3419"/>
    <w:rsid w:val="00CE41FF"/>
    <w:rsid w:val="00CE54FE"/>
    <w:rsid w:val="00CE59C6"/>
    <w:rsid w:val="00CF0843"/>
    <w:rsid w:val="00CF0D3D"/>
    <w:rsid w:val="00CF117E"/>
    <w:rsid w:val="00CF1DE9"/>
    <w:rsid w:val="00CF24D9"/>
    <w:rsid w:val="00CF32B9"/>
    <w:rsid w:val="00CF657D"/>
    <w:rsid w:val="00CF692C"/>
    <w:rsid w:val="00CF6A23"/>
    <w:rsid w:val="00CF7AB5"/>
    <w:rsid w:val="00CF7C83"/>
    <w:rsid w:val="00D003A1"/>
    <w:rsid w:val="00D00ECA"/>
    <w:rsid w:val="00D01255"/>
    <w:rsid w:val="00D01A0B"/>
    <w:rsid w:val="00D0228D"/>
    <w:rsid w:val="00D026C9"/>
    <w:rsid w:val="00D027CC"/>
    <w:rsid w:val="00D033E5"/>
    <w:rsid w:val="00D04557"/>
    <w:rsid w:val="00D0547F"/>
    <w:rsid w:val="00D05E45"/>
    <w:rsid w:val="00D10CFF"/>
    <w:rsid w:val="00D14994"/>
    <w:rsid w:val="00D214F8"/>
    <w:rsid w:val="00D22C99"/>
    <w:rsid w:val="00D22CD2"/>
    <w:rsid w:val="00D23302"/>
    <w:rsid w:val="00D25DA6"/>
    <w:rsid w:val="00D26394"/>
    <w:rsid w:val="00D264CC"/>
    <w:rsid w:val="00D27248"/>
    <w:rsid w:val="00D316E5"/>
    <w:rsid w:val="00D32922"/>
    <w:rsid w:val="00D3373E"/>
    <w:rsid w:val="00D3442B"/>
    <w:rsid w:val="00D35581"/>
    <w:rsid w:val="00D36B52"/>
    <w:rsid w:val="00D375C6"/>
    <w:rsid w:val="00D37987"/>
    <w:rsid w:val="00D40F96"/>
    <w:rsid w:val="00D4139D"/>
    <w:rsid w:val="00D41689"/>
    <w:rsid w:val="00D4175F"/>
    <w:rsid w:val="00D418C1"/>
    <w:rsid w:val="00D42272"/>
    <w:rsid w:val="00D432A7"/>
    <w:rsid w:val="00D4370B"/>
    <w:rsid w:val="00D447C8"/>
    <w:rsid w:val="00D448BB"/>
    <w:rsid w:val="00D44A1B"/>
    <w:rsid w:val="00D45983"/>
    <w:rsid w:val="00D4750E"/>
    <w:rsid w:val="00D52075"/>
    <w:rsid w:val="00D52C8D"/>
    <w:rsid w:val="00D538D0"/>
    <w:rsid w:val="00D54C1D"/>
    <w:rsid w:val="00D561BA"/>
    <w:rsid w:val="00D56C91"/>
    <w:rsid w:val="00D5710C"/>
    <w:rsid w:val="00D57384"/>
    <w:rsid w:val="00D6095B"/>
    <w:rsid w:val="00D62329"/>
    <w:rsid w:val="00D627A4"/>
    <w:rsid w:val="00D636EF"/>
    <w:rsid w:val="00D6770D"/>
    <w:rsid w:val="00D713FD"/>
    <w:rsid w:val="00D715A5"/>
    <w:rsid w:val="00D71692"/>
    <w:rsid w:val="00D72BA7"/>
    <w:rsid w:val="00D73C6C"/>
    <w:rsid w:val="00D749FB"/>
    <w:rsid w:val="00D74F9B"/>
    <w:rsid w:val="00D77E02"/>
    <w:rsid w:val="00D80505"/>
    <w:rsid w:val="00D80D9D"/>
    <w:rsid w:val="00D81729"/>
    <w:rsid w:val="00D82434"/>
    <w:rsid w:val="00D84611"/>
    <w:rsid w:val="00D8620E"/>
    <w:rsid w:val="00D87A8D"/>
    <w:rsid w:val="00D87B7A"/>
    <w:rsid w:val="00D90412"/>
    <w:rsid w:val="00D92DA8"/>
    <w:rsid w:val="00D94830"/>
    <w:rsid w:val="00D9548E"/>
    <w:rsid w:val="00D971BD"/>
    <w:rsid w:val="00D97E47"/>
    <w:rsid w:val="00DA0198"/>
    <w:rsid w:val="00DA0C53"/>
    <w:rsid w:val="00DA3B0C"/>
    <w:rsid w:val="00DA4226"/>
    <w:rsid w:val="00DA4261"/>
    <w:rsid w:val="00DA48C3"/>
    <w:rsid w:val="00DA6678"/>
    <w:rsid w:val="00DA6F23"/>
    <w:rsid w:val="00DA785C"/>
    <w:rsid w:val="00DA7F2A"/>
    <w:rsid w:val="00DB1258"/>
    <w:rsid w:val="00DB5BD0"/>
    <w:rsid w:val="00DB6015"/>
    <w:rsid w:val="00DB6AF2"/>
    <w:rsid w:val="00DB6EF3"/>
    <w:rsid w:val="00DB72ED"/>
    <w:rsid w:val="00DB7E2A"/>
    <w:rsid w:val="00DC2BF8"/>
    <w:rsid w:val="00DC39D0"/>
    <w:rsid w:val="00DC5950"/>
    <w:rsid w:val="00DC6B0B"/>
    <w:rsid w:val="00DC6DD7"/>
    <w:rsid w:val="00DC72CC"/>
    <w:rsid w:val="00DD13A8"/>
    <w:rsid w:val="00DD1673"/>
    <w:rsid w:val="00DD416D"/>
    <w:rsid w:val="00DD4BFA"/>
    <w:rsid w:val="00DD5FAA"/>
    <w:rsid w:val="00DD6AD0"/>
    <w:rsid w:val="00DE00B6"/>
    <w:rsid w:val="00DE0E49"/>
    <w:rsid w:val="00DE1278"/>
    <w:rsid w:val="00DE1E27"/>
    <w:rsid w:val="00DE1E7F"/>
    <w:rsid w:val="00DE421F"/>
    <w:rsid w:val="00DE4B8C"/>
    <w:rsid w:val="00DE4FF3"/>
    <w:rsid w:val="00DE749C"/>
    <w:rsid w:val="00DF00A7"/>
    <w:rsid w:val="00DF5171"/>
    <w:rsid w:val="00DF6F59"/>
    <w:rsid w:val="00E000A8"/>
    <w:rsid w:val="00E005F0"/>
    <w:rsid w:val="00E00EEF"/>
    <w:rsid w:val="00E040BA"/>
    <w:rsid w:val="00E04595"/>
    <w:rsid w:val="00E05591"/>
    <w:rsid w:val="00E065AF"/>
    <w:rsid w:val="00E10909"/>
    <w:rsid w:val="00E11CA5"/>
    <w:rsid w:val="00E129F9"/>
    <w:rsid w:val="00E13477"/>
    <w:rsid w:val="00E149CB"/>
    <w:rsid w:val="00E149FD"/>
    <w:rsid w:val="00E16589"/>
    <w:rsid w:val="00E16672"/>
    <w:rsid w:val="00E171CD"/>
    <w:rsid w:val="00E1736B"/>
    <w:rsid w:val="00E1748A"/>
    <w:rsid w:val="00E2278F"/>
    <w:rsid w:val="00E24724"/>
    <w:rsid w:val="00E256FE"/>
    <w:rsid w:val="00E2632C"/>
    <w:rsid w:val="00E272A1"/>
    <w:rsid w:val="00E326A8"/>
    <w:rsid w:val="00E32ED5"/>
    <w:rsid w:val="00E33523"/>
    <w:rsid w:val="00E34091"/>
    <w:rsid w:val="00E34438"/>
    <w:rsid w:val="00E354D4"/>
    <w:rsid w:val="00E35BE4"/>
    <w:rsid w:val="00E35C5B"/>
    <w:rsid w:val="00E3735E"/>
    <w:rsid w:val="00E37C8C"/>
    <w:rsid w:val="00E41D73"/>
    <w:rsid w:val="00E42576"/>
    <w:rsid w:val="00E4537A"/>
    <w:rsid w:val="00E46531"/>
    <w:rsid w:val="00E47BE7"/>
    <w:rsid w:val="00E50482"/>
    <w:rsid w:val="00E50DEA"/>
    <w:rsid w:val="00E5108F"/>
    <w:rsid w:val="00E528E2"/>
    <w:rsid w:val="00E54782"/>
    <w:rsid w:val="00E5665F"/>
    <w:rsid w:val="00E57442"/>
    <w:rsid w:val="00E610F3"/>
    <w:rsid w:val="00E658CB"/>
    <w:rsid w:val="00E66364"/>
    <w:rsid w:val="00E71377"/>
    <w:rsid w:val="00E721C3"/>
    <w:rsid w:val="00E726A7"/>
    <w:rsid w:val="00E73D8D"/>
    <w:rsid w:val="00E7433E"/>
    <w:rsid w:val="00E74C0C"/>
    <w:rsid w:val="00E75374"/>
    <w:rsid w:val="00E7591D"/>
    <w:rsid w:val="00E7599B"/>
    <w:rsid w:val="00E77BE7"/>
    <w:rsid w:val="00E80ADD"/>
    <w:rsid w:val="00E83128"/>
    <w:rsid w:val="00E8327E"/>
    <w:rsid w:val="00E834D0"/>
    <w:rsid w:val="00E84571"/>
    <w:rsid w:val="00E85163"/>
    <w:rsid w:val="00E8624A"/>
    <w:rsid w:val="00E86844"/>
    <w:rsid w:val="00E935EB"/>
    <w:rsid w:val="00E94262"/>
    <w:rsid w:val="00E96B95"/>
    <w:rsid w:val="00EA15AC"/>
    <w:rsid w:val="00EA3E10"/>
    <w:rsid w:val="00EA4E0C"/>
    <w:rsid w:val="00EA631F"/>
    <w:rsid w:val="00EA7377"/>
    <w:rsid w:val="00EA75C6"/>
    <w:rsid w:val="00EB0F20"/>
    <w:rsid w:val="00EC04D7"/>
    <w:rsid w:val="00EC2AD9"/>
    <w:rsid w:val="00EC2E33"/>
    <w:rsid w:val="00EC321F"/>
    <w:rsid w:val="00EC6F89"/>
    <w:rsid w:val="00EC6FF9"/>
    <w:rsid w:val="00EC7E84"/>
    <w:rsid w:val="00ED098E"/>
    <w:rsid w:val="00ED0D04"/>
    <w:rsid w:val="00ED0F0C"/>
    <w:rsid w:val="00ED227F"/>
    <w:rsid w:val="00ED3226"/>
    <w:rsid w:val="00ED340C"/>
    <w:rsid w:val="00ED6E5E"/>
    <w:rsid w:val="00EE1070"/>
    <w:rsid w:val="00EE17CD"/>
    <w:rsid w:val="00EE1963"/>
    <w:rsid w:val="00EE21B2"/>
    <w:rsid w:val="00EE3564"/>
    <w:rsid w:val="00EE543E"/>
    <w:rsid w:val="00EE594C"/>
    <w:rsid w:val="00EE5A3D"/>
    <w:rsid w:val="00EE6C1D"/>
    <w:rsid w:val="00EE788E"/>
    <w:rsid w:val="00EE7FF6"/>
    <w:rsid w:val="00EF0FCD"/>
    <w:rsid w:val="00EF132B"/>
    <w:rsid w:val="00EF1C2C"/>
    <w:rsid w:val="00EF3098"/>
    <w:rsid w:val="00EF375B"/>
    <w:rsid w:val="00EF3C05"/>
    <w:rsid w:val="00EF54A8"/>
    <w:rsid w:val="00EF5B95"/>
    <w:rsid w:val="00EF5D9D"/>
    <w:rsid w:val="00EF62C0"/>
    <w:rsid w:val="00EF75B4"/>
    <w:rsid w:val="00F016FF"/>
    <w:rsid w:val="00F01860"/>
    <w:rsid w:val="00F02A14"/>
    <w:rsid w:val="00F03B58"/>
    <w:rsid w:val="00F04A02"/>
    <w:rsid w:val="00F05CCC"/>
    <w:rsid w:val="00F06641"/>
    <w:rsid w:val="00F06F8E"/>
    <w:rsid w:val="00F10C9F"/>
    <w:rsid w:val="00F12EB2"/>
    <w:rsid w:val="00F13204"/>
    <w:rsid w:val="00F1369A"/>
    <w:rsid w:val="00F148DE"/>
    <w:rsid w:val="00F151BE"/>
    <w:rsid w:val="00F1561A"/>
    <w:rsid w:val="00F1622F"/>
    <w:rsid w:val="00F1798D"/>
    <w:rsid w:val="00F200C3"/>
    <w:rsid w:val="00F21243"/>
    <w:rsid w:val="00F21CC3"/>
    <w:rsid w:val="00F21FBC"/>
    <w:rsid w:val="00F231B4"/>
    <w:rsid w:val="00F23570"/>
    <w:rsid w:val="00F23837"/>
    <w:rsid w:val="00F24EA4"/>
    <w:rsid w:val="00F25ED1"/>
    <w:rsid w:val="00F25F66"/>
    <w:rsid w:val="00F26B89"/>
    <w:rsid w:val="00F26B98"/>
    <w:rsid w:val="00F30867"/>
    <w:rsid w:val="00F320E1"/>
    <w:rsid w:val="00F32C16"/>
    <w:rsid w:val="00F330CB"/>
    <w:rsid w:val="00F332F9"/>
    <w:rsid w:val="00F33535"/>
    <w:rsid w:val="00F34EB5"/>
    <w:rsid w:val="00F356F0"/>
    <w:rsid w:val="00F35F77"/>
    <w:rsid w:val="00F40C92"/>
    <w:rsid w:val="00F41148"/>
    <w:rsid w:val="00F4192B"/>
    <w:rsid w:val="00F41C4C"/>
    <w:rsid w:val="00F4268B"/>
    <w:rsid w:val="00F430AD"/>
    <w:rsid w:val="00F43F8F"/>
    <w:rsid w:val="00F45D50"/>
    <w:rsid w:val="00F45FC6"/>
    <w:rsid w:val="00F4699D"/>
    <w:rsid w:val="00F47DA0"/>
    <w:rsid w:val="00F512A6"/>
    <w:rsid w:val="00F513D4"/>
    <w:rsid w:val="00F51A8E"/>
    <w:rsid w:val="00F52A71"/>
    <w:rsid w:val="00F54CD3"/>
    <w:rsid w:val="00F55AD4"/>
    <w:rsid w:val="00F567D2"/>
    <w:rsid w:val="00F57AFD"/>
    <w:rsid w:val="00F6084F"/>
    <w:rsid w:val="00F60854"/>
    <w:rsid w:val="00F61950"/>
    <w:rsid w:val="00F62341"/>
    <w:rsid w:val="00F626E6"/>
    <w:rsid w:val="00F67C6E"/>
    <w:rsid w:val="00F70161"/>
    <w:rsid w:val="00F711AA"/>
    <w:rsid w:val="00F725A3"/>
    <w:rsid w:val="00F741AB"/>
    <w:rsid w:val="00F74A88"/>
    <w:rsid w:val="00F75536"/>
    <w:rsid w:val="00F75D58"/>
    <w:rsid w:val="00F8002E"/>
    <w:rsid w:val="00F80327"/>
    <w:rsid w:val="00F8071C"/>
    <w:rsid w:val="00F82D25"/>
    <w:rsid w:val="00F84968"/>
    <w:rsid w:val="00F84AD8"/>
    <w:rsid w:val="00F87299"/>
    <w:rsid w:val="00F90D09"/>
    <w:rsid w:val="00F91903"/>
    <w:rsid w:val="00F92070"/>
    <w:rsid w:val="00F9294B"/>
    <w:rsid w:val="00F93625"/>
    <w:rsid w:val="00F9423C"/>
    <w:rsid w:val="00F9538A"/>
    <w:rsid w:val="00F9595F"/>
    <w:rsid w:val="00F95E95"/>
    <w:rsid w:val="00F9640B"/>
    <w:rsid w:val="00F97B7D"/>
    <w:rsid w:val="00FA006D"/>
    <w:rsid w:val="00FA3E5E"/>
    <w:rsid w:val="00FA471D"/>
    <w:rsid w:val="00FA54FA"/>
    <w:rsid w:val="00FA62A5"/>
    <w:rsid w:val="00FA62B6"/>
    <w:rsid w:val="00FA6ED6"/>
    <w:rsid w:val="00FA6FF4"/>
    <w:rsid w:val="00FA747B"/>
    <w:rsid w:val="00FB04C9"/>
    <w:rsid w:val="00FB1681"/>
    <w:rsid w:val="00FB2ED2"/>
    <w:rsid w:val="00FB3947"/>
    <w:rsid w:val="00FB3AFE"/>
    <w:rsid w:val="00FB3E43"/>
    <w:rsid w:val="00FB5DDE"/>
    <w:rsid w:val="00FB65AD"/>
    <w:rsid w:val="00FB6798"/>
    <w:rsid w:val="00FB6B9E"/>
    <w:rsid w:val="00FB71C3"/>
    <w:rsid w:val="00FC0695"/>
    <w:rsid w:val="00FC0A82"/>
    <w:rsid w:val="00FC0DFD"/>
    <w:rsid w:val="00FC2946"/>
    <w:rsid w:val="00FC3779"/>
    <w:rsid w:val="00FC4804"/>
    <w:rsid w:val="00FC508A"/>
    <w:rsid w:val="00FC6A7A"/>
    <w:rsid w:val="00FC7420"/>
    <w:rsid w:val="00FD07A0"/>
    <w:rsid w:val="00FD0877"/>
    <w:rsid w:val="00FD0DC9"/>
    <w:rsid w:val="00FD11A0"/>
    <w:rsid w:val="00FD19FD"/>
    <w:rsid w:val="00FD1AC9"/>
    <w:rsid w:val="00FD3906"/>
    <w:rsid w:val="00FD3A92"/>
    <w:rsid w:val="00FD48B5"/>
    <w:rsid w:val="00FD54F0"/>
    <w:rsid w:val="00FE00B2"/>
    <w:rsid w:val="00FE1D9C"/>
    <w:rsid w:val="00FE1E21"/>
    <w:rsid w:val="00FE2337"/>
    <w:rsid w:val="00FE2EA4"/>
    <w:rsid w:val="00FE3B81"/>
    <w:rsid w:val="00FE76A9"/>
    <w:rsid w:val="00FF09CE"/>
    <w:rsid w:val="00FF1068"/>
    <w:rsid w:val="00FF1D6A"/>
    <w:rsid w:val="00FF2C6D"/>
    <w:rsid w:val="00FF3E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009ee3,#aa0721,#06c,#00aeef,#9a9b00,#009ee0,#f08015,#742f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A48C3"/>
    <w:pPr>
      <w:spacing w:after="288"/>
      <w:ind w:left="142"/>
    </w:pPr>
    <w:rPr>
      <w:rFonts w:ascii="Arial" w:hAnsi="Arial"/>
      <w:sz w:val="24"/>
      <w:szCs w:val="24"/>
      <w:lang w:eastAsia="en-US"/>
    </w:rPr>
  </w:style>
  <w:style w:type="paragraph" w:styleId="Heading1">
    <w:name w:val="heading 1"/>
    <w:basedOn w:val="Normal"/>
    <w:next w:val="Normal"/>
    <w:qFormat/>
    <w:rsid w:val="00373222"/>
    <w:pPr>
      <w:keepNext/>
      <w:spacing w:after="324"/>
      <w:outlineLvl w:val="0"/>
    </w:pPr>
    <w:rPr>
      <w:b/>
      <w:bCs/>
      <w:color w:val="009EE3"/>
      <w:kern w:val="32"/>
      <w:sz w:val="56"/>
      <w:szCs w:val="32"/>
    </w:rPr>
  </w:style>
  <w:style w:type="paragraph" w:styleId="Heading2">
    <w:name w:val="heading 2"/>
    <w:basedOn w:val="Normal"/>
    <w:next w:val="Normal"/>
    <w:link w:val="Heading2Char"/>
    <w:qFormat/>
    <w:rsid w:val="00373222"/>
    <w:pPr>
      <w:keepNext/>
      <w:spacing w:before="120" w:after="816"/>
      <w:outlineLvl w:val="1"/>
    </w:pPr>
    <w:rPr>
      <w:b/>
      <w:bCs/>
      <w:iCs/>
      <w:color w:val="009EE3"/>
      <w:kern w:val="32"/>
      <w:sz w:val="28"/>
      <w:szCs w:val="28"/>
    </w:rPr>
  </w:style>
  <w:style w:type="paragraph" w:styleId="Heading3">
    <w:name w:val="heading 3"/>
    <w:basedOn w:val="Normal"/>
    <w:next w:val="Normal"/>
    <w:link w:val="Heading3Char"/>
    <w:qFormat/>
    <w:rsid w:val="00373222"/>
    <w:pPr>
      <w:keepNext/>
      <w:spacing w:after="0"/>
      <w:outlineLvl w:val="2"/>
    </w:pPr>
    <w:rPr>
      <w:b/>
      <w:bCs/>
      <w:color w:val="FF9900"/>
      <w:sz w:val="26"/>
      <w:szCs w:val="26"/>
    </w:rPr>
  </w:style>
  <w:style w:type="paragraph" w:styleId="Heading4">
    <w:name w:val="heading 4"/>
    <w:basedOn w:val="Normal"/>
    <w:next w:val="Normal"/>
    <w:link w:val="Heading4Char"/>
    <w:qFormat/>
    <w:rsid w:val="00FC508A"/>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basedOn w:val="Heading1"/>
    <w:autoRedefine/>
    <w:rsid w:val="008C6170"/>
    <w:rPr>
      <w:color w:val="FFFFFF"/>
      <w:szCs w:val="56"/>
    </w:rPr>
  </w:style>
  <w:style w:type="paragraph" w:customStyle="1" w:styleId="DECCCovertext">
    <w:name w:val="DECC Cover text"/>
    <w:basedOn w:val="DECCTitle"/>
    <w:autoRedefine/>
    <w:rsid w:val="00D90412"/>
    <w:rPr>
      <w:b w:val="0"/>
      <w:sz w:val="28"/>
      <w:szCs w:val="28"/>
    </w:rPr>
  </w:style>
  <w:style w:type="paragraph" w:styleId="TOC1">
    <w:name w:val="toc 1"/>
    <w:basedOn w:val="Normal"/>
    <w:next w:val="Normal"/>
    <w:autoRedefine/>
    <w:uiPriority w:val="39"/>
    <w:rsid w:val="00207C5E"/>
    <w:pPr>
      <w:spacing w:before="120" w:after="120"/>
      <w:ind w:left="0"/>
    </w:pPr>
    <w:rPr>
      <w:rFonts w:ascii="Calibri" w:hAnsi="Calibri"/>
      <w:b/>
      <w:bCs/>
      <w:caps/>
      <w:sz w:val="20"/>
      <w:szCs w:val="20"/>
    </w:rPr>
  </w:style>
  <w:style w:type="paragraph" w:styleId="TOC2">
    <w:name w:val="toc 2"/>
    <w:basedOn w:val="Normal"/>
    <w:next w:val="Normal"/>
    <w:autoRedefine/>
    <w:uiPriority w:val="39"/>
    <w:rsid w:val="00E16589"/>
    <w:pPr>
      <w:spacing w:after="0"/>
      <w:ind w:left="240"/>
    </w:pPr>
    <w:rPr>
      <w:rFonts w:ascii="Calibri" w:hAnsi="Calibri"/>
      <w:smallCaps/>
      <w:sz w:val="20"/>
      <w:szCs w:val="20"/>
    </w:rPr>
  </w:style>
  <w:style w:type="paragraph" w:styleId="TOC3">
    <w:name w:val="toc 3"/>
    <w:basedOn w:val="Normal"/>
    <w:next w:val="Normal"/>
    <w:autoRedefine/>
    <w:uiPriority w:val="39"/>
    <w:rsid w:val="00E16589"/>
    <w:pPr>
      <w:spacing w:after="0"/>
      <w:ind w:left="480"/>
    </w:pPr>
    <w:rPr>
      <w:rFonts w:ascii="Calibri" w:hAnsi="Calibri"/>
      <w:i/>
      <w:iCs/>
      <w:sz w:val="20"/>
      <w:szCs w:val="20"/>
    </w:rPr>
  </w:style>
  <w:style w:type="numbering" w:customStyle="1" w:styleId="Numberlist">
    <w:name w:val="Number list"/>
    <w:basedOn w:val="NoList"/>
    <w:rsid w:val="007464B0"/>
    <w:pPr>
      <w:numPr>
        <w:numId w:val="4"/>
      </w:numPr>
    </w:pPr>
  </w:style>
  <w:style w:type="paragraph" w:styleId="Header">
    <w:name w:val="header"/>
    <w:basedOn w:val="Normal"/>
    <w:link w:val="HeaderChar"/>
    <w:uiPriority w:val="99"/>
    <w:rsid w:val="00D5710C"/>
    <w:pPr>
      <w:tabs>
        <w:tab w:val="center" w:pos="4513"/>
        <w:tab w:val="right" w:pos="9026"/>
      </w:tabs>
    </w:pPr>
  </w:style>
  <w:style w:type="paragraph" w:customStyle="1" w:styleId="DECCInsidebullets">
    <w:name w:val="DECC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basedOn w:val="DefaultParagraphFont"/>
    <w:link w:val="Header"/>
    <w:uiPriority w:val="99"/>
    <w:rsid w:val="00D5710C"/>
    <w:rPr>
      <w:rFonts w:ascii="Arial" w:hAnsi="Arial"/>
      <w:sz w:val="24"/>
      <w:szCs w:val="24"/>
      <w:lang w:eastAsia="en-US"/>
    </w:rPr>
  </w:style>
  <w:style w:type="paragraph" w:customStyle="1" w:styleId="TableTitleRomanWhite">
    <w:name w:val="Table Title Roman White"/>
    <w:basedOn w:val="TableTitle"/>
    <w:uiPriority w:val="99"/>
    <w:rsid w:val="00C913EC"/>
    <w:rPr>
      <w:b/>
      <w:color w:val="FFFFFF"/>
    </w:rPr>
  </w:style>
  <w:style w:type="paragraph" w:customStyle="1" w:styleId="DECCOddHeader">
    <w:name w:val="DECC Odd Header"/>
    <w:basedOn w:val="Normal"/>
    <w:autoRedefine/>
    <w:rsid w:val="00FC508A"/>
    <w:pPr>
      <w:tabs>
        <w:tab w:val="center" w:pos="4153"/>
        <w:tab w:val="right" w:pos="8306"/>
      </w:tabs>
      <w:jc w:val="right"/>
    </w:pPr>
    <w:rPr>
      <w:color w:val="0066CC"/>
      <w:sz w:val="18"/>
    </w:rPr>
  </w:style>
  <w:style w:type="paragraph" w:customStyle="1" w:styleId="Introparagraph">
    <w:name w:val="Intro paragraph"/>
    <w:basedOn w:val="Normal"/>
    <w:autoRedefine/>
    <w:rsid w:val="0095568B"/>
    <w:pPr>
      <w:keepNext/>
      <w:spacing w:before="120" w:after="816"/>
      <w:outlineLvl w:val="0"/>
    </w:pPr>
    <w:rPr>
      <w:b/>
      <w:bCs/>
      <w:kern w:val="32"/>
      <w:sz w:val="28"/>
      <w:szCs w:val="56"/>
    </w:rPr>
  </w:style>
  <w:style w:type="paragraph" w:customStyle="1" w:styleId="TintBox">
    <w:name w:val="Tint Box"/>
    <w:basedOn w:val="Normal"/>
    <w:next w:val="Normal"/>
    <w:rsid w:val="00E16589"/>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rsid w:val="00D5710C"/>
    <w:rPr>
      <w:rFonts w:ascii="Arial" w:hAnsi="Arial"/>
      <w:sz w:val="24"/>
      <w:szCs w:val="24"/>
      <w:lang w:eastAsia="en-US"/>
    </w:rPr>
  </w:style>
  <w:style w:type="character" w:styleId="FollowedHyperlink">
    <w:name w:val="FollowedHyperlink"/>
    <w:basedOn w:val="DefaultParagraphFont"/>
    <w:rsid w:val="003213B0"/>
    <w:rPr>
      <w:color w:val="800080"/>
      <w:u w:val="single"/>
    </w:rPr>
  </w:style>
  <w:style w:type="paragraph" w:styleId="TOCHeading">
    <w:name w:val="TOC Heading"/>
    <w:basedOn w:val="Heading1"/>
    <w:next w:val="Normal"/>
    <w:uiPriority w:val="39"/>
    <w:qFormat/>
    <w:rsid w:val="00873216"/>
    <w:pPr>
      <w:keepLines/>
      <w:spacing w:before="480" w:after="0" w:line="276" w:lineRule="auto"/>
      <w:ind w:left="0"/>
      <w:outlineLvl w:val="9"/>
    </w:pPr>
    <w:rPr>
      <w:rFonts w:ascii="Cambria" w:hAnsi="Cambria"/>
      <w:color w:val="365F91"/>
      <w:kern w:val="0"/>
      <w:sz w:val="28"/>
      <w:szCs w:val="28"/>
      <w:lang w:val="en-US"/>
    </w:rPr>
  </w:style>
  <w:style w:type="paragraph" w:customStyle="1" w:styleId="DECCnumberingBold">
    <w:name w:val="DECC numbering Bold"/>
    <w:basedOn w:val="Normal"/>
    <w:autoRedefine/>
    <w:uiPriority w:val="99"/>
    <w:rsid w:val="00986EAF"/>
    <w:pPr>
      <w:numPr>
        <w:numId w:val="40"/>
      </w:numPr>
      <w:ind w:left="426"/>
    </w:pPr>
    <w:rPr>
      <w:rFonts w:cs="Arial"/>
    </w:rPr>
  </w:style>
  <w:style w:type="numbering" w:customStyle="1" w:styleId="TableBullets">
    <w:name w:val="Table Bullets"/>
    <w:basedOn w:val="NoList"/>
    <w:rsid w:val="00F332F9"/>
    <w:pPr>
      <w:numPr>
        <w:numId w:val="3"/>
      </w:numPr>
    </w:pPr>
  </w:style>
  <w:style w:type="character" w:styleId="Hyperlink">
    <w:name w:val="Hyperlink"/>
    <w:basedOn w:val="DefaultParagraphFont"/>
    <w:uiPriority w:val="99"/>
    <w:unhideWhenUsed/>
    <w:rsid w:val="00873216"/>
    <w:rPr>
      <w:color w:val="0000FF"/>
      <w:u w:val="single"/>
    </w:rPr>
  </w:style>
  <w:style w:type="character" w:customStyle="1" w:styleId="Page1White">
    <w:name w:val="Page 1 White"/>
    <w:basedOn w:val="DefaultParagraphFont"/>
    <w:rsid w:val="00FC508A"/>
    <w:rPr>
      <w:rFonts w:ascii="Arial" w:hAnsi="Arial"/>
      <w:color w:val="FFFFFF"/>
      <w:sz w:val="24"/>
    </w:rPr>
  </w:style>
  <w:style w:type="paragraph" w:customStyle="1" w:styleId="EvenPageNumber">
    <w:name w:val="Even Page Number"/>
    <w:basedOn w:val="Normal"/>
    <w:rsid w:val="00D5710C"/>
    <w:rPr>
      <w:color w:val="009EE3"/>
    </w:rPr>
  </w:style>
  <w:style w:type="paragraph" w:customStyle="1" w:styleId="DECCEvenHeader">
    <w:name w:val="DECC Even Header"/>
    <w:basedOn w:val="DECCOddHeader"/>
    <w:rsid w:val="00A95640"/>
    <w:pPr>
      <w:jc w:val="left"/>
    </w:pPr>
  </w:style>
  <w:style w:type="paragraph" w:customStyle="1" w:styleId="ListParagraph1">
    <w:name w:val="List Paragraph1"/>
    <w:aliases w:val="Bullet 1,Numbered Para 1,Dot pt,No Spacing1,List Paragraph Char Char Char,Indicator Text"/>
    <w:basedOn w:val="Normal"/>
    <w:link w:val="ListParagraphChar"/>
    <w:uiPriority w:val="34"/>
    <w:qFormat/>
    <w:rsid w:val="00024217"/>
    <w:pPr>
      <w:spacing w:after="200" w:line="276" w:lineRule="auto"/>
      <w:ind w:left="720"/>
      <w:contextualSpacing/>
    </w:pPr>
    <w:rPr>
      <w:rFonts w:ascii="Calibri" w:eastAsia="Calibri" w:hAnsi="Calibri"/>
      <w:sz w:val="20"/>
      <w:szCs w:val="20"/>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basedOn w:val="DefaultParagraphFont"/>
    <w:rsid w:val="00533C58"/>
    <w:rPr>
      <w:color w:val="009EE3"/>
    </w:rPr>
  </w:style>
  <w:style w:type="character" w:customStyle="1" w:styleId="Pantone144">
    <w:name w:val="Pantone 144"/>
    <w:basedOn w:val="DefaultParagraphFont"/>
    <w:rsid w:val="00533C58"/>
    <w:rPr>
      <w:color w:val="F08015"/>
    </w:rPr>
  </w:style>
  <w:style w:type="character" w:customStyle="1" w:styleId="Pantone187">
    <w:name w:val="Pantone 187"/>
    <w:basedOn w:val="DefaultParagraphFont"/>
    <w:rsid w:val="00533C58"/>
    <w:rPr>
      <w:color w:val="AA0721"/>
    </w:rPr>
  </w:style>
  <w:style w:type="character" w:customStyle="1" w:styleId="Pantone2593">
    <w:name w:val="Pantone 2593"/>
    <w:basedOn w:val="DefaultParagraphFont"/>
    <w:rsid w:val="00533C58"/>
    <w:rPr>
      <w:color w:val="742F89"/>
    </w:rPr>
  </w:style>
  <w:style w:type="character" w:customStyle="1" w:styleId="PantoneWhite">
    <w:name w:val="Pantone White"/>
    <w:basedOn w:val="Pantone2593"/>
    <w:uiPriority w:val="99"/>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DECCCovertext"/>
    <w:rsid w:val="00624791"/>
    <w:pPr>
      <w:spacing w:after="0" w:line="20" w:lineRule="exact"/>
    </w:pPr>
  </w:style>
  <w:style w:type="paragraph" w:customStyle="1" w:styleId="EndpageText">
    <w:name w:val="End page Text"/>
    <w:basedOn w:val="Normal"/>
    <w:uiPriority w:val="99"/>
    <w:rsid w:val="00484B18"/>
    <w:pPr>
      <w:spacing w:after="0" w:line="260" w:lineRule="exact"/>
    </w:pPr>
    <w:rPr>
      <w:color w:val="FFFFFF"/>
      <w:sz w:val="20"/>
    </w:rPr>
  </w:style>
  <w:style w:type="numbering" w:customStyle="1" w:styleId="StyleOutlinenumberedLeft089cmHanging063cm">
    <w:name w:val="Style Outline numbered Left:  0.89 cm Hanging:  0.63 cm"/>
    <w:basedOn w:val="NoList"/>
    <w:rsid w:val="005F064A"/>
    <w:pPr>
      <w:numPr>
        <w:numId w:val="5"/>
      </w:numPr>
    </w:p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1"/>
    <w:uiPriority w:val="34"/>
    <w:qFormat/>
    <w:locked/>
    <w:rsid w:val="00024217"/>
    <w:rPr>
      <w:rFonts w:ascii="Calibri" w:eastAsia="Calibri" w:hAnsi="Calibri"/>
      <w:lang w:eastAsia="en-US"/>
    </w:rPr>
  </w:style>
  <w:style w:type="paragraph" w:styleId="FootnoteText">
    <w:name w:val="footnote text"/>
    <w:basedOn w:val="Normal"/>
    <w:link w:val="FootnoteTextChar"/>
    <w:uiPriority w:val="99"/>
    <w:qFormat/>
    <w:rsid w:val="004A561B"/>
    <w:pPr>
      <w:spacing w:after="200" w:line="276" w:lineRule="auto"/>
      <w:ind w:left="0"/>
    </w:pPr>
    <w:rPr>
      <w:rFonts w:ascii="Calibri" w:hAnsi="Calibri"/>
      <w:sz w:val="20"/>
      <w:szCs w:val="20"/>
    </w:rPr>
  </w:style>
  <w:style w:type="character" w:customStyle="1" w:styleId="Heading2Char">
    <w:name w:val="Heading 2 Char"/>
    <w:basedOn w:val="DefaultParagraphFont"/>
    <w:link w:val="Heading2"/>
    <w:rsid w:val="00373222"/>
    <w:rPr>
      <w:rFonts w:ascii="Arial" w:hAnsi="Arial"/>
      <w:b/>
      <w:bCs/>
      <w:iCs/>
      <w:color w:val="009EE3"/>
      <w:kern w:val="32"/>
      <w:sz w:val="28"/>
      <w:szCs w:val="28"/>
      <w:lang w:eastAsia="en-US"/>
    </w:rPr>
  </w:style>
  <w:style w:type="character" w:customStyle="1" w:styleId="Heading3Char">
    <w:name w:val="Heading 3 Char"/>
    <w:basedOn w:val="DefaultParagraphFont"/>
    <w:link w:val="Heading3"/>
    <w:rsid w:val="00373222"/>
    <w:rPr>
      <w:rFonts w:ascii="Arial" w:hAnsi="Arial"/>
      <w:b/>
      <w:bCs/>
      <w:color w:val="FF9900"/>
      <w:sz w:val="26"/>
      <w:szCs w:val="26"/>
      <w:lang w:eastAsia="en-US"/>
    </w:rPr>
  </w:style>
  <w:style w:type="character" w:customStyle="1" w:styleId="Heading4Char">
    <w:name w:val="Heading 4 Char"/>
    <w:basedOn w:val="DefaultParagraphFont"/>
    <w:link w:val="Heading4"/>
    <w:rsid w:val="005F064A"/>
    <w:rPr>
      <w:rFonts w:ascii="Arial" w:hAnsi="Arial"/>
      <w:b/>
      <w:sz w:val="24"/>
      <w:szCs w:val="24"/>
      <w:lang w:eastAsia="en-US"/>
    </w:rPr>
  </w:style>
  <w:style w:type="paragraph" w:customStyle="1" w:styleId="Tabletextnon-bold">
    <w:name w:val="Table text non-bold"/>
    <w:basedOn w:val="TableText"/>
    <w:qFormat/>
    <w:rsid w:val="00484B18"/>
    <w:rPr>
      <w:b w:val="0"/>
    </w:rPr>
  </w:style>
  <w:style w:type="paragraph" w:styleId="Caption">
    <w:name w:val="caption"/>
    <w:basedOn w:val="Normal"/>
    <w:next w:val="Normal"/>
    <w:uiPriority w:val="99"/>
    <w:qFormat/>
    <w:rsid w:val="00FC508A"/>
    <w:rPr>
      <w:b/>
    </w:rPr>
  </w:style>
  <w:style w:type="character" w:customStyle="1" w:styleId="FootnoteTextChar">
    <w:name w:val="Footnote Text Char"/>
    <w:basedOn w:val="DefaultParagraphFont"/>
    <w:link w:val="FootnoteText"/>
    <w:uiPriority w:val="99"/>
    <w:rsid w:val="004A561B"/>
    <w:rPr>
      <w:rFonts w:ascii="Calibri" w:hAnsi="Calibri"/>
      <w:lang w:eastAsia="en-US"/>
    </w:rPr>
  </w:style>
  <w:style w:type="character" w:styleId="FootnoteReference">
    <w:name w:val="footnote reference"/>
    <w:aliases w:val="EN Footnote Reference,SUPERS"/>
    <w:basedOn w:val="DefaultParagraphFont"/>
    <w:uiPriority w:val="99"/>
    <w:rsid w:val="004A561B"/>
    <w:rPr>
      <w:rFonts w:cs="Times New Roman"/>
      <w:vertAlign w:val="superscript"/>
    </w:rPr>
  </w:style>
  <w:style w:type="character" w:styleId="Emphasis">
    <w:name w:val="Emphasis"/>
    <w:basedOn w:val="DefaultParagraphFont"/>
    <w:qFormat/>
    <w:rsid w:val="00246CB3"/>
    <w:rPr>
      <w:i/>
      <w:iCs/>
    </w:rPr>
  </w:style>
  <w:style w:type="paragraph" w:customStyle="1" w:styleId="msolistparagraph0">
    <w:name w:val="msolistparagraph"/>
    <w:basedOn w:val="Normal"/>
    <w:uiPriority w:val="99"/>
    <w:rsid w:val="005718BD"/>
    <w:pPr>
      <w:spacing w:after="0"/>
      <w:ind w:left="720"/>
    </w:pPr>
    <w:rPr>
      <w:rFonts w:ascii="Calibri" w:hAnsi="Calibri"/>
      <w:sz w:val="20"/>
      <w:szCs w:val="20"/>
      <w:lang w:eastAsia="en-GB"/>
    </w:rPr>
  </w:style>
  <w:style w:type="paragraph" w:styleId="NormalWeb">
    <w:name w:val="Normal (Web)"/>
    <w:basedOn w:val="Normal"/>
    <w:uiPriority w:val="99"/>
    <w:rsid w:val="005718BD"/>
    <w:pPr>
      <w:spacing w:before="100" w:beforeAutospacing="1" w:after="100" w:afterAutospacing="1"/>
      <w:ind w:left="0"/>
    </w:pPr>
    <w:rPr>
      <w:rFonts w:ascii="Times New Roman" w:hAnsi="Times New Roman"/>
      <w:lang w:eastAsia="en-GB"/>
    </w:rPr>
  </w:style>
  <w:style w:type="paragraph" w:styleId="BalloonText">
    <w:name w:val="Balloon Text"/>
    <w:basedOn w:val="Normal"/>
    <w:link w:val="BalloonTextChar"/>
    <w:rsid w:val="00D26394"/>
    <w:pPr>
      <w:spacing w:after="0"/>
    </w:pPr>
    <w:rPr>
      <w:rFonts w:ascii="Tahoma" w:hAnsi="Tahoma" w:cs="Tahoma"/>
      <w:sz w:val="16"/>
      <w:szCs w:val="16"/>
    </w:rPr>
  </w:style>
  <w:style w:type="character" w:customStyle="1" w:styleId="BalloonTextChar">
    <w:name w:val="Balloon Text Char"/>
    <w:basedOn w:val="DefaultParagraphFont"/>
    <w:link w:val="BalloonText"/>
    <w:rsid w:val="00D26394"/>
    <w:rPr>
      <w:rFonts w:ascii="Tahoma" w:hAnsi="Tahoma" w:cs="Tahoma"/>
      <w:sz w:val="16"/>
      <w:szCs w:val="16"/>
      <w:lang w:eastAsia="en-US"/>
    </w:rPr>
  </w:style>
  <w:style w:type="character" w:styleId="CommentReference">
    <w:name w:val="annotation reference"/>
    <w:basedOn w:val="DefaultParagraphFont"/>
    <w:uiPriority w:val="99"/>
    <w:rsid w:val="0096471C"/>
    <w:rPr>
      <w:sz w:val="16"/>
      <w:szCs w:val="16"/>
    </w:rPr>
  </w:style>
  <w:style w:type="paragraph" w:styleId="CommentText">
    <w:name w:val="annotation text"/>
    <w:basedOn w:val="Normal"/>
    <w:link w:val="CommentTextChar"/>
    <w:uiPriority w:val="99"/>
    <w:rsid w:val="0096471C"/>
    <w:rPr>
      <w:sz w:val="20"/>
      <w:szCs w:val="20"/>
    </w:rPr>
  </w:style>
  <w:style w:type="character" w:customStyle="1" w:styleId="CommentTextChar">
    <w:name w:val="Comment Text Char"/>
    <w:basedOn w:val="DefaultParagraphFont"/>
    <w:link w:val="CommentText"/>
    <w:uiPriority w:val="99"/>
    <w:rsid w:val="0096471C"/>
    <w:rPr>
      <w:rFonts w:ascii="Arial" w:hAnsi="Arial"/>
      <w:lang w:eastAsia="en-US"/>
    </w:rPr>
  </w:style>
  <w:style w:type="paragraph" w:styleId="CommentSubject">
    <w:name w:val="annotation subject"/>
    <w:basedOn w:val="CommentText"/>
    <w:next w:val="CommentText"/>
    <w:link w:val="CommentSubjectChar"/>
    <w:rsid w:val="0096471C"/>
    <w:rPr>
      <w:b/>
      <w:bCs/>
    </w:rPr>
  </w:style>
  <w:style w:type="character" w:customStyle="1" w:styleId="CommentSubjectChar">
    <w:name w:val="Comment Subject Char"/>
    <w:basedOn w:val="CommentTextChar"/>
    <w:link w:val="CommentSubject"/>
    <w:rsid w:val="0096471C"/>
    <w:rPr>
      <w:b/>
      <w:bCs/>
    </w:rPr>
  </w:style>
  <w:style w:type="character" w:customStyle="1" w:styleId="hide3">
    <w:name w:val="hide3"/>
    <w:basedOn w:val="DefaultParagraphFont"/>
    <w:rsid w:val="006369FB"/>
  </w:style>
  <w:style w:type="paragraph" w:customStyle="1" w:styleId="Default">
    <w:name w:val="Default"/>
    <w:rsid w:val="00A90E0B"/>
    <w:pPr>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rsid w:val="00207C5E"/>
    <w:pPr>
      <w:spacing w:after="0"/>
      <w:ind w:left="720"/>
    </w:pPr>
    <w:rPr>
      <w:rFonts w:ascii="Calibri" w:hAnsi="Calibri"/>
      <w:sz w:val="18"/>
      <w:szCs w:val="18"/>
    </w:rPr>
  </w:style>
  <w:style w:type="paragraph" w:styleId="TOC5">
    <w:name w:val="toc 5"/>
    <w:basedOn w:val="Normal"/>
    <w:next w:val="Normal"/>
    <w:autoRedefine/>
    <w:uiPriority w:val="39"/>
    <w:rsid w:val="00207C5E"/>
    <w:pPr>
      <w:spacing w:after="0"/>
      <w:ind w:left="960"/>
    </w:pPr>
    <w:rPr>
      <w:rFonts w:ascii="Calibri" w:hAnsi="Calibri"/>
      <w:sz w:val="18"/>
      <w:szCs w:val="18"/>
    </w:rPr>
  </w:style>
  <w:style w:type="paragraph" w:styleId="TOC6">
    <w:name w:val="toc 6"/>
    <w:basedOn w:val="Normal"/>
    <w:next w:val="Normal"/>
    <w:autoRedefine/>
    <w:uiPriority w:val="39"/>
    <w:rsid w:val="00207C5E"/>
    <w:pPr>
      <w:spacing w:after="0"/>
      <w:ind w:left="1200"/>
    </w:pPr>
    <w:rPr>
      <w:rFonts w:ascii="Calibri" w:hAnsi="Calibri"/>
      <w:sz w:val="18"/>
      <w:szCs w:val="18"/>
    </w:rPr>
  </w:style>
  <w:style w:type="paragraph" w:styleId="TOC7">
    <w:name w:val="toc 7"/>
    <w:basedOn w:val="Normal"/>
    <w:next w:val="Normal"/>
    <w:autoRedefine/>
    <w:uiPriority w:val="39"/>
    <w:rsid w:val="00207C5E"/>
    <w:pPr>
      <w:spacing w:after="0"/>
      <w:ind w:left="1440"/>
    </w:pPr>
    <w:rPr>
      <w:rFonts w:ascii="Calibri" w:hAnsi="Calibri"/>
      <w:sz w:val="18"/>
      <w:szCs w:val="18"/>
    </w:rPr>
  </w:style>
  <w:style w:type="paragraph" w:styleId="TOC8">
    <w:name w:val="toc 8"/>
    <w:basedOn w:val="Normal"/>
    <w:next w:val="Normal"/>
    <w:autoRedefine/>
    <w:uiPriority w:val="39"/>
    <w:rsid w:val="00207C5E"/>
    <w:pPr>
      <w:spacing w:after="0"/>
      <w:ind w:left="1680"/>
    </w:pPr>
    <w:rPr>
      <w:rFonts w:ascii="Calibri" w:hAnsi="Calibri"/>
      <w:sz w:val="18"/>
      <w:szCs w:val="18"/>
    </w:rPr>
  </w:style>
  <w:style w:type="paragraph" w:styleId="TOC9">
    <w:name w:val="toc 9"/>
    <w:basedOn w:val="Normal"/>
    <w:next w:val="Normal"/>
    <w:autoRedefine/>
    <w:uiPriority w:val="39"/>
    <w:rsid w:val="00207C5E"/>
    <w:pPr>
      <w:spacing w:after="0"/>
      <w:ind w:left="1920"/>
    </w:pPr>
    <w:rPr>
      <w:rFonts w:ascii="Calibri" w:hAnsi="Calibri"/>
      <w:sz w:val="18"/>
      <w:szCs w:val="18"/>
    </w:rPr>
  </w:style>
  <w:style w:type="character" w:customStyle="1" w:styleId="yiv1636427688apple-style-span">
    <w:name w:val="yiv1636427688apple-style-span"/>
    <w:basedOn w:val="DefaultParagraphFont"/>
    <w:uiPriority w:val="99"/>
    <w:rsid w:val="003F2C4C"/>
    <w:rPr>
      <w:rFonts w:cs="Times New Roman"/>
    </w:rPr>
  </w:style>
  <w:style w:type="character" w:customStyle="1" w:styleId="apple-style-span">
    <w:name w:val="apple-style-span"/>
    <w:basedOn w:val="DefaultParagraphFont"/>
    <w:uiPriority w:val="99"/>
    <w:rsid w:val="001E27E7"/>
    <w:rPr>
      <w:rFonts w:cs="Times New Roman"/>
    </w:rPr>
  </w:style>
  <w:style w:type="character" w:customStyle="1" w:styleId="yiv1036703747apple-style-span">
    <w:name w:val="yiv1036703747apple-style-span"/>
    <w:basedOn w:val="DefaultParagraphFont"/>
    <w:uiPriority w:val="99"/>
    <w:rsid w:val="00901635"/>
    <w:rPr>
      <w:rFonts w:cs="Times New Roman"/>
    </w:rPr>
  </w:style>
  <w:style w:type="paragraph" w:styleId="PlainText">
    <w:name w:val="Plain Text"/>
    <w:basedOn w:val="Normal"/>
    <w:link w:val="PlainTextChar"/>
    <w:uiPriority w:val="99"/>
    <w:unhideWhenUsed/>
    <w:rsid w:val="007A2884"/>
    <w:pPr>
      <w:spacing w:after="0"/>
      <w:ind w:left="0"/>
    </w:pPr>
    <w:rPr>
      <w:rFonts w:ascii="Consolas" w:hAnsi="Consolas"/>
      <w:sz w:val="21"/>
      <w:szCs w:val="21"/>
      <w:lang w:eastAsia="en-GB"/>
    </w:rPr>
  </w:style>
  <w:style w:type="character" w:customStyle="1" w:styleId="PlainTextChar">
    <w:name w:val="Plain Text Char"/>
    <w:basedOn w:val="DefaultParagraphFont"/>
    <w:link w:val="PlainText"/>
    <w:uiPriority w:val="99"/>
    <w:rsid w:val="007A2884"/>
    <w:rPr>
      <w:rFonts w:ascii="Consolas" w:hAnsi="Consolas"/>
      <w:sz w:val="21"/>
      <w:szCs w:val="21"/>
    </w:rPr>
  </w:style>
  <w:style w:type="paragraph" w:customStyle="1" w:styleId="NPSBodyText">
    <w:name w:val="NPS Body Text"/>
    <w:basedOn w:val="Normal"/>
    <w:rsid w:val="004823EB"/>
    <w:pPr>
      <w:numPr>
        <w:ilvl w:val="2"/>
        <w:numId w:val="9"/>
      </w:numPr>
      <w:spacing w:after="240"/>
      <w:outlineLvl w:val="1"/>
    </w:pPr>
    <w:rPr>
      <w:rFonts w:cs="Arial"/>
      <w:szCs w:val="26"/>
      <w:lang w:val="en-US"/>
    </w:rPr>
  </w:style>
  <w:style w:type="paragraph" w:customStyle="1" w:styleId="NPSPartHeading">
    <w:name w:val="NPS Part Heading"/>
    <w:basedOn w:val="Heading1"/>
    <w:next w:val="Normal"/>
    <w:rsid w:val="004823EB"/>
    <w:pPr>
      <w:keepNext w:val="0"/>
      <w:numPr>
        <w:numId w:val="9"/>
      </w:numPr>
      <w:spacing w:after="240"/>
    </w:pPr>
    <w:rPr>
      <w:rFonts w:ascii="Arial Bold" w:eastAsia="Calibri" w:hAnsi="Arial Bold"/>
      <w:bCs w:val="0"/>
      <w:caps/>
      <w:color w:val="auto"/>
      <w:kern w:val="0"/>
      <w:sz w:val="24"/>
      <w:szCs w:val="24"/>
      <w:lang w:val="en-US"/>
    </w:rPr>
  </w:style>
  <w:style w:type="paragraph" w:customStyle="1" w:styleId="NPSSectionHeading">
    <w:name w:val="NPS Section Heading"/>
    <w:basedOn w:val="Heading2"/>
    <w:next w:val="Normal"/>
    <w:rsid w:val="004823EB"/>
    <w:pPr>
      <w:keepNext w:val="0"/>
      <w:numPr>
        <w:ilvl w:val="1"/>
        <w:numId w:val="9"/>
      </w:numPr>
      <w:spacing w:before="0" w:after="240"/>
    </w:pPr>
    <w:rPr>
      <w:rFonts w:ascii="Arial Bold" w:hAnsi="Arial Bold"/>
      <w:bCs w:val="0"/>
      <w:iCs w:val="0"/>
      <w:smallCaps/>
      <w:color w:val="auto"/>
      <w:kern w:val="0"/>
      <w:sz w:val="24"/>
      <w:szCs w:val="24"/>
      <w:lang w:val="en-US"/>
    </w:rPr>
  </w:style>
  <w:style w:type="paragraph" w:styleId="NoSpacing">
    <w:name w:val="No Spacing"/>
    <w:uiPriority w:val="1"/>
    <w:qFormat/>
    <w:rsid w:val="00196549"/>
    <w:rPr>
      <w:rFonts w:ascii="Arial" w:eastAsia="Calibri" w:hAnsi="Arial"/>
      <w:sz w:val="24"/>
      <w:szCs w:val="22"/>
      <w:lang w:eastAsia="en-US"/>
    </w:rPr>
  </w:style>
  <w:style w:type="paragraph" w:styleId="ListParagraph">
    <w:name w:val="List Paragraph"/>
    <w:basedOn w:val="Normal"/>
    <w:uiPriority w:val="34"/>
    <w:qFormat/>
    <w:rsid w:val="005B760E"/>
    <w:pPr>
      <w:ind w:left="720"/>
    </w:pPr>
  </w:style>
  <w:style w:type="paragraph" w:styleId="Revision">
    <w:name w:val="Revision"/>
    <w:hidden/>
    <w:uiPriority w:val="99"/>
    <w:semiHidden/>
    <w:rsid w:val="0034423E"/>
    <w:rPr>
      <w:rFonts w:ascii="Arial" w:hAnsi="Arial"/>
      <w:sz w:val="24"/>
      <w:szCs w:val="24"/>
      <w:lang w:eastAsia="en-US"/>
    </w:rPr>
  </w:style>
  <w:style w:type="paragraph" w:styleId="Quote">
    <w:name w:val="Quote"/>
    <w:basedOn w:val="Normal"/>
    <w:next w:val="Normal"/>
    <w:link w:val="QuoteChar"/>
    <w:uiPriority w:val="29"/>
    <w:qFormat/>
    <w:rsid w:val="00647F74"/>
    <w:rPr>
      <w:i/>
      <w:iCs/>
      <w:color w:val="000000"/>
    </w:rPr>
  </w:style>
  <w:style w:type="character" w:customStyle="1" w:styleId="QuoteChar">
    <w:name w:val="Quote Char"/>
    <w:basedOn w:val="DefaultParagraphFont"/>
    <w:link w:val="Quote"/>
    <w:uiPriority w:val="29"/>
    <w:rsid w:val="00647F74"/>
    <w:rPr>
      <w:rFonts w:ascii="Arial" w:hAnsi="Arial"/>
      <w:i/>
      <w:iCs/>
      <w:color w:val="000000"/>
      <w:sz w:val="24"/>
      <w:szCs w:val="24"/>
      <w:lang w:eastAsia="en-US"/>
    </w:rPr>
  </w:style>
  <w:style w:type="paragraph" w:styleId="Title">
    <w:name w:val="Title"/>
    <w:basedOn w:val="Normal"/>
    <w:next w:val="Normal"/>
    <w:link w:val="TitleChar"/>
    <w:qFormat/>
    <w:rsid w:val="000240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24094"/>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59642095">
      <w:bodyDiv w:val="1"/>
      <w:marLeft w:val="0"/>
      <w:marRight w:val="0"/>
      <w:marTop w:val="0"/>
      <w:marBottom w:val="0"/>
      <w:divBdr>
        <w:top w:val="none" w:sz="0" w:space="0" w:color="auto"/>
        <w:left w:val="none" w:sz="0" w:space="0" w:color="auto"/>
        <w:bottom w:val="none" w:sz="0" w:space="0" w:color="auto"/>
        <w:right w:val="none" w:sz="0" w:space="0" w:color="auto"/>
      </w:divBdr>
    </w:div>
    <w:div w:id="61831225">
      <w:bodyDiv w:val="1"/>
      <w:marLeft w:val="0"/>
      <w:marRight w:val="0"/>
      <w:marTop w:val="0"/>
      <w:marBottom w:val="0"/>
      <w:divBdr>
        <w:top w:val="none" w:sz="0" w:space="0" w:color="auto"/>
        <w:left w:val="none" w:sz="0" w:space="0" w:color="auto"/>
        <w:bottom w:val="none" w:sz="0" w:space="0" w:color="auto"/>
        <w:right w:val="none" w:sz="0" w:space="0" w:color="auto"/>
      </w:divBdr>
    </w:div>
    <w:div w:id="67846246">
      <w:bodyDiv w:val="1"/>
      <w:marLeft w:val="0"/>
      <w:marRight w:val="0"/>
      <w:marTop w:val="0"/>
      <w:marBottom w:val="0"/>
      <w:divBdr>
        <w:top w:val="none" w:sz="0" w:space="0" w:color="auto"/>
        <w:left w:val="none" w:sz="0" w:space="0" w:color="auto"/>
        <w:bottom w:val="none" w:sz="0" w:space="0" w:color="auto"/>
        <w:right w:val="none" w:sz="0" w:space="0" w:color="auto"/>
      </w:divBdr>
    </w:div>
    <w:div w:id="109403088">
      <w:bodyDiv w:val="1"/>
      <w:marLeft w:val="0"/>
      <w:marRight w:val="0"/>
      <w:marTop w:val="0"/>
      <w:marBottom w:val="0"/>
      <w:divBdr>
        <w:top w:val="none" w:sz="0" w:space="0" w:color="auto"/>
        <w:left w:val="none" w:sz="0" w:space="0" w:color="auto"/>
        <w:bottom w:val="none" w:sz="0" w:space="0" w:color="auto"/>
        <w:right w:val="none" w:sz="0" w:space="0" w:color="auto"/>
      </w:divBdr>
    </w:div>
    <w:div w:id="123474917">
      <w:bodyDiv w:val="1"/>
      <w:marLeft w:val="0"/>
      <w:marRight w:val="0"/>
      <w:marTop w:val="0"/>
      <w:marBottom w:val="0"/>
      <w:divBdr>
        <w:top w:val="none" w:sz="0" w:space="0" w:color="auto"/>
        <w:left w:val="none" w:sz="0" w:space="0" w:color="auto"/>
        <w:bottom w:val="none" w:sz="0" w:space="0" w:color="auto"/>
        <w:right w:val="none" w:sz="0" w:space="0" w:color="auto"/>
      </w:divBdr>
    </w:div>
    <w:div w:id="231090595">
      <w:bodyDiv w:val="1"/>
      <w:marLeft w:val="0"/>
      <w:marRight w:val="0"/>
      <w:marTop w:val="0"/>
      <w:marBottom w:val="0"/>
      <w:divBdr>
        <w:top w:val="none" w:sz="0" w:space="0" w:color="auto"/>
        <w:left w:val="none" w:sz="0" w:space="0" w:color="auto"/>
        <w:bottom w:val="none" w:sz="0" w:space="0" w:color="auto"/>
        <w:right w:val="none" w:sz="0" w:space="0" w:color="auto"/>
      </w:divBdr>
    </w:div>
    <w:div w:id="234053324">
      <w:bodyDiv w:val="1"/>
      <w:marLeft w:val="0"/>
      <w:marRight w:val="0"/>
      <w:marTop w:val="0"/>
      <w:marBottom w:val="0"/>
      <w:divBdr>
        <w:top w:val="none" w:sz="0" w:space="0" w:color="auto"/>
        <w:left w:val="none" w:sz="0" w:space="0" w:color="auto"/>
        <w:bottom w:val="none" w:sz="0" w:space="0" w:color="auto"/>
        <w:right w:val="none" w:sz="0" w:space="0" w:color="auto"/>
      </w:divBdr>
    </w:div>
    <w:div w:id="312568598">
      <w:bodyDiv w:val="1"/>
      <w:marLeft w:val="0"/>
      <w:marRight w:val="0"/>
      <w:marTop w:val="0"/>
      <w:marBottom w:val="0"/>
      <w:divBdr>
        <w:top w:val="none" w:sz="0" w:space="0" w:color="auto"/>
        <w:left w:val="none" w:sz="0" w:space="0" w:color="auto"/>
        <w:bottom w:val="none" w:sz="0" w:space="0" w:color="auto"/>
        <w:right w:val="none" w:sz="0" w:space="0" w:color="auto"/>
      </w:divBdr>
    </w:div>
    <w:div w:id="391346986">
      <w:bodyDiv w:val="1"/>
      <w:marLeft w:val="0"/>
      <w:marRight w:val="0"/>
      <w:marTop w:val="0"/>
      <w:marBottom w:val="0"/>
      <w:divBdr>
        <w:top w:val="none" w:sz="0" w:space="0" w:color="auto"/>
        <w:left w:val="none" w:sz="0" w:space="0" w:color="auto"/>
        <w:bottom w:val="none" w:sz="0" w:space="0" w:color="auto"/>
        <w:right w:val="none" w:sz="0" w:space="0" w:color="auto"/>
      </w:divBdr>
    </w:div>
    <w:div w:id="427240715">
      <w:bodyDiv w:val="1"/>
      <w:marLeft w:val="0"/>
      <w:marRight w:val="0"/>
      <w:marTop w:val="0"/>
      <w:marBottom w:val="0"/>
      <w:divBdr>
        <w:top w:val="none" w:sz="0" w:space="0" w:color="auto"/>
        <w:left w:val="none" w:sz="0" w:space="0" w:color="auto"/>
        <w:bottom w:val="none" w:sz="0" w:space="0" w:color="auto"/>
        <w:right w:val="none" w:sz="0" w:space="0" w:color="auto"/>
      </w:divBdr>
    </w:div>
    <w:div w:id="442768359">
      <w:bodyDiv w:val="1"/>
      <w:marLeft w:val="0"/>
      <w:marRight w:val="0"/>
      <w:marTop w:val="0"/>
      <w:marBottom w:val="0"/>
      <w:divBdr>
        <w:top w:val="none" w:sz="0" w:space="0" w:color="auto"/>
        <w:left w:val="none" w:sz="0" w:space="0" w:color="auto"/>
        <w:bottom w:val="none" w:sz="0" w:space="0" w:color="auto"/>
        <w:right w:val="none" w:sz="0" w:space="0" w:color="auto"/>
      </w:divBdr>
    </w:div>
    <w:div w:id="452557961">
      <w:bodyDiv w:val="1"/>
      <w:marLeft w:val="0"/>
      <w:marRight w:val="0"/>
      <w:marTop w:val="0"/>
      <w:marBottom w:val="0"/>
      <w:divBdr>
        <w:top w:val="none" w:sz="0" w:space="0" w:color="auto"/>
        <w:left w:val="none" w:sz="0" w:space="0" w:color="auto"/>
        <w:bottom w:val="none" w:sz="0" w:space="0" w:color="auto"/>
        <w:right w:val="none" w:sz="0" w:space="0" w:color="auto"/>
      </w:divBdr>
    </w:div>
    <w:div w:id="483859748">
      <w:bodyDiv w:val="1"/>
      <w:marLeft w:val="0"/>
      <w:marRight w:val="0"/>
      <w:marTop w:val="0"/>
      <w:marBottom w:val="0"/>
      <w:divBdr>
        <w:top w:val="none" w:sz="0" w:space="0" w:color="auto"/>
        <w:left w:val="none" w:sz="0" w:space="0" w:color="auto"/>
        <w:bottom w:val="none" w:sz="0" w:space="0" w:color="auto"/>
        <w:right w:val="none" w:sz="0" w:space="0" w:color="auto"/>
      </w:divBdr>
    </w:div>
    <w:div w:id="519663730">
      <w:bodyDiv w:val="1"/>
      <w:marLeft w:val="0"/>
      <w:marRight w:val="0"/>
      <w:marTop w:val="0"/>
      <w:marBottom w:val="0"/>
      <w:divBdr>
        <w:top w:val="none" w:sz="0" w:space="0" w:color="auto"/>
        <w:left w:val="none" w:sz="0" w:space="0" w:color="auto"/>
        <w:bottom w:val="none" w:sz="0" w:space="0" w:color="auto"/>
        <w:right w:val="none" w:sz="0" w:space="0" w:color="auto"/>
      </w:divBdr>
    </w:div>
    <w:div w:id="527453516">
      <w:bodyDiv w:val="1"/>
      <w:marLeft w:val="0"/>
      <w:marRight w:val="0"/>
      <w:marTop w:val="0"/>
      <w:marBottom w:val="0"/>
      <w:divBdr>
        <w:top w:val="none" w:sz="0" w:space="0" w:color="auto"/>
        <w:left w:val="none" w:sz="0" w:space="0" w:color="auto"/>
        <w:bottom w:val="none" w:sz="0" w:space="0" w:color="auto"/>
        <w:right w:val="none" w:sz="0" w:space="0" w:color="auto"/>
      </w:divBdr>
    </w:div>
    <w:div w:id="679623375">
      <w:bodyDiv w:val="1"/>
      <w:marLeft w:val="0"/>
      <w:marRight w:val="0"/>
      <w:marTop w:val="0"/>
      <w:marBottom w:val="0"/>
      <w:divBdr>
        <w:top w:val="none" w:sz="0" w:space="0" w:color="auto"/>
        <w:left w:val="none" w:sz="0" w:space="0" w:color="auto"/>
        <w:bottom w:val="none" w:sz="0" w:space="0" w:color="auto"/>
        <w:right w:val="none" w:sz="0" w:space="0" w:color="auto"/>
      </w:divBdr>
    </w:div>
    <w:div w:id="713314301">
      <w:bodyDiv w:val="1"/>
      <w:marLeft w:val="0"/>
      <w:marRight w:val="0"/>
      <w:marTop w:val="0"/>
      <w:marBottom w:val="0"/>
      <w:divBdr>
        <w:top w:val="none" w:sz="0" w:space="0" w:color="auto"/>
        <w:left w:val="none" w:sz="0" w:space="0" w:color="auto"/>
        <w:bottom w:val="none" w:sz="0" w:space="0" w:color="auto"/>
        <w:right w:val="none" w:sz="0" w:space="0" w:color="auto"/>
      </w:divBdr>
    </w:div>
    <w:div w:id="762265054">
      <w:bodyDiv w:val="1"/>
      <w:marLeft w:val="0"/>
      <w:marRight w:val="0"/>
      <w:marTop w:val="0"/>
      <w:marBottom w:val="0"/>
      <w:divBdr>
        <w:top w:val="none" w:sz="0" w:space="0" w:color="auto"/>
        <w:left w:val="none" w:sz="0" w:space="0" w:color="auto"/>
        <w:bottom w:val="none" w:sz="0" w:space="0" w:color="auto"/>
        <w:right w:val="none" w:sz="0" w:space="0" w:color="auto"/>
      </w:divBdr>
    </w:div>
    <w:div w:id="800153459">
      <w:bodyDiv w:val="1"/>
      <w:marLeft w:val="0"/>
      <w:marRight w:val="0"/>
      <w:marTop w:val="0"/>
      <w:marBottom w:val="0"/>
      <w:divBdr>
        <w:top w:val="none" w:sz="0" w:space="0" w:color="auto"/>
        <w:left w:val="none" w:sz="0" w:space="0" w:color="auto"/>
        <w:bottom w:val="none" w:sz="0" w:space="0" w:color="auto"/>
        <w:right w:val="none" w:sz="0" w:space="0" w:color="auto"/>
      </w:divBdr>
    </w:div>
    <w:div w:id="883755760">
      <w:bodyDiv w:val="1"/>
      <w:marLeft w:val="0"/>
      <w:marRight w:val="0"/>
      <w:marTop w:val="0"/>
      <w:marBottom w:val="0"/>
      <w:divBdr>
        <w:top w:val="none" w:sz="0" w:space="0" w:color="auto"/>
        <w:left w:val="none" w:sz="0" w:space="0" w:color="auto"/>
        <w:bottom w:val="none" w:sz="0" w:space="0" w:color="auto"/>
        <w:right w:val="none" w:sz="0" w:space="0" w:color="auto"/>
      </w:divBdr>
    </w:div>
    <w:div w:id="999231344">
      <w:bodyDiv w:val="1"/>
      <w:marLeft w:val="0"/>
      <w:marRight w:val="0"/>
      <w:marTop w:val="0"/>
      <w:marBottom w:val="0"/>
      <w:divBdr>
        <w:top w:val="none" w:sz="0" w:space="0" w:color="auto"/>
        <w:left w:val="none" w:sz="0" w:space="0" w:color="auto"/>
        <w:bottom w:val="none" w:sz="0" w:space="0" w:color="auto"/>
        <w:right w:val="none" w:sz="0" w:space="0" w:color="auto"/>
      </w:divBdr>
    </w:div>
    <w:div w:id="1063332142">
      <w:bodyDiv w:val="1"/>
      <w:marLeft w:val="0"/>
      <w:marRight w:val="0"/>
      <w:marTop w:val="0"/>
      <w:marBottom w:val="0"/>
      <w:divBdr>
        <w:top w:val="none" w:sz="0" w:space="0" w:color="auto"/>
        <w:left w:val="none" w:sz="0" w:space="0" w:color="auto"/>
        <w:bottom w:val="none" w:sz="0" w:space="0" w:color="auto"/>
        <w:right w:val="none" w:sz="0" w:space="0" w:color="auto"/>
      </w:divBdr>
    </w:div>
    <w:div w:id="1150827964">
      <w:bodyDiv w:val="1"/>
      <w:marLeft w:val="0"/>
      <w:marRight w:val="0"/>
      <w:marTop w:val="0"/>
      <w:marBottom w:val="0"/>
      <w:divBdr>
        <w:top w:val="none" w:sz="0" w:space="0" w:color="auto"/>
        <w:left w:val="none" w:sz="0" w:space="0" w:color="auto"/>
        <w:bottom w:val="none" w:sz="0" w:space="0" w:color="auto"/>
        <w:right w:val="none" w:sz="0" w:space="0" w:color="auto"/>
      </w:divBdr>
    </w:div>
    <w:div w:id="1171290656">
      <w:bodyDiv w:val="1"/>
      <w:marLeft w:val="0"/>
      <w:marRight w:val="0"/>
      <w:marTop w:val="0"/>
      <w:marBottom w:val="0"/>
      <w:divBdr>
        <w:top w:val="none" w:sz="0" w:space="0" w:color="auto"/>
        <w:left w:val="none" w:sz="0" w:space="0" w:color="auto"/>
        <w:bottom w:val="none" w:sz="0" w:space="0" w:color="auto"/>
        <w:right w:val="none" w:sz="0" w:space="0" w:color="auto"/>
      </w:divBdr>
      <w:divsChild>
        <w:div w:id="131824710">
          <w:marLeft w:val="0"/>
          <w:marRight w:val="0"/>
          <w:marTop w:val="0"/>
          <w:marBottom w:val="0"/>
          <w:divBdr>
            <w:top w:val="none" w:sz="0" w:space="0" w:color="auto"/>
            <w:left w:val="none" w:sz="0" w:space="0" w:color="auto"/>
            <w:bottom w:val="none" w:sz="0" w:space="0" w:color="auto"/>
            <w:right w:val="none" w:sz="0" w:space="0" w:color="auto"/>
          </w:divBdr>
          <w:divsChild>
            <w:div w:id="1466117914">
              <w:marLeft w:val="172"/>
              <w:marRight w:val="172"/>
              <w:marTop w:val="0"/>
              <w:marBottom w:val="215"/>
              <w:divBdr>
                <w:top w:val="none" w:sz="0" w:space="0" w:color="auto"/>
                <w:left w:val="none" w:sz="0" w:space="0" w:color="auto"/>
                <w:bottom w:val="none" w:sz="0" w:space="0" w:color="auto"/>
                <w:right w:val="none" w:sz="0" w:space="0" w:color="auto"/>
              </w:divBdr>
              <w:divsChild>
                <w:div w:id="870532904">
                  <w:marLeft w:val="0"/>
                  <w:marRight w:val="0"/>
                  <w:marTop w:val="0"/>
                  <w:marBottom w:val="0"/>
                  <w:divBdr>
                    <w:top w:val="none" w:sz="0" w:space="0" w:color="auto"/>
                    <w:left w:val="none" w:sz="0" w:space="0" w:color="auto"/>
                    <w:bottom w:val="none" w:sz="0" w:space="0" w:color="auto"/>
                    <w:right w:val="none" w:sz="0" w:space="0" w:color="auto"/>
                  </w:divBdr>
                  <w:divsChild>
                    <w:div w:id="1944919343">
                      <w:marLeft w:val="0"/>
                      <w:marRight w:val="0"/>
                      <w:marTop w:val="0"/>
                      <w:marBottom w:val="0"/>
                      <w:divBdr>
                        <w:top w:val="none" w:sz="0" w:space="0" w:color="auto"/>
                        <w:left w:val="none" w:sz="0" w:space="0" w:color="auto"/>
                        <w:bottom w:val="none" w:sz="0" w:space="0" w:color="auto"/>
                        <w:right w:val="none" w:sz="0" w:space="0" w:color="auto"/>
                      </w:divBdr>
                      <w:divsChild>
                        <w:div w:id="1680309560">
                          <w:marLeft w:val="0"/>
                          <w:marRight w:val="0"/>
                          <w:marTop w:val="0"/>
                          <w:marBottom w:val="0"/>
                          <w:divBdr>
                            <w:top w:val="none" w:sz="0" w:space="0" w:color="auto"/>
                            <w:left w:val="none" w:sz="0" w:space="0" w:color="auto"/>
                            <w:bottom w:val="none" w:sz="0" w:space="0" w:color="auto"/>
                            <w:right w:val="none" w:sz="0" w:space="0" w:color="auto"/>
                          </w:divBdr>
                          <w:divsChild>
                            <w:div w:id="1901624014">
                              <w:marLeft w:val="0"/>
                              <w:marRight w:val="0"/>
                              <w:marTop w:val="0"/>
                              <w:marBottom w:val="0"/>
                              <w:divBdr>
                                <w:top w:val="none" w:sz="0" w:space="0" w:color="auto"/>
                                <w:left w:val="none" w:sz="0" w:space="0" w:color="auto"/>
                                <w:bottom w:val="none" w:sz="0" w:space="0" w:color="auto"/>
                                <w:right w:val="none" w:sz="0" w:space="0" w:color="auto"/>
                              </w:divBdr>
                              <w:divsChild>
                                <w:div w:id="1329747663">
                                  <w:marLeft w:val="0"/>
                                  <w:marRight w:val="0"/>
                                  <w:marTop w:val="0"/>
                                  <w:marBottom w:val="0"/>
                                  <w:divBdr>
                                    <w:top w:val="none" w:sz="0" w:space="0" w:color="auto"/>
                                    <w:left w:val="none" w:sz="0" w:space="0" w:color="auto"/>
                                    <w:bottom w:val="none" w:sz="0" w:space="0" w:color="auto"/>
                                    <w:right w:val="none" w:sz="0" w:space="0" w:color="auto"/>
                                  </w:divBdr>
                                  <w:divsChild>
                                    <w:div w:id="2057971914">
                                      <w:marLeft w:val="0"/>
                                      <w:marRight w:val="0"/>
                                      <w:marTop w:val="0"/>
                                      <w:marBottom w:val="0"/>
                                      <w:divBdr>
                                        <w:top w:val="none" w:sz="0" w:space="0" w:color="auto"/>
                                        <w:left w:val="none" w:sz="0" w:space="0" w:color="auto"/>
                                        <w:bottom w:val="none" w:sz="0" w:space="0" w:color="auto"/>
                                        <w:right w:val="none" w:sz="0" w:space="0" w:color="auto"/>
                                      </w:divBdr>
                                      <w:divsChild>
                                        <w:div w:id="266622875">
                                          <w:marLeft w:val="0"/>
                                          <w:marRight w:val="215"/>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6641">
      <w:bodyDiv w:val="1"/>
      <w:marLeft w:val="0"/>
      <w:marRight w:val="0"/>
      <w:marTop w:val="0"/>
      <w:marBottom w:val="0"/>
      <w:divBdr>
        <w:top w:val="none" w:sz="0" w:space="0" w:color="auto"/>
        <w:left w:val="none" w:sz="0" w:space="0" w:color="auto"/>
        <w:bottom w:val="none" w:sz="0" w:space="0" w:color="auto"/>
        <w:right w:val="none" w:sz="0" w:space="0" w:color="auto"/>
      </w:divBdr>
    </w:div>
    <w:div w:id="1236286470">
      <w:bodyDiv w:val="1"/>
      <w:marLeft w:val="0"/>
      <w:marRight w:val="0"/>
      <w:marTop w:val="0"/>
      <w:marBottom w:val="0"/>
      <w:divBdr>
        <w:top w:val="none" w:sz="0" w:space="0" w:color="auto"/>
        <w:left w:val="none" w:sz="0" w:space="0" w:color="auto"/>
        <w:bottom w:val="none" w:sz="0" w:space="0" w:color="auto"/>
        <w:right w:val="none" w:sz="0" w:space="0" w:color="auto"/>
      </w:divBdr>
    </w:div>
    <w:div w:id="1265723940">
      <w:bodyDiv w:val="1"/>
      <w:marLeft w:val="0"/>
      <w:marRight w:val="0"/>
      <w:marTop w:val="0"/>
      <w:marBottom w:val="0"/>
      <w:divBdr>
        <w:top w:val="none" w:sz="0" w:space="0" w:color="auto"/>
        <w:left w:val="none" w:sz="0" w:space="0" w:color="auto"/>
        <w:bottom w:val="none" w:sz="0" w:space="0" w:color="auto"/>
        <w:right w:val="none" w:sz="0" w:space="0" w:color="auto"/>
      </w:divBdr>
    </w:div>
    <w:div w:id="1447891225">
      <w:bodyDiv w:val="1"/>
      <w:marLeft w:val="0"/>
      <w:marRight w:val="0"/>
      <w:marTop w:val="0"/>
      <w:marBottom w:val="0"/>
      <w:divBdr>
        <w:top w:val="none" w:sz="0" w:space="0" w:color="auto"/>
        <w:left w:val="none" w:sz="0" w:space="0" w:color="auto"/>
        <w:bottom w:val="none" w:sz="0" w:space="0" w:color="auto"/>
        <w:right w:val="none" w:sz="0" w:space="0" w:color="auto"/>
      </w:divBdr>
    </w:div>
    <w:div w:id="1543060033">
      <w:bodyDiv w:val="1"/>
      <w:marLeft w:val="0"/>
      <w:marRight w:val="0"/>
      <w:marTop w:val="0"/>
      <w:marBottom w:val="0"/>
      <w:divBdr>
        <w:top w:val="none" w:sz="0" w:space="0" w:color="auto"/>
        <w:left w:val="none" w:sz="0" w:space="0" w:color="auto"/>
        <w:bottom w:val="none" w:sz="0" w:space="0" w:color="auto"/>
        <w:right w:val="none" w:sz="0" w:space="0" w:color="auto"/>
      </w:divBdr>
    </w:div>
    <w:div w:id="1576471109">
      <w:bodyDiv w:val="1"/>
      <w:marLeft w:val="0"/>
      <w:marRight w:val="0"/>
      <w:marTop w:val="0"/>
      <w:marBottom w:val="0"/>
      <w:divBdr>
        <w:top w:val="none" w:sz="0" w:space="0" w:color="auto"/>
        <w:left w:val="none" w:sz="0" w:space="0" w:color="auto"/>
        <w:bottom w:val="none" w:sz="0" w:space="0" w:color="auto"/>
        <w:right w:val="none" w:sz="0" w:space="0" w:color="auto"/>
      </w:divBdr>
    </w:div>
    <w:div w:id="1602761433">
      <w:bodyDiv w:val="1"/>
      <w:marLeft w:val="0"/>
      <w:marRight w:val="0"/>
      <w:marTop w:val="0"/>
      <w:marBottom w:val="0"/>
      <w:divBdr>
        <w:top w:val="none" w:sz="0" w:space="0" w:color="auto"/>
        <w:left w:val="none" w:sz="0" w:space="0" w:color="auto"/>
        <w:bottom w:val="none" w:sz="0" w:space="0" w:color="auto"/>
        <w:right w:val="none" w:sz="0" w:space="0" w:color="auto"/>
      </w:divBdr>
    </w:div>
    <w:div w:id="1608466856">
      <w:bodyDiv w:val="1"/>
      <w:marLeft w:val="0"/>
      <w:marRight w:val="0"/>
      <w:marTop w:val="0"/>
      <w:marBottom w:val="0"/>
      <w:divBdr>
        <w:top w:val="none" w:sz="0" w:space="0" w:color="auto"/>
        <w:left w:val="none" w:sz="0" w:space="0" w:color="auto"/>
        <w:bottom w:val="none" w:sz="0" w:space="0" w:color="auto"/>
        <w:right w:val="none" w:sz="0" w:space="0" w:color="auto"/>
      </w:divBdr>
    </w:div>
    <w:div w:id="1711880219">
      <w:bodyDiv w:val="1"/>
      <w:marLeft w:val="0"/>
      <w:marRight w:val="0"/>
      <w:marTop w:val="0"/>
      <w:marBottom w:val="0"/>
      <w:divBdr>
        <w:top w:val="none" w:sz="0" w:space="0" w:color="auto"/>
        <w:left w:val="none" w:sz="0" w:space="0" w:color="auto"/>
        <w:bottom w:val="none" w:sz="0" w:space="0" w:color="auto"/>
        <w:right w:val="none" w:sz="0" w:space="0" w:color="auto"/>
      </w:divBdr>
    </w:div>
    <w:div w:id="1716150017">
      <w:bodyDiv w:val="1"/>
      <w:marLeft w:val="0"/>
      <w:marRight w:val="0"/>
      <w:marTop w:val="0"/>
      <w:marBottom w:val="0"/>
      <w:divBdr>
        <w:top w:val="none" w:sz="0" w:space="0" w:color="auto"/>
        <w:left w:val="none" w:sz="0" w:space="0" w:color="auto"/>
        <w:bottom w:val="none" w:sz="0" w:space="0" w:color="auto"/>
        <w:right w:val="none" w:sz="0" w:space="0" w:color="auto"/>
      </w:divBdr>
    </w:div>
    <w:div w:id="1769156321">
      <w:bodyDiv w:val="1"/>
      <w:marLeft w:val="0"/>
      <w:marRight w:val="0"/>
      <w:marTop w:val="0"/>
      <w:marBottom w:val="0"/>
      <w:divBdr>
        <w:top w:val="none" w:sz="0" w:space="0" w:color="auto"/>
        <w:left w:val="none" w:sz="0" w:space="0" w:color="auto"/>
        <w:bottom w:val="none" w:sz="0" w:space="0" w:color="auto"/>
        <w:right w:val="none" w:sz="0" w:space="0" w:color="auto"/>
      </w:divBdr>
    </w:div>
    <w:div w:id="1824739653">
      <w:bodyDiv w:val="1"/>
      <w:marLeft w:val="0"/>
      <w:marRight w:val="0"/>
      <w:marTop w:val="0"/>
      <w:marBottom w:val="0"/>
      <w:divBdr>
        <w:top w:val="none" w:sz="0" w:space="0" w:color="auto"/>
        <w:left w:val="none" w:sz="0" w:space="0" w:color="auto"/>
        <w:bottom w:val="none" w:sz="0" w:space="0" w:color="auto"/>
        <w:right w:val="none" w:sz="0" w:space="0" w:color="auto"/>
      </w:divBdr>
    </w:div>
    <w:div w:id="1935433189">
      <w:bodyDiv w:val="1"/>
      <w:marLeft w:val="0"/>
      <w:marRight w:val="0"/>
      <w:marTop w:val="0"/>
      <w:marBottom w:val="0"/>
      <w:divBdr>
        <w:top w:val="none" w:sz="0" w:space="0" w:color="auto"/>
        <w:left w:val="none" w:sz="0" w:space="0" w:color="auto"/>
        <w:bottom w:val="none" w:sz="0" w:space="0" w:color="auto"/>
        <w:right w:val="none" w:sz="0" w:space="0" w:color="auto"/>
      </w:divBdr>
    </w:div>
    <w:div w:id="2022077006">
      <w:bodyDiv w:val="1"/>
      <w:marLeft w:val="0"/>
      <w:marRight w:val="0"/>
      <w:marTop w:val="0"/>
      <w:marBottom w:val="0"/>
      <w:divBdr>
        <w:top w:val="none" w:sz="0" w:space="0" w:color="auto"/>
        <w:left w:val="none" w:sz="0" w:space="0" w:color="auto"/>
        <w:bottom w:val="none" w:sz="0" w:space="0" w:color="auto"/>
        <w:right w:val="none" w:sz="0" w:space="0" w:color="auto"/>
      </w:divBdr>
    </w:div>
    <w:div w:id="2025131315">
      <w:bodyDiv w:val="1"/>
      <w:marLeft w:val="0"/>
      <w:marRight w:val="0"/>
      <w:marTop w:val="0"/>
      <w:marBottom w:val="0"/>
      <w:divBdr>
        <w:top w:val="none" w:sz="0" w:space="0" w:color="auto"/>
        <w:left w:val="none" w:sz="0" w:space="0" w:color="auto"/>
        <w:bottom w:val="none" w:sz="0" w:space="0" w:color="auto"/>
        <w:right w:val="none" w:sz="0" w:space="0" w:color="auto"/>
      </w:divBdr>
    </w:div>
    <w:div w:id="2043552871">
      <w:bodyDiv w:val="1"/>
      <w:marLeft w:val="0"/>
      <w:marRight w:val="0"/>
      <w:marTop w:val="0"/>
      <w:marBottom w:val="0"/>
      <w:divBdr>
        <w:top w:val="none" w:sz="0" w:space="0" w:color="auto"/>
        <w:left w:val="none" w:sz="0" w:space="0" w:color="auto"/>
        <w:bottom w:val="none" w:sz="0" w:space="0" w:color="auto"/>
        <w:right w:val="none" w:sz="0" w:space="0" w:color="auto"/>
      </w:divBdr>
    </w:div>
    <w:div w:id="2045251238">
      <w:bodyDiv w:val="1"/>
      <w:marLeft w:val="0"/>
      <w:marRight w:val="0"/>
      <w:marTop w:val="0"/>
      <w:marBottom w:val="0"/>
      <w:divBdr>
        <w:top w:val="none" w:sz="0" w:space="0" w:color="auto"/>
        <w:left w:val="none" w:sz="0" w:space="0" w:color="auto"/>
        <w:bottom w:val="none" w:sz="0" w:space="0" w:color="auto"/>
        <w:right w:val="none" w:sz="0" w:space="0" w:color="auto"/>
      </w:divBdr>
    </w:div>
    <w:div w:id="2045590921">
      <w:bodyDiv w:val="1"/>
      <w:marLeft w:val="0"/>
      <w:marRight w:val="0"/>
      <w:marTop w:val="0"/>
      <w:marBottom w:val="0"/>
      <w:divBdr>
        <w:top w:val="none" w:sz="0" w:space="0" w:color="auto"/>
        <w:left w:val="none" w:sz="0" w:space="0" w:color="auto"/>
        <w:bottom w:val="none" w:sz="0" w:space="0" w:color="auto"/>
        <w:right w:val="none" w:sz="0" w:space="0" w:color="auto"/>
      </w:divBdr>
      <w:divsChild>
        <w:div w:id="1163424202">
          <w:marLeft w:val="0"/>
          <w:marRight w:val="0"/>
          <w:marTop w:val="0"/>
          <w:marBottom w:val="0"/>
          <w:divBdr>
            <w:top w:val="none" w:sz="0" w:space="0" w:color="auto"/>
            <w:left w:val="none" w:sz="0" w:space="0" w:color="auto"/>
            <w:bottom w:val="none" w:sz="0" w:space="0" w:color="auto"/>
            <w:right w:val="none" w:sz="0" w:space="0" w:color="auto"/>
          </w:divBdr>
          <w:divsChild>
            <w:div w:id="1817800723">
              <w:marLeft w:val="120"/>
              <w:marRight w:val="120"/>
              <w:marTop w:val="0"/>
              <w:marBottom w:val="150"/>
              <w:divBdr>
                <w:top w:val="none" w:sz="0" w:space="0" w:color="auto"/>
                <w:left w:val="none" w:sz="0" w:space="0" w:color="auto"/>
                <w:bottom w:val="none" w:sz="0" w:space="0" w:color="auto"/>
                <w:right w:val="none" w:sz="0" w:space="0" w:color="auto"/>
              </w:divBdr>
              <w:divsChild>
                <w:div w:id="1477261105">
                  <w:marLeft w:val="0"/>
                  <w:marRight w:val="0"/>
                  <w:marTop w:val="0"/>
                  <w:marBottom w:val="0"/>
                  <w:divBdr>
                    <w:top w:val="none" w:sz="0" w:space="0" w:color="auto"/>
                    <w:left w:val="none" w:sz="0" w:space="0" w:color="auto"/>
                    <w:bottom w:val="none" w:sz="0" w:space="0" w:color="auto"/>
                    <w:right w:val="none" w:sz="0" w:space="0" w:color="auto"/>
                  </w:divBdr>
                  <w:divsChild>
                    <w:div w:id="2116905610">
                      <w:marLeft w:val="0"/>
                      <w:marRight w:val="0"/>
                      <w:marTop w:val="0"/>
                      <w:marBottom w:val="0"/>
                      <w:divBdr>
                        <w:top w:val="none" w:sz="0" w:space="0" w:color="auto"/>
                        <w:left w:val="none" w:sz="0" w:space="0" w:color="auto"/>
                        <w:bottom w:val="none" w:sz="0" w:space="0" w:color="auto"/>
                        <w:right w:val="none" w:sz="0" w:space="0" w:color="auto"/>
                      </w:divBdr>
                      <w:divsChild>
                        <w:div w:id="187062545">
                          <w:marLeft w:val="0"/>
                          <w:marRight w:val="0"/>
                          <w:marTop w:val="0"/>
                          <w:marBottom w:val="0"/>
                          <w:divBdr>
                            <w:top w:val="none" w:sz="0" w:space="0" w:color="auto"/>
                            <w:left w:val="none" w:sz="0" w:space="0" w:color="auto"/>
                            <w:bottom w:val="none" w:sz="0" w:space="0" w:color="auto"/>
                            <w:right w:val="none" w:sz="0" w:space="0" w:color="auto"/>
                          </w:divBdr>
                          <w:divsChild>
                            <w:div w:id="665013811">
                              <w:marLeft w:val="0"/>
                              <w:marRight w:val="0"/>
                              <w:marTop w:val="0"/>
                              <w:marBottom w:val="0"/>
                              <w:divBdr>
                                <w:top w:val="none" w:sz="0" w:space="0" w:color="auto"/>
                                <w:left w:val="none" w:sz="0" w:space="0" w:color="auto"/>
                                <w:bottom w:val="none" w:sz="0" w:space="0" w:color="auto"/>
                                <w:right w:val="none" w:sz="0" w:space="0" w:color="auto"/>
                              </w:divBdr>
                              <w:divsChild>
                                <w:div w:id="805854139">
                                  <w:marLeft w:val="0"/>
                                  <w:marRight w:val="0"/>
                                  <w:marTop w:val="0"/>
                                  <w:marBottom w:val="0"/>
                                  <w:divBdr>
                                    <w:top w:val="none" w:sz="0" w:space="0" w:color="auto"/>
                                    <w:left w:val="none" w:sz="0" w:space="0" w:color="auto"/>
                                    <w:bottom w:val="none" w:sz="0" w:space="0" w:color="auto"/>
                                    <w:right w:val="none" w:sz="0" w:space="0" w:color="auto"/>
                                  </w:divBdr>
                                  <w:divsChild>
                                    <w:div w:id="596602178">
                                      <w:marLeft w:val="0"/>
                                      <w:marRight w:val="0"/>
                                      <w:marTop w:val="0"/>
                                      <w:marBottom w:val="0"/>
                                      <w:divBdr>
                                        <w:top w:val="none" w:sz="0" w:space="0" w:color="auto"/>
                                        <w:left w:val="none" w:sz="0" w:space="0" w:color="auto"/>
                                        <w:bottom w:val="none" w:sz="0" w:space="0" w:color="auto"/>
                                        <w:right w:val="none" w:sz="0" w:space="0" w:color="auto"/>
                                      </w:divBdr>
                                      <w:divsChild>
                                        <w:div w:id="8913248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1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ts@decc.gsi.gov.uk" TargetMode="External"/><Relationship Id="rId18" Type="http://schemas.openxmlformats.org/officeDocument/2006/relationships/hyperlink" Target="mailto:Consultation.coordinator@decc.gsi.gov.u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econsultation.decc.gov.uk/office-for-renewable-energy-deployment-ored/fits-review-phase2b" TargetMode="External"/><Relationship Id="rId17" Type="http://schemas.openxmlformats.org/officeDocument/2006/relationships/hyperlink" Target="mailto:fits@decc.gsi.gov.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WINNT\Profiles\jcostyn\Local%20Settings\Temporary%20Internet%20Files\Content.Outlook\9MGOOMAX\www.decc.gsi.gov.uk"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decc.gov.uk/en/content/cms/consultations/fits_rev_ph2b/fits_rev_ph2b.aspx"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www.berr.gov.uk/files/file4715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cc.gov.uk/en/content/cms/consultations/fits_rev_ph2b/fits_rev_ph2b.aspx" TargetMode="External"/><Relationship Id="rId22" Type="http://schemas.openxmlformats.org/officeDocument/2006/relationships/hyperlink" Target="http://www.decc.gov.uk/assets/decc/what%20we%20do/uk%20energy%20supply/energy%20mix/renewable%20energy/policy/fits/1_20100331154613_e_@@_fitscomplaintsprocessleaflet.pdf"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fgem.gov.uk/Sustainability/Environment/fits/Documents1/FIT_generating%20equipment%20consultation_final.pdf" TargetMode="External"/><Relationship Id="rId1" Type="http://schemas.openxmlformats.org/officeDocument/2006/relationships/hyperlink" Target="http://www.ofgem.gov.uk/Sustainability/Environment/RenewablObl/Pages/RenewablOb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BDDC-BD5F-4C62-A7E9-0A5789D7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54</Pages>
  <Words>15810</Words>
  <Characters>87326</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DECC report</vt:lpstr>
    </vt:vector>
  </TitlesOfParts>
  <Company>DECC</Company>
  <LinksUpToDate>false</LinksUpToDate>
  <CharactersWithSpaces>102931</CharactersWithSpaces>
  <SharedDoc>false</SharedDoc>
  <HLinks>
    <vt:vector size="348" baseType="variant">
      <vt:variant>
        <vt:i4>2162811</vt:i4>
      </vt:variant>
      <vt:variant>
        <vt:i4>309</vt:i4>
      </vt:variant>
      <vt:variant>
        <vt:i4>0</vt:i4>
      </vt:variant>
      <vt:variant>
        <vt:i4>5</vt:i4>
      </vt:variant>
      <vt:variant>
        <vt:lpwstr>http://www.decc.gov.uk/assets/decc/what we do/uk energy supply/energy mix/renewable energy/policy/fits/1_20100331154613_e_@@_fitscomplaintsprocessleaflet.pdf</vt:lpwstr>
      </vt:variant>
      <vt:variant>
        <vt:lpwstr/>
      </vt:variant>
      <vt:variant>
        <vt:i4>6750315</vt:i4>
      </vt:variant>
      <vt:variant>
        <vt:i4>306</vt:i4>
      </vt:variant>
      <vt:variant>
        <vt:i4>0</vt:i4>
      </vt:variant>
      <vt:variant>
        <vt:i4>5</vt:i4>
      </vt:variant>
      <vt:variant>
        <vt:lpwstr>http://www.berr.gov.uk/files/file47158.pdf</vt:lpwstr>
      </vt:variant>
      <vt:variant>
        <vt:lpwstr/>
      </vt:variant>
      <vt:variant>
        <vt:i4>852073</vt:i4>
      </vt:variant>
      <vt:variant>
        <vt:i4>303</vt:i4>
      </vt:variant>
      <vt:variant>
        <vt:i4>0</vt:i4>
      </vt:variant>
      <vt:variant>
        <vt:i4>5</vt:i4>
      </vt:variant>
      <vt:variant>
        <vt:lpwstr>mailto:Consultation.coordinator@decc.gsi.gov.uk</vt:lpwstr>
      </vt:variant>
      <vt:variant>
        <vt:lpwstr/>
      </vt:variant>
      <vt:variant>
        <vt:i4>6029413</vt:i4>
      </vt:variant>
      <vt:variant>
        <vt:i4>300</vt:i4>
      </vt:variant>
      <vt:variant>
        <vt:i4>0</vt:i4>
      </vt:variant>
      <vt:variant>
        <vt:i4>5</vt:i4>
      </vt:variant>
      <vt:variant>
        <vt:lpwstr>mailto:fits@decc.gsi.gov.uk</vt:lpwstr>
      </vt:variant>
      <vt:variant>
        <vt:lpwstr/>
      </vt:variant>
      <vt:variant>
        <vt:i4>2293793</vt:i4>
      </vt:variant>
      <vt:variant>
        <vt:i4>297</vt:i4>
      </vt:variant>
      <vt:variant>
        <vt:i4>0</vt:i4>
      </vt:variant>
      <vt:variant>
        <vt:i4>5</vt:i4>
      </vt:variant>
      <vt:variant>
        <vt:lpwstr>C:\WINNT\Profiles\jcostyn\Local Settings\Temporary Internet Files\Content.Outlook\9MGOOMAX\www.decc.gsi.gov.uk</vt:lpwstr>
      </vt:variant>
      <vt:variant>
        <vt:lpwstr/>
      </vt:variant>
      <vt:variant>
        <vt:i4>4784138</vt:i4>
      </vt:variant>
      <vt:variant>
        <vt:i4>294</vt:i4>
      </vt:variant>
      <vt:variant>
        <vt:i4>0</vt:i4>
      </vt:variant>
      <vt:variant>
        <vt:i4>5</vt:i4>
      </vt:variant>
      <vt:variant>
        <vt:lpwstr>http://www.decc.gov.uk/en/content/cms/consultations/fits_rev_ph2b/fits_rev_ph2b.aspx</vt:lpwstr>
      </vt:variant>
      <vt:variant>
        <vt:lpwstr/>
      </vt:variant>
      <vt:variant>
        <vt:i4>4784138</vt:i4>
      </vt:variant>
      <vt:variant>
        <vt:i4>291</vt:i4>
      </vt:variant>
      <vt:variant>
        <vt:i4>0</vt:i4>
      </vt:variant>
      <vt:variant>
        <vt:i4>5</vt:i4>
      </vt:variant>
      <vt:variant>
        <vt:lpwstr>http://www.decc.gov.uk/en/content/cms/consultations/fits_rev_ph2b/fits_rev_ph2b.aspx</vt:lpwstr>
      </vt:variant>
      <vt:variant>
        <vt:lpwstr/>
      </vt:variant>
      <vt:variant>
        <vt:i4>6029413</vt:i4>
      </vt:variant>
      <vt:variant>
        <vt:i4>288</vt:i4>
      </vt:variant>
      <vt:variant>
        <vt:i4>0</vt:i4>
      </vt:variant>
      <vt:variant>
        <vt:i4>5</vt:i4>
      </vt:variant>
      <vt:variant>
        <vt:lpwstr>mailto:fits@decc.gsi.gov.uk</vt:lpwstr>
      </vt:variant>
      <vt:variant>
        <vt:lpwstr/>
      </vt:variant>
      <vt:variant>
        <vt:i4>393219</vt:i4>
      </vt:variant>
      <vt:variant>
        <vt:i4>285</vt:i4>
      </vt:variant>
      <vt:variant>
        <vt:i4>0</vt:i4>
      </vt:variant>
      <vt:variant>
        <vt:i4>5</vt:i4>
      </vt:variant>
      <vt:variant>
        <vt:lpwstr>https://econsultation.decc.gov.uk/office-for-renewable-energy-deployment-ored/fits-review-phase2b</vt:lpwstr>
      </vt:variant>
      <vt:variant>
        <vt:lpwstr/>
      </vt:variant>
      <vt:variant>
        <vt:i4>1376304</vt:i4>
      </vt:variant>
      <vt:variant>
        <vt:i4>278</vt:i4>
      </vt:variant>
      <vt:variant>
        <vt:i4>0</vt:i4>
      </vt:variant>
      <vt:variant>
        <vt:i4>5</vt:i4>
      </vt:variant>
      <vt:variant>
        <vt:lpwstr/>
      </vt:variant>
      <vt:variant>
        <vt:lpwstr>_Toc316477202</vt:lpwstr>
      </vt:variant>
      <vt:variant>
        <vt:i4>1376304</vt:i4>
      </vt:variant>
      <vt:variant>
        <vt:i4>272</vt:i4>
      </vt:variant>
      <vt:variant>
        <vt:i4>0</vt:i4>
      </vt:variant>
      <vt:variant>
        <vt:i4>5</vt:i4>
      </vt:variant>
      <vt:variant>
        <vt:lpwstr/>
      </vt:variant>
      <vt:variant>
        <vt:lpwstr>_Toc316477201</vt:lpwstr>
      </vt:variant>
      <vt:variant>
        <vt:i4>1376304</vt:i4>
      </vt:variant>
      <vt:variant>
        <vt:i4>266</vt:i4>
      </vt:variant>
      <vt:variant>
        <vt:i4>0</vt:i4>
      </vt:variant>
      <vt:variant>
        <vt:i4>5</vt:i4>
      </vt:variant>
      <vt:variant>
        <vt:lpwstr/>
      </vt:variant>
      <vt:variant>
        <vt:lpwstr>_Toc316477200</vt:lpwstr>
      </vt:variant>
      <vt:variant>
        <vt:i4>1835059</vt:i4>
      </vt:variant>
      <vt:variant>
        <vt:i4>260</vt:i4>
      </vt:variant>
      <vt:variant>
        <vt:i4>0</vt:i4>
      </vt:variant>
      <vt:variant>
        <vt:i4>5</vt:i4>
      </vt:variant>
      <vt:variant>
        <vt:lpwstr/>
      </vt:variant>
      <vt:variant>
        <vt:lpwstr>_Toc316477199</vt:lpwstr>
      </vt:variant>
      <vt:variant>
        <vt:i4>1835059</vt:i4>
      </vt:variant>
      <vt:variant>
        <vt:i4>254</vt:i4>
      </vt:variant>
      <vt:variant>
        <vt:i4>0</vt:i4>
      </vt:variant>
      <vt:variant>
        <vt:i4>5</vt:i4>
      </vt:variant>
      <vt:variant>
        <vt:lpwstr/>
      </vt:variant>
      <vt:variant>
        <vt:lpwstr>_Toc316477198</vt:lpwstr>
      </vt:variant>
      <vt:variant>
        <vt:i4>1835059</vt:i4>
      </vt:variant>
      <vt:variant>
        <vt:i4>248</vt:i4>
      </vt:variant>
      <vt:variant>
        <vt:i4>0</vt:i4>
      </vt:variant>
      <vt:variant>
        <vt:i4>5</vt:i4>
      </vt:variant>
      <vt:variant>
        <vt:lpwstr/>
      </vt:variant>
      <vt:variant>
        <vt:lpwstr>_Toc316477197</vt:lpwstr>
      </vt:variant>
      <vt:variant>
        <vt:i4>1835059</vt:i4>
      </vt:variant>
      <vt:variant>
        <vt:i4>242</vt:i4>
      </vt:variant>
      <vt:variant>
        <vt:i4>0</vt:i4>
      </vt:variant>
      <vt:variant>
        <vt:i4>5</vt:i4>
      </vt:variant>
      <vt:variant>
        <vt:lpwstr/>
      </vt:variant>
      <vt:variant>
        <vt:lpwstr>_Toc316477196</vt:lpwstr>
      </vt:variant>
      <vt:variant>
        <vt:i4>1835059</vt:i4>
      </vt:variant>
      <vt:variant>
        <vt:i4>236</vt:i4>
      </vt:variant>
      <vt:variant>
        <vt:i4>0</vt:i4>
      </vt:variant>
      <vt:variant>
        <vt:i4>5</vt:i4>
      </vt:variant>
      <vt:variant>
        <vt:lpwstr/>
      </vt:variant>
      <vt:variant>
        <vt:lpwstr>_Toc316477195</vt:lpwstr>
      </vt:variant>
      <vt:variant>
        <vt:i4>1835059</vt:i4>
      </vt:variant>
      <vt:variant>
        <vt:i4>230</vt:i4>
      </vt:variant>
      <vt:variant>
        <vt:i4>0</vt:i4>
      </vt:variant>
      <vt:variant>
        <vt:i4>5</vt:i4>
      </vt:variant>
      <vt:variant>
        <vt:lpwstr/>
      </vt:variant>
      <vt:variant>
        <vt:lpwstr>_Toc316477194</vt:lpwstr>
      </vt:variant>
      <vt:variant>
        <vt:i4>1835059</vt:i4>
      </vt:variant>
      <vt:variant>
        <vt:i4>224</vt:i4>
      </vt:variant>
      <vt:variant>
        <vt:i4>0</vt:i4>
      </vt:variant>
      <vt:variant>
        <vt:i4>5</vt:i4>
      </vt:variant>
      <vt:variant>
        <vt:lpwstr/>
      </vt:variant>
      <vt:variant>
        <vt:lpwstr>_Toc316477193</vt:lpwstr>
      </vt:variant>
      <vt:variant>
        <vt:i4>1835059</vt:i4>
      </vt:variant>
      <vt:variant>
        <vt:i4>218</vt:i4>
      </vt:variant>
      <vt:variant>
        <vt:i4>0</vt:i4>
      </vt:variant>
      <vt:variant>
        <vt:i4>5</vt:i4>
      </vt:variant>
      <vt:variant>
        <vt:lpwstr/>
      </vt:variant>
      <vt:variant>
        <vt:lpwstr>_Toc316477192</vt:lpwstr>
      </vt:variant>
      <vt:variant>
        <vt:i4>1835059</vt:i4>
      </vt:variant>
      <vt:variant>
        <vt:i4>212</vt:i4>
      </vt:variant>
      <vt:variant>
        <vt:i4>0</vt:i4>
      </vt:variant>
      <vt:variant>
        <vt:i4>5</vt:i4>
      </vt:variant>
      <vt:variant>
        <vt:lpwstr/>
      </vt:variant>
      <vt:variant>
        <vt:lpwstr>_Toc316477191</vt:lpwstr>
      </vt:variant>
      <vt:variant>
        <vt:i4>1835059</vt:i4>
      </vt:variant>
      <vt:variant>
        <vt:i4>206</vt:i4>
      </vt:variant>
      <vt:variant>
        <vt:i4>0</vt:i4>
      </vt:variant>
      <vt:variant>
        <vt:i4>5</vt:i4>
      </vt:variant>
      <vt:variant>
        <vt:lpwstr/>
      </vt:variant>
      <vt:variant>
        <vt:lpwstr>_Toc316477190</vt:lpwstr>
      </vt:variant>
      <vt:variant>
        <vt:i4>1900595</vt:i4>
      </vt:variant>
      <vt:variant>
        <vt:i4>200</vt:i4>
      </vt:variant>
      <vt:variant>
        <vt:i4>0</vt:i4>
      </vt:variant>
      <vt:variant>
        <vt:i4>5</vt:i4>
      </vt:variant>
      <vt:variant>
        <vt:lpwstr/>
      </vt:variant>
      <vt:variant>
        <vt:lpwstr>_Toc316477189</vt:lpwstr>
      </vt:variant>
      <vt:variant>
        <vt:i4>1900595</vt:i4>
      </vt:variant>
      <vt:variant>
        <vt:i4>194</vt:i4>
      </vt:variant>
      <vt:variant>
        <vt:i4>0</vt:i4>
      </vt:variant>
      <vt:variant>
        <vt:i4>5</vt:i4>
      </vt:variant>
      <vt:variant>
        <vt:lpwstr/>
      </vt:variant>
      <vt:variant>
        <vt:lpwstr>_Toc316477188</vt:lpwstr>
      </vt:variant>
      <vt:variant>
        <vt:i4>1900595</vt:i4>
      </vt:variant>
      <vt:variant>
        <vt:i4>188</vt:i4>
      </vt:variant>
      <vt:variant>
        <vt:i4>0</vt:i4>
      </vt:variant>
      <vt:variant>
        <vt:i4>5</vt:i4>
      </vt:variant>
      <vt:variant>
        <vt:lpwstr/>
      </vt:variant>
      <vt:variant>
        <vt:lpwstr>_Toc316477187</vt:lpwstr>
      </vt:variant>
      <vt:variant>
        <vt:i4>1900595</vt:i4>
      </vt:variant>
      <vt:variant>
        <vt:i4>182</vt:i4>
      </vt:variant>
      <vt:variant>
        <vt:i4>0</vt:i4>
      </vt:variant>
      <vt:variant>
        <vt:i4>5</vt:i4>
      </vt:variant>
      <vt:variant>
        <vt:lpwstr/>
      </vt:variant>
      <vt:variant>
        <vt:lpwstr>_Toc316477186</vt:lpwstr>
      </vt:variant>
      <vt:variant>
        <vt:i4>1900595</vt:i4>
      </vt:variant>
      <vt:variant>
        <vt:i4>176</vt:i4>
      </vt:variant>
      <vt:variant>
        <vt:i4>0</vt:i4>
      </vt:variant>
      <vt:variant>
        <vt:i4>5</vt:i4>
      </vt:variant>
      <vt:variant>
        <vt:lpwstr/>
      </vt:variant>
      <vt:variant>
        <vt:lpwstr>_Toc316477185</vt:lpwstr>
      </vt:variant>
      <vt:variant>
        <vt:i4>1900595</vt:i4>
      </vt:variant>
      <vt:variant>
        <vt:i4>170</vt:i4>
      </vt:variant>
      <vt:variant>
        <vt:i4>0</vt:i4>
      </vt:variant>
      <vt:variant>
        <vt:i4>5</vt:i4>
      </vt:variant>
      <vt:variant>
        <vt:lpwstr/>
      </vt:variant>
      <vt:variant>
        <vt:lpwstr>_Toc316477184</vt:lpwstr>
      </vt:variant>
      <vt:variant>
        <vt:i4>1900595</vt:i4>
      </vt:variant>
      <vt:variant>
        <vt:i4>164</vt:i4>
      </vt:variant>
      <vt:variant>
        <vt:i4>0</vt:i4>
      </vt:variant>
      <vt:variant>
        <vt:i4>5</vt:i4>
      </vt:variant>
      <vt:variant>
        <vt:lpwstr/>
      </vt:variant>
      <vt:variant>
        <vt:lpwstr>_Toc316477183</vt:lpwstr>
      </vt:variant>
      <vt:variant>
        <vt:i4>1900595</vt:i4>
      </vt:variant>
      <vt:variant>
        <vt:i4>158</vt:i4>
      </vt:variant>
      <vt:variant>
        <vt:i4>0</vt:i4>
      </vt:variant>
      <vt:variant>
        <vt:i4>5</vt:i4>
      </vt:variant>
      <vt:variant>
        <vt:lpwstr/>
      </vt:variant>
      <vt:variant>
        <vt:lpwstr>_Toc316477182</vt:lpwstr>
      </vt:variant>
      <vt:variant>
        <vt:i4>1900595</vt:i4>
      </vt:variant>
      <vt:variant>
        <vt:i4>152</vt:i4>
      </vt:variant>
      <vt:variant>
        <vt:i4>0</vt:i4>
      </vt:variant>
      <vt:variant>
        <vt:i4>5</vt:i4>
      </vt:variant>
      <vt:variant>
        <vt:lpwstr/>
      </vt:variant>
      <vt:variant>
        <vt:lpwstr>_Toc316477181</vt:lpwstr>
      </vt:variant>
      <vt:variant>
        <vt:i4>1900595</vt:i4>
      </vt:variant>
      <vt:variant>
        <vt:i4>146</vt:i4>
      </vt:variant>
      <vt:variant>
        <vt:i4>0</vt:i4>
      </vt:variant>
      <vt:variant>
        <vt:i4>5</vt:i4>
      </vt:variant>
      <vt:variant>
        <vt:lpwstr/>
      </vt:variant>
      <vt:variant>
        <vt:lpwstr>_Toc316477180</vt:lpwstr>
      </vt:variant>
      <vt:variant>
        <vt:i4>1179699</vt:i4>
      </vt:variant>
      <vt:variant>
        <vt:i4>140</vt:i4>
      </vt:variant>
      <vt:variant>
        <vt:i4>0</vt:i4>
      </vt:variant>
      <vt:variant>
        <vt:i4>5</vt:i4>
      </vt:variant>
      <vt:variant>
        <vt:lpwstr/>
      </vt:variant>
      <vt:variant>
        <vt:lpwstr>_Toc316477179</vt:lpwstr>
      </vt:variant>
      <vt:variant>
        <vt:i4>1179699</vt:i4>
      </vt:variant>
      <vt:variant>
        <vt:i4>134</vt:i4>
      </vt:variant>
      <vt:variant>
        <vt:i4>0</vt:i4>
      </vt:variant>
      <vt:variant>
        <vt:i4>5</vt:i4>
      </vt:variant>
      <vt:variant>
        <vt:lpwstr/>
      </vt:variant>
      <vt:variant>
        <vt:lpwstr>_Toc316477178</vt:lpwstr>
      </vt:variant>
      <vt:variant>
        <vt:i4>1179699</vt:i4>
      </vt:variant>
      <vt:variant>
        <vt:i4>128</vt:i4>
      </vt:variant>
      <vt:variant>
        <vt:i4>0</vt:i4>
      </vt:variant>
      <vt:variant>
        <vt:i4>5</vt:i4>
      </vt:variant>
      <vt:variant>
        <vt:lpwstr/>
      </vt:variant>
      <vt:variant>
        <vt:lpwstr>_Toc316477177</vt:lpwstr>
      </vt:variant>
      <vt:variant>
        <vt:i4>1179699</vt:i4>
      </vt:variant>
      <vt:variant>
        <vt:i4>122</vt:i4>
      </vt:variant>
      <vt:variant>
        <vt:i4>0</vt:i4>
      </vt:variant>
      <vt:variant>
        <vt:i4>5</vt:i4>
      </vt:variant>
      <vt:variant>
        <vt:lpwstr/>
      </vt:variant>
      <vt:variant>
        <vt:lpwstr>_Toc316477176</vt:lpwstr>
      </vt:variant>
      <vt:variant>
        <vt:i4>1179699</vt:i4>
      </vt:variant>
      <vt:variant>
        <vt:i4>116</vt:i4>
      </vt:variant>
      <vt:variant>
        <vt:i4>0</vt:i4>
      </vt:variant>
      <vt:variant>
        <vt:i4>5</vt:i4>
      </vt:variant>
      <vt:variant>
        <vt:lpwstr/>
      </vt:variant>
      <vt:variant>
        <vt:lpwstr>_Toc316477175</vt:lpwstr>
      </vt:variant>
      <vt:variant>
        <vt:i4>1179699</vt:i4>
      </vt:variant>
      <vt:variant>
        <vt:i4>110</vt:i4>
      </vt:variant>
      <vt:variant>
        <vt:i4>0</vt:i4>
      </vt:variant>
      <vt:variant>
        <vt:i4>5</vt:i4>
      </vt:variant>
      <vt:variant>
        <vt:lpwstr/>
      </vt:variant>
      <vt:variant>
        <vt:lpwstr>_Toc316477174</vt:lpwstr>
      </vt:variant>
      <vt:variant>
        <vt:i4>1179699</vt:i4>
      </vt:variant>
      <vt:variant>
        <vt:i4>104</vt:i4>
      </vt:variant>
      <vt:variant>
        <vt:i4>0</vt:i4>
      </vt:variant>
      <vt:variant>
        <vt:i4>5</vt:i4>
      </vt:variant>
      <vt:variant>
        <vt:lpwstr/>
      </vt:variant>
      <vt:variant>
        <vt:lpwstr>_Toc316477173</vt:lpwstr>
      </vt:variant>
      <vt:variant>
        <vt:i4>1179699</vt:i4>
      </vt:variant>
      <vt:variant>
        <vt:i4>98</vt:i4>
      </vt:variant>
      <vt:variant>
        <vt:i4>0</vt:i4>
      </vt:variant>
      <vt:variant>
        <vt:i4>5</vt:i4>
      </vt:variant>
      <vt:variant>
        <vt:lpwstr/>
      </vt:variant>
      <vt:variant>
        <vt:lpwstr>_Toc316477172</vt:lpwstr>
      </vt:variant>
      <vt:variant>
        <vt:i4>1179699</vt:i4>
      </vt:variant>
      <vt:variant>
        <vt:i4>92</vt:i4>
      </vt:variant>
      <vt:variant>
        <vt:i4>0</vt:i4>
      </vt:variant>
      <vt:variant>
        <vt:i4>5</vt:i4>
      </vt:variant>
      <vt:variant>
        <vt:lpwstr/>
      </vt:variant>
      <vt:variant>
        <vt:lpwstr>_Toc316477171</vt:lpwstr>
      </vt:variant>
      <vt:variant>
        <vt:i4>1179699</vt:i4>
      </vt:variant>
      <vt:variant>
        <vt:i4>86</vt:i4>
      </vt:variant>
      <vt:variant>
        <vt:i4>0</vt:i4>
      </vt:variant>
      <vt:variant>
        <vt:i4>5</vt:i4>
      </vt:variant>
      <vt:variant>
        <vt:lpwstr/>
      </vt:variant>
      <vt:variant>
        <vt:lpwstr>_Toc316477170</vt:lpwstr>
      </vt:variant>
      <vt:variant>
        <vt:i4>1245235</vt:i4>
      </vt:variant>
      <vt:variant>
        <vt:i4>80</vt:i4>
      </vt:variant>
      <vt:variant>
        <vt:i4>0</vt:i4>
      </vt:variant>
      <vt:variant>
        <vt:i4>5</vt:i4>
      </vt:variant>
      <vt:variant>
        <vt:lpwstr/>
      </vt:variant>
      <vt:variant>
        <vt:lpwstr>_Toc316477169</vt:lpwstr>
      </vt:variant>
      <vt:variant>
        <vt:i4>1245235</vt:i4>
      </vt:variant>
      <vt:variant>
        <vt:i4>74</vt:i4>
      </vt:variant>
      <vt:variant>
        <vt:i4>0</vt:i4>
      </vt:variant>
      <vt:variant>
        <vt:i4>5</vt:i4>
      </vt:variant>
      <vt:variant>
        <vt:lpwstr/>
      </vt:variant>
      <vt:variant>
        <vt:lpwstr>_Toc316477168</vt:lpwstr>
      </vt:variant>
      <vt:variant>
        <vt:i4>1245235</vt:i4>
      </vt:variant>
      <vt:variant>
        <vt:i4>68</vt:i4>
      </vt:variant>
      <vt:variant>
        <vt:i4>0</vt:i4>
      </vt:variant>
      <vt:variant>
        <vt:i4>5</vt:i4>
      </vt:variant>
      <vt:variant>
        <vt:lpwstr/>
      </vt:variant>
      <vt:variant>
        <vt:lpwstr>_Toc316477167</vt:lpwstr>
      </vt:variant>
      <vt:variant>
        <vt:i4>1245235</vt:i4>
      </vt:variant>
      <vt:variant>
        <vt:i4>62</vt:i4>
      </vt:variant>
      <vt:variant>
        <vt:i4>0</vt:i4>
      </vt:variant>
      <vt:variant>
        <vt:i4>5</vt:i4>
      </vt:variant>
      <vt:variant>
        <vt:lpwstr/>
      </vt:variant>
      <vt:variant>
        <vt:lpwstr>_Toc316477166</vt:lpwstr>
      </vt:variant>
      <vt:variant>
        <vt:i4>1245235</vt:i4>
      </vt:variant>
      <vt:variant>
        <vt:i4>56</vt:i4>
      </vt:variant>
      <vt:variant>
        <vt:i4>0</vt:i4>
      </vt:variant>
      <vt:variant>
        <vt:i4>5</vt:i4>
      </vt:variant>
      <vt:variant>
        <vt:lpwstr/>
      </vt:variant>
      <vt:variant>
        <vt:lpwstr>_Toc316477165</vt:lpwstr>
      </vt:variant>
      <vt:variant>
        <vt:i4>1245235</vt:i4>
      </vt:variant>
      <vt:variant>
        <vt:i4>50</vt:i4>
      </vt:variant>
      <vt:variant>
        <vt:i4>0</vt:i4>
      </vt:variant>
      <vt:variant>
        <vt:i4>5</vt:i4>
      </vt:variant>
      <vt:variant>
        <vt:lpwstr/>
      </vt:variant>
      <vt:variant>
        <vt:lpwstr>_Toc316477164</vt:lpwstr>
      </vt:variant>
      <vt:variant>
        <vt:i4>1245235</vt:i4>
      </vt:variant>
      <vt:variant>
        <vt:i4>44</vt:i4>
      </vt:variant>
      <vt:variant>
        <vt:i4>0</vt:i4>
      </vt:variant>
      <vt:variant>
        <vt:i4>5</vt:i4>
      </vt:variant>
      <vt:variant>
        <vt:lpwstr/>
      </vt:variant>
      <vt:variant>
        <vt:lpwstr>_Toc316477163</vt:lpwstr>
      </vt:variant>
      <vt:variant>
        <vt:i4>1245235</vt:i4>
      </vt:variant>
      <vt:variant>
        <vt:i4>38</vt:i4>
      </vt:variant>
      <vt:variant>
        <vt:i4>0</vt:i4>
      </vt:variant>
      <vt:variant>
        <vt:i4>5</vt:i4>
      </vt:variant>
      <vt:variant>
        <vt:lpwstr/>
      </vt:variant>
      <vt:variant>
        <vt:lpwstr>_Toc316477162</vt:lpwstr>
      </vt:variant>
      <vt:variant>
        <vt:i4>1245235</vt:i4>
      </vt:variant>
      <vt:variant>
        <vt:i4>32</vt:i4>
      </vt:variant>
      <vt:variant>
        <vt:i4>0</vt:i4>
      </vt:variant>
      <vt:variant>
        <vt:i4>5</vt:i4>
      </vt:variant>
      <vt:variant>
        <vt:lpwstr/>
      </vt:variant>
      <vt:variant>
        <vt:lpwstr>_Toc316477161</vt:lpwstr>
      </vt:variant>
      <vt:variant>
        <vt:i4>1245234</vt:i4>
      </vt:variant>
      <vt:variant>
        <vt:i4>26</vt:i4>
      </vt:variant>
      <vt:variant>
        <vt:i4>0</vt:i4>
      </vt:variant>
      <vt:variant>
        <vt:i4>5</vt:i4>
      </vt:variant>
      <vt:variant>
        <vt:lpwstr/>
      </vt:variant>
      <vt:variant>
        <vt:lpwstr>_Toc316477063</vt:lpwstr>
      </vt:variant>
      <vt:variant>
        <vt:i4>1245234</vt:i4>
      </vt:variant>
      <vt:variant>
        <vt:i4>20</vt:i4>
      </vt:variant>
      <vt:variant>
        <vt:i4>0</vt:i4>
      </vt:variant>
      <vt:variant>
        <vt:i4>5</vt:i4>
      </vt:variant>
      <vt:variant>
        <vt:lpwstr/>
      </vt:variant>
      <vt:variant>
        <vt:lpwstr>_Toc316477062</vt:lpwstr>
      </vt:variant>
      <vt:variant>
        <vt:i4>1245234</vt:i4>
      </vt:variant>
      <vt:variant>
        <vt:i4>14</vt:i4>
      </vt:variant>
      <vt:variant>
        <vt:i4>0</vt:i4>
      </vt:variant>
      <vt:variant>
        <vt:i4>5</vt:i4>
      </vt:variant>
      <vt:variant>
        <vt:lpwstr/>
      </vt:variant>
      <vt:variant>
        <vt:lpwstr>_Toc316477061</vt:lpwstr>
      </vt:variant>
      <vt:variant>
        <vt:i4>1245234</vt:i4>
      </vt:variant>
      <vt:variant>
        <vt:i4>8</vt:i4>
      </vt:variant>
      <vt:variant>
        <vt:i4>0</vt:i4>
      </vt:variant>
      <vt:variant>
        <vt:i4>5</vt:i4>
      </vt:variant>
      <vt:variant>
        <vt:lpwstr/>
      </vt:variant>
      <vt:variant>
        <vt:lpwstr>_Toc316477060</vt:lpwstr>
      </vt:variant>
      <vt:variant>
        <vt:i4>1048626</vt:i4>
      </vt:variant>
      <vt:variant>
        <vt:i4>2</vt:i4>
      </vt:variant>
      <vt:variant>
        <vt:i4>0</vt:i4>
      </vt:variant>
      <vt:variant>
        <vt:i4>5</vt:i4>
      </vt:variant>
      <vt:variant>
        <vt:lpwstr/>
      </vt:variant>
      <vt:variant>
        <vt:lpwstr>_Toc316477059</vt:lpwstr>
      </vt:variant>
      <vt:variant>
        <vt:i4>6291497</vt:i4>
      </vt:variant>
      <vt:variant>
        <vt:i4>3</vt:i4>
      </vt:variant>
      <vt:variant>
        <vt:i4>0</vt:i4>
      </vt:variant>
      <vt:variant>
        <vt:i4>5</vt:i4>
      </vt:variant>
      <vt:variant>
        <vt:lpwstr>http://www.ofgem.gov.uk/Sustainability/Environment/fits/Documents1/FIT_generating equipment consultation_final.pdf</vt:lpwstr>
      </vt:variant>
      <vt:variant>
        <vt:lpwstr/>
      </vt:variant>
      <vt:variant>
        <vt:i4>1966096</vt:i4>
      </vt:variant>
      <vt:variant>
        <vt:i4>0</vt:i4>
      </vt:variant>
      <vt:variant>
        <vt:i4>0</vt:i4>
      </vt:variant>
      <vt:variant>
        <vt:i4>5</vt:i4>
      </vt:variant>
      <vt:variant>
        <vt:lpwstr>http://www.ofgem.gov.uk/Sustainability/Environment/RenewablObl/Pages/RenewablObl.aspx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report</dc:title>
  <dc:subject/>
  <dc:creator>ajeden</dc:creator>
  <cp:keywords/>
  <cp:lastModifiedBy>ajeden</cp:lastModifiedBy>
  <cp:revision>22</cp:revision>
  <cp:lastPrinted>2012-02-09T08:38:00Z</cp:lastPrinted>
  <dcterms:created xsi:type="dcterms:W3CDTF">2012-02-09T08:50:00Z</dcterms:created>
  <dcterms:modified xsi:type="dcterms:W3CDTF">2012-02-09T09:59:00Z</dcterms:modified>
</cp:coreProperties>
</file>