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DCC3C" w14:textId="77777777" w:rsidR="00DC42AA" w:rsidRDefault="00BC1D0C" w:rsidP="00DC42AA">
      <w:pPr>
        <w:ind w:left="-142"/>
      </w:pPr>
      <w:r>
        <w:rPr>
          <w:noProof/>
          <w:lang w:eastAsia="en-GB"/>
        </w:rPr>
        <w:drawing>
          <wp:anchor distT="0" distB="0" distL="114300" distR="114300" simplePos="0" relativeHeight="251678720" behindDoc="1" locked="0" layoutInCell="1" allowOverlap="1" wp14:anchorId="0FDD325A" wp14:editId="33E16D0E">
            <wp:simplePos x="0" y="0"/>
            <wp:positionH relativeFrom="column">
              <wp:posOffset>-628650</wp:posOffset>
            </wp:positionH>
            <wp:positionV relativeFrom="paragraph">
              <wp:posOffset>-560507</wp:posOffset>
            </wp:positionV>
            <wp:extent cx="6843600" cy="9669600"/>
            <wp:effectExtent l="0" t="0" r="0" b="8255"/>
            <wp:wrapNone/>
            <wp:docPr id="1" name="Picture 2" descr="Department for Business, Innovation and Skills" title="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for Business, Innovation and Skil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3600" cy="9669600"/>
                    </a:xfrm>
                    <a:prstGeom prst="rect">
                      <a:avLst/>
                    </a:prstGeom>
                    <a:noFill/>
                  </pic:spPr>
                </pic:pic>
              </a:graphicData>
            </a:graphic>
            <wp14:sizeRelH relativeFrom="page">
              <wp14:pctWidth>0</wp14:pctWidth>
            </wp14:sizeRelH>
            <wp14:sizeRelV relativeFrom="page">
              <wp14:pctHeight>0</wp14:pctHeight>
            </wp14:sizeRelV>
          </wp:anchor>
        </w:drawing>
      </w:r>
    </w:p>
    <w:p w14:paraId="5C21119B" w14:textId="77777777" w:rsidR="00DC42AA" w:rsidRDefault="00DC42AA" w:rsidP="00DC42AA">
      <w:pPr>
        <w:ind w:left="-142"/>
      </w:pPr>
    </w:p>
    <w:p w14:paraId="7BAD523A" w14:textId="77777777" w:rsidR="00DC42AA" w:rsidRDefault="00DC42AA" w:rsidP="00DC42AA">
      <w:pPr>
        <w:ind w:left="-142"/>
      </w:pPr>
    </w:p>
    <w:tbl>
      <w:tblPr>
        <w:tblW w:w="4536" w:type="dxa"/>
        <w:tblInd w:w="5273" w:type="dxa"/>
        <w:tblBorders>
          <w:insideH w:val="single" w:sz="8" w:space="0" w:color="FFFFFF"/>
          <w:insideV w:val="single" w:sz="12" w:space="0" w:color="FFFFFF"/>
        </w:tblBorders>
        <w:tblCellMar>
          <w:left w:w="170" w:type="dxa"/>
          <w:right w:w="0" w:type="dxa"/>
        </w:tblCellMar>
        <w:tblLook w:val="01E0" w:firstRow="1" w:lastRow="1" w:firstColumn="1" w:lastColumn="1" w:noHBand="0" w:noVBand="0"/>
      </w:tblPr>
      <w:tblGrid>
        <w:gridCol w:w="4536"/>
      </w:tblGrid>
      <w:tr w:rsidR="00DC42AA" w14:paraId="6A0610EE" w14:textId="77777777" w:rsidTr="006557BD">
        <w:trPr>
          <w:trHeight w:hRule="exact" w:val="1134"/>
          <w:tblHeader/>
        </w:trPr>
        <w:tc>
          <w:tcPr>
            <w:tcW w:w="4536" w:type="dxa"/>
            <w:tcBorders>
              <w:top w:val="nil"/>
            </w:tcBorders>
            <w:shd w:val="clear" w:color="auto" w:fill="21488A"/>
            <w:vAlign w:val="center"/>
          </w:tcPr>
          <w:p w14:paraId="433882FE" w14:textId="77777777" w:rsidR="00DC42AA" w:rsidRPr="00E17803" w:rsidRDefault="00DC42AA" w:rsidP="00D25990">
            <w:pPr>
              <w:pStyle w:val="BISTitle"/>
            </w:pPr>
            <w:r>
              <w:br/>
              <w:t>Teaching Excellence Framework</w:t>
            </w:r>
          </w:p>
        </w:tc>
      </w:tr>
      <w:tr w:rsidR="00DC42AA" w:rsidRPr="00D41359" w14:paraId="59896CA2" w14:textId="77777777" w:rsidTr="006557BD">
        <w:trPr>
          <w:trHeight w:val="1191"/>
        </w:trPr>
        <w:tc>
          <w:tcPr>
            <w:tcW w:w="4536" w:type="dxa"/>
            <w:shd w:val="clear" w:color="auto" w:fill="000000"/>
            <w:tcMar>
              <w:left w:w="284" w:type="dxa"/>
              <w:right w:w="170" w:type="dxa"/>
            </w:tcMar>
            <w:vAlign w:val="center"/>
          </w:tcPr>
          <w:p w14:paraId="05C45F51" w14:textId="77777777" w:rsidR="00DC42AA" w:rsidRPr="00B80A46" w:rsidRDefault="00DC42AA" w:rsidP="00D25990">
            <w:pPr>
              <w:pStyle w:val="BISSub-title"/>
              <w:rPr>
                <w:rFonts w:cs="Arial"/>
                <w:szCs w:val="28"/>
              </w:rPr>
            </w:pPr>
            <w:r>
              <w:t>T</w:t>
            </w:r>
            <w:r w:rsidR="00AE3081">
              <w:t xml:space="preserve">echnical Consultation for Year </w:t>
            </w:r>
            <w:r w:rsidR="000D32D7">
              <w:t>Two</w:t>
            </w:r>
          </w:p>
        </w:tc>
      </w:tr>
      <w:tr w:rsidR="00DC42AA" w:rsidRPr="00D41359" w14:paraId="512816E9" w14:textId="77777777" w:rsidTr="006557BD">
        <w:trPr>
          <w:trHeight w:val="567"/>
        </w:trPr>
        <w:tc>
          <w:tcPr>
            <w:tcW w:w="4536" w:type="dxa"/>
            <w:shd w:val="clear" w:color="auto" w:fill="000000"/>
            <w:tcMar>
              <w:left w:w="284" w:type="dxa"/>
              <w:right w:w="170" w:type="dxa"/>
            </w:tcMar>
            <w:vAlign w:val="center"/>
          </w:tcPr>
          <w:p w14:paraId="08196443" w14:textId="48A323F9" w:rsidR="00DC42AA" w:rsidRPr="00F47950" w:rsidRDefault="00D36045" w:rsidP="00D25990">
            <w:pPr>
              <w:pStyle w:val="BISMonthYear"/>
              <w:rPr>
                <w:rFonts w:cs="Arial"/>
              </w:rPr>
            </w:pPr>
            <w:r>
              <w:t>May</w:t>
            </w:r>
            <w:r w:rsidR="00DC42AA">
              <w:rPr>
                <w:rFonts w:cs="Arial"/>
              </w:rPr>
              <w:t xml:space="preserve"> 201</w:t>
            </w:r>
            <w:r w:rsidR="00DC42AA">
              <w:t>6</w:t>
            </w:r>
          </w:p>
        </w:tc>
      </w:tr>
    </w:tbl>
    <w:p w14:paraId="0A03C7CF" w14:textId="77777777" w:rsidR="00DC42AA" w:rsidRPr="00D93310" w:rsidRDefault="00DC42AA" w:rsidP="00DC42AA"/>
    <w:p w14:paraId="4E14F789" w14:textId="77777777" w:rsidR="00DC42AA" w:rsidRDefault="00DC42AA" w:rsidP="00DC42AA"/>
    <w:p w14:paraId="15692A79" w14:textId="77777777" w:rsidR="00DC42AA" w:rsidRDefault="00DC42AA" w:rsidP="00DC42AA"/>
    <w:p w14:paraId="7E8F266A" w14:textId="77777777" w:rsidR="00DC42AA" w:rsidRDefault="00DC42AA" w:rsidP="00DC42AA"/>
    <w:p w14:paraId="54C1B521" w14:textId="77777777" w:rsidR="00DC42AA" w:rsidRDefault="00DC42AA" w:rsidP="00DC42AA"/>
    <w:p w14:paraId="264EA050" w14:textId="77777777" w:rsidR="00DC42AA" w:rsidRDefault="00DC42AA" w:rsidP="00DC42AA"/>
    <w:p w14:paraId="3168D110" w14:textId="77777777" w:rsidR="00DC42AA" w:rsidRDefault="00DC42AA" w:rsidP="00DC42AA"/>
    <w:p w14:paraId="1D292EE7" w14:textId="77777777" w:rsidR="00DC42AA" w:rsidRDefault="00DC42AA" w:rsidP="00DC42AA"/>
    <w:p w14:paraId="4FF91076" w14:textId="77777777" w:rsidR="00DC42AA" w:rsidRDefault="00DC42AA" w:rsidP="00DC42AA"/>
    <w:p w14:paraId="20F94FB8" w14:textId="77777777" w:rsidR="00DC42AA" w:rsidRDefault="00DC42AA" w:rsidP="00DC42AA"/>
    <w:p w14:paraId="1773F8F3" w14:textId="77777777" w:rsidR="00DC42AA" w:rsidRDefault="00DC42AA" w:rsidP="00DC42AA"/>
    <w:p w14:paraId="5722311B" w14:textId="77777777" w:rsidR="00DC42AA" w:rsidRDefault="00DC42AA" w:rsidP="00DC42AA"/>
    <w:p w14:paraId="55C2C6CD" w14:textId="77777777" w:rsidR="00DC42AA" w:rsidRDefault="00DC42AA" w:rsidP="00DC42AA"/>
    <w:p w14:paraId="2C519930" w14:textId="77777777" w:rsidR="00DC42AA" w:rsidRDefault="00DC42AA" w:rsidP="00DC42AA"/>
    <w:p w14:paraId="516EA3CC" w14:textId="77777777" w:rsidR="00DC42AA" w:rsidRDefault="00DC42AA" w:rsidP="00DC42AA"/>
    <w:p w14:paraId="1C8EAF64" w14:textId="77777777" w:rsidR="00DC42AA" w:rsidRDefault="00DC42AA" w:rsidP="00DC42AA"/>
    <w:p w14:paraId="2A094402" w14:textId="77777777" w:rsidR="00DC42AA" w:rsidRDefault="00DC42AA" w:rsidP="00DC42AA">
      <w:pPr>
        <w:sectPr w:rsidR="00DC42AA" w:rsidSect="000630C2">
          <w:headerReference w:type="even" r:id="rId10"/>
          <w:headerReference w:type="default" r:id="rId11"/>
          <w:footerReference w:type="even" r:id="rId12"/>
          <w:footerReference w:type="default" r:id="rId13"/>
          <w:pgSz w:w="11906" w:h="16838" w:code="9"/>
          <w:pgMar w:top="1134" w:right="849" w:bottom="1134" w:left="1134" w:header="720" w:footer="0" w:gutter="0"/>
          <w:cols w:space="720"/>
          <w:titlePg/>
          <w:docGrid w:linePitch="326"/>
        </w:sectPr>
      </w:pPr>
    </w:p>
    <w:p w14:paraId="0376F813" w14:textId="77777777" w:rsidR="003327AA" w:rsidRDefault="00017E33" w:rsidP="003327AA">
      <w:pPr>
        <w:pStyle w:val="Contents"/>
        <w:spacing w:after="120"/>
        <w:rPr>
          <w:noProof/>
        </w:rPr>
      </w:pPr>
      <w:bookmarkStart w:id="0" w:name="_Toc277773892"/>
      <w:r>
        <w:lastRenderedPageBreak/>
        <w:t>Contents</w:t>
      </w:r>
      <w:r>
        <w:rPr>
          <w:sz w:val="22"/>
        </w:rPr>
        <w:fldChar w:fldCharType="begin"/>
      </w:r>
      <w:r>
        <w:rPr>
          <w:sz w:val="22"/>
        </w:rPr>
        <w:instrText xml:space="preserve"> TOC \o "2-3" \h \z \t "Heading 1,1" </w:instrText>
      </w:r>
      <w:r>
        <w:rPr>
          <w:sz w:val="22"/>
        </w:rPr>
        <w:fldChar w:fldCharType="separate"/>
      </w:r>
    </w:p>
    <w:p w14:paraId="061790D3" w14:textId="77777777" w:rsidR="003327AA" w:rsidRDefault="00FF0106" w:rsidP="003327AA">
      <w:pPr>
        <w:pStyle w:val="TOC1"/>
        <w:spacing w:after="120"/>
        <w:rPr>
          <w:rFonts w:asciiTheme="minorHAnsi" w:eastAsiaTheme="minorEastAsia" w:hAnsiTheme="minorHAnsi" w:cstheme="minorBidi"/>
          <w:b w:val="0"/>
          <w:color w:val="auto"/>
          <w:sz w:val="22"/>
          <w:szCs w:val="22"/>
          <w:lang w:eastAsia="en-GB"/>
        </w:rPr>
      </w:pPr>
      <w:hyperlink w:anchor="_Toc450886537" w:history="1">
        <w:r w:rsidR="003327AA" w:rsidRPr="005264F7">
          <w:rPr>
            <w:rStyle w:val="Hyperlink"/>
          </w:rPr>
          <w:t>Teaching Excellence Framework Technical Consultation</w:t>
        </w:r>
        <w:r w:rsidR="003327AA">
          <w:rPr>
            <w:webHidden/>
          </w:rPr>
          <w:tab/>
        </w:r>
        <w:r w:rsidR="003327AA">
          <w:rPr>
            <w:webHidden/>
          </w:rPr>
          <w:fldChar w:fldCharType="begin"/>
        </w:r>
        <w:r w:rsidR="003327AA">
          <w:rPr>
            <w:webHidden/>
          </w:rPr>
          <w:instrText xml:space="preserve"> PAGEREF _Toc450886537 \h </w:instrText>
        </w:r>
        <w:r w:rsidR="003327AA">
          <w:rPr>
            <w:webHidden/>
          </w:rPr>
        </w:r>
        <w:r w:rsidR="003327AA">
          <w:rPr>
            <w:webHidden/>
          </w:rPr>
          <w:fldChar w:fldCharType="separate"/>
        </w:r>
        <w:r w:rsidR="0025732B">
          <w:rPr>
            <w:webHidden/>
          </w:rPr>
          <w:t>4</w:t>
        </w:r>
        <w:r w:rsidR="003327AA">
          <w:rPr>
            <w:webHidden/>
          </w:rPr>
          <w:fldChar w:fldCharType="end"/>
        </w:r>
      </w:hyperlink>
    </w:p>
    <w:p w14:paraId="511BB0AA" w14:textId="77777777" w:rsidR="003327AA" w:rsidRDefault="00FF0106" w:rsidP="003327AA">
      <w:pPr>
        <w:pStyle w:val="TOC2"/>
        <w:spacing w:after="120"/>
        <w:rPr>
          <w:rFonts w:asciiTheme="minorHAnsi" w:eastAsiaTheme="minorEastAsia" w:hAnsiTheme="minorHAnsi" w:cstheme="minorBidi"/>
          <w:color w:val="auto"/>
          <w:szCs w:val="22"/>
          <w:lang w:eastAsia="en-GB"/>
        </w:rPr>
      </w:pPr>
      <w:hyperlink w:anchor="_Toc450886538" w:history="1">
        <w:r w:rsidR="003327AA" w:rsidRPr="005264F7">
          <w:rPr>
            <w:rStyle w:val="Hyperlink"/>
          </w:rPr>
          <w:t>Introduction</w:t>
        </w:r>
        <w:r w:rsidR="003327AA">
          <w:rPr>
            <w:webHidden/>
          </w:rPr>
          <w:tab/>
        </w:r>
        <w:r w:rsidR="003327AA">
          <w:rPr>
            <w:webHidden/>
          </w:rPr>
          <w:fldChar w:fldCharType="begin"/>
        </w:r>
        <w:r w:rsidR="003327AA">
          <w:rPr>
            <w:webHidden/>
          </w:rPr>
          <w:instrText xml:space="preserve"> PAGEREF _Toc450886538 \h </w:instrText>
        </w:r>
        <w:r w:rsidR="003327AA">
          <w:rPr>
            <w:webHidden/>
          </w:rPr>
        </w:r>
        <w:r w:rsidR="003327AA">
          <w:rPr>
            <w:webHidden/>
          </w:rPr>
          <w:fldChar w:fldCharType="separate"/>
        </w:r>
        <w:r w:rsidR="0025732B">
          <w:rPr>
            <w:webHidden/>
          </w:rPr>
          <w:t>5</w:t>
        </w:r>
        <w:r w:rsidR="003327AA">
          <w:rPr>
            <w:webHidden/>
          </w:rPr>
          <w:fldChar w:fldCharType="end"/>
        </w:r>
      </w:hyperlink>
    </w:p>
    <w:p w14:paraId="2E554493" w14:textId="77777777" w:rsidR="003327AA" w:rsidRDefault="00FF0106" w:rsidP="003327AA">
      <w:pPr>
        <w:pStyle w:val="TOC3"/>
        <w:tabs>
          <w:tab w:val="right" w:leader="dot" w:pos="9628"/>
        </w:tabs>
        <w:spacing w:after="120"/>
        <w:rPr>
          <w:rFonts w:asciiTheme="minorHAnsi" w:eastAsiaTheme="minorEastAsia" w:hAnsiTheme="minorHAnsi" w:cstheme="minorBidi"/>
          <w:noProof/>
          <w:sz w:val="22"/>
          <w:szCs w:val="22"/>
          <w:lang w:eastAsia="en-GB"/>
        </w:rPr>
      </w:pPr>
      <w:hyperlink w:anchor="_Toc450886539" w:history="1">
        <w:r w:rsidR="003327AA" w:rsidRPr="005264F7">
          <w:rPr>
            <w:rStyle w:val="Hyperlink"/>
            <w:noProof/>
          </w:rPr>
          <w:t>Widening Participation and the TEF</w:t>
        </w:r>
        <w:r w:rsidR="003327AA">
          <w:rPr>
            <w:noProof/>
            <w:webHidden/>
          </w:rPr>
          <w:tab/>
        </w:r>
        <w:r w:rsidR="003327AA">
          <w:rPr>
            <w:noProof/>
            <w:webHidden/>
          </w:rPr>
          <w:fldChar w:fldCharType="begin"/>
        </w:r>
        <w:r w:rsidR="003327AA">
          <w:rPr>
            <w:noProof/>
            <w:webHidden/>
          </w:rPr>
          <w:instrText xml:space="preserve"> PAGEREF _Toc450886539 \h </w:instrText>
        </w:r>
        <w:r w:rsidR="003327AA">
          <w:rPr>
            <w:noProof/>
            <w:webHidden/>
          </w:rPr>
        </w:r>
        <w:r w:rsidR="003327AA">
          <w:rPr>
            <w:noProof/>
            <w:webHidden/>
          </w:rPr>
          <w:fldChar w:fldCharType="separate"/>
        </w:r>
        <w:r w:rsidR="0025732B">
          <w:rPr>
            <w:noProof/>
            <w:webHidden/>
          </w:rPr>
          <w:t>5</w:t>
        </w:r>
        <w:r w:rsidR="003327AA">
          <w:rPr>
            <w:noProof/>
            <w:webHidden/>
          </w:rPr>
          <w:fldChar w:fldCharType="end"/>
        </w:r>
      </w:hyperlink>
    </w:p>
    <w:p w14:paraId="18347493" w14:textId="77777777" w:rsidR="003327AA" w:rsidRDefault="00FF0106" w:rsidP="003327AA">
      <w:pPr>
        <w:pStyle w:val="TOC3"/>
        <w:tabs>
          <w:tab w:val="right" w:leader="dot" w:pos="9628"/>
        </w:tabs>
        <w:spacing w:after="120"/>
        <w:rPr>
          <w:rFonts w:asciiTheme="minorHAnsi" w:eastAsiaTheme="minorEastAsia" w:hAnsiTheme="minorHAnsi" w:cstheme="minorBidi"/>
          <w:noProof/>
          <w:sz w:val="22"/>
          <w:szCs w:val="22"/>
          <w:lang w:eastAsia="en-GB"/>
        </w:rPr>
      </w:pPr>
      <w:hyperlink w:anchor="_Toc450886540" w:history="1">
        <w:r w:rsidR="003327AA" w:rsidRPr="005264F7">
          <w:rPr>
            <w:rStyle w:val="Hyperlink"/>
            <w:noProof/>
          </w:rPr>
          <w:t>Development of the TEF</w:t>
        </w:r>
        <w:r w:rsidR="003327AA">
          <w:rPr>
            <w:noProof/>
            <w:webHidden/>
          </w:rPr>
          <w:tab/>
        </w:r>
        <w:r w:rsidR="003327AA">
          <w:rPr>
            <w:noProof/>
            <w:webHidden/>
          </w:rPr>
          <w:fldChar w:fldCharType="begin"/>
        </w:r>
        <w:r w:rsidR="003327AA">
          <w:rPr>
            <w:noProof/>
            <w:webHidden/>
          </w:rPr>
          <w:instrText xml:space="preserve"> PAGEREF _Toc450886540 \h </w:instrText>
        </w:r>
        <w:r w:rsidR="003327AA">
          <w:rPr>
            <w:noProof/>
            <w:webHidden/>
          </w:rPr>
        </w:r>
        <w:r w:rsidR="003327AA">
          <w:rPr>
            <w:noProof/>
            <w:webHidden/>
          </w:rPr>
          <w:fldChar w:fldCharType="separate"/>
        </w:r>
        <w:r w:rsidR="0025732B">
          <w:rPr>
            <w:noProof/>
            <w:webHidden/>
          </w:rPr>
          <w:t>6</w:t>
        </w:r>
        <w:r w:rsidR="003327AA">
          <w:rPr>
            <w:noProof/>
            <w:webHidden/>
          </w:rPr>
          <w:fldChar w:fldCharType="end"/>
        </w:r>
      </w:hyperlink>
    </w:p>
    <w:p w14:paraId="2F68F595" w14:textId="77777777" w:rsidR="003327AA" w:rsidRDefault="00FF0106" w:rsidP="003327AA">
      <w:pPr>
        <w:pStyle w:val="TOC3"/>
        <w:tabs>
          <w:tab w:val="right" w:leader="dot" w:pos="9628"/>
        </w:tabs>
        <w:spacing w:after="120"/>
        <w:rPr>
          <w:rFonts w:asciiTheme="minorHAnsi" w:eastAsiaTheme="minorEastAsia" w:hAnsiTheme="minorHAnsi" w:cstheme="minorBidi"/>
          <w:noProof/>
          <w:sz w:val="22"/>
          <w:szCs w:val="22"/>
          <w:lang w:eastAsia="en-GB"/>
        </w:rPr>
      </w:pPr>
      <w:hyperlink w:anchor="_Toc450886541" w:history="1">
        <w:r w:rsidR="003327AA" w:rsidRPr="005264F7">
          <w:rPr>
            <w:rStyle w:val="Hyperlink"/>
            <w:noProof/>
          </w:rPr>
          <w:t>Definition of terms</w:t>
        </w:r>
        <w:r w:rsidR="003327AA">
          <w:rPr>
            <w:noProof/>
            <w:webHidden/>
          </w:rPr>
          <w:tab/>
        </w:r>
        <w:r w:rsidR="003327AA">
          <w:rPr>
            <w:noProof/>
            <w:webHidden/>
          </w:rPr>
          <w:fldChar w:fldCharType="begin"/>
        </w:r>
        <w:r w:rsidR="003327AA">
          <w:rPr>
            <w:noProof/>
            <w:webHidden/>
          </w:rPr>
          <w:instrText xml:space="preserve"> PAGEREF _Toc450886541 \h </w:instrText>
        </w:r>
        <w:r w:rsidR="003327AA">
          <w:rPr>
            <w:noProof/>
            <w:webHidden/>
          </w:rPr>
        </w:r>
        <w:r w:rsidR="003327AA">
          <w:rPr>
            <w:noProof/>
            <w:webHidden/>
          </w:rPr>
          <w:fldChar w:fldCharType="separate"/>
        </w:r>
        <w:r w:rsidR="0025732B">
          <w:rPr>
            <w:noProof/>
            <w:webHidden/>
          </w:rPr>
          <w:t>7</w:t>
        </w:r>
        <w:r w:rsidR="003327AA">
          <w:rPr>
            <w:noProof/>
            <w:webHidden/>
          </w:rPr>
          <w:fldChar w:fldCharType="end"/>
        </w:r>
      </w:hyperlink>
    </w:p>
    <w:p w14:paraId="68A22839" w14:textId="77777777" w:rsidR="003327AA" w:rsidRDefault="00FF0106" w:rsidP="003327AA">
      <w:pPr>
        <w:pStyle w:val="TOC2"/>
        <w:spacing w:after="120"/>
        <w:rPr>
          <w:rFonts w:asciiTheme="minorHAnsi" w:eastAsiaTheme="minorEastAsia" w:hAnsiTheme="minorHAnsi" w:cstheme="minorBidi"/>
          <w:color w:val="auto"/>
          <w:szCs w:val="22"/>
          <w:lang w:eastAsia="en-GB"/>
        </w:rPr>
      </w:pPr>
      <w:hyperlink w:anchor="_Toc450886542" w:history="1">
        <w:r w:rsidR="003327AA" w:rsidRPr="005264F7">
          <w:rPr>
            <w:rStyle w:val="Hyperlink"/>
          </w:rPr>
          <w:t>Overview of the TEF in Year Two</w:t>
        </w:r>
        <w:r w:rsidR="003327AA">
          <w:rPr>
            <w:webHidden/>
          </w:rPr>
          <w:tab/>
        </w:r>
        <w:r w:rsidR="003327AA">
          <w:rPr>
            <w:webHidden/>
          </w:rPr>
          <w:fldChar w:fldCharType="begin"/>
        </w:r>
        <w:r w:rsidR="003327AA">
          <w:rPr>
            <w:webHidden/>
          </w:rPr>
          <w:instrText xml:space="preserve"> PAGEREF _Toc450886542 \h </w:instrText>
        </w:r>
        <w:r w:rsidR="003327AA">
          <w:rPr>
            <w:webHidden/>
          </w:rPr>
        </w:r>
        <w:r w:rsidR="003327AA">
          <w:rPr>
            <w:webHidden/>
          </w:rPr>
          <w:fldChar w:fldCharType="separate"/>
        </w:r>
        <w:r w:rsidR="0025732B">
          <w:rPr>
            <w:webHidden/>
          </w:rPr>
          <w:t>8</w:t>
        </w:r>
        <w:r w:rsidR="003327AA">
          <w:rPr>
            <w:webHidden/>
          </w:rPr>
          <w:fldChar w:fldCharType="end"/>
        </w:r>
      </w:hyperlink>
    </w:p>
    <w:p w14:paraId="2FEDFD68" w14:textId="77777777" w:rsidR="003327AA" w:rsidRDefault="00FF0106" w:rsidP="003327AA">
      <w:pPr>
        <w:pStyle w:val="TOC3"/>
        <w:tabs>
          <w:tab w:val="right" w:leader="dot" w:pos="9628"/>
        </w:tabs>
        <w:spacing w:after="120"/>
        <w:rPr>
          <w:rFonts w:asciiTheme="minorHAnsi" w:eastAsiaTheme="minorEastAsia" w:hAnsiTheme="minorHAnsi" w:cstheme="minorBidi"/>
          <w:noProof/>
          <w:sz w:val="22"/>
          <w:szCs w:val="22"/>
          <w:lang w:eastAsia="en-GB"/>
        </w:rPr>
      </w:pPr>
      <w:hyperlink w:anchor="_Toc450886543" w:history="1">
        <w:r w:rsidR="003327AA" w:rsidRPr="005264F7">
          <w:rPr>
            <w:rStyle w:val="Hyperlink"/>
            <w:noProof/>
          </w:rPr>
          <w:t>Key features of Year Two</w:t>
        </w:r>
        <w:r w:rsidR="003327AA">
          <w:rPr>
            <w:noProof/>
            <w:webHidden/>
          </w:rPr>
          <w:tab/>
        </w:r>
        <w:r w:rsidR="003327AA">
          <w:rPr>
            <w:noProof/>
            <w:webHidden/>
          </w:rPr>
          <w:fldChar w:fldCharType="begin"/>
        </w:r>
        <w:r w:rsidR="003327AA">
          <w:rPr>
            <w:noProof/>
            <w:webHidden/>
          </w:rPr>
          <w:instrText xml:space="preserve"> PAGEREF _Toc450886543 \h </w:instrText>
        </w:r>
        <w:r w:rsidR="003327AA">
          <w:rPr>
            <w:noProof/>
            <w:webHidden/>
          </w:rPr>
        </w:r>
        <w:r w:rsidR="003327AA">
          <w:rPr>
            <w:noProof/>
            <w:webHidden/>
          </w:rPr>
          <w:fldChar w:fldCharType="separate"/>
        </w:r>
        <w:r w:rsidR="0025732B">
          <w:rPr>
            <w:noProof/>
            <w:webHidden/>
          </w:rPr>
          <w:t>8</w:t>
        </w:r>
        <w:r w:rsidR="003327AA">
          <w:rPr>
            <w:noProof/>
            <w:webHidden/>
          </w:rPr>
          <w:fldChar w:fldCharType="end"/>
        </w:r>
      </w:hyperlink>
    </w:p>
    <w:p w14:paraId="581F4B6F" w14:textId="77777777" w:rsidR="003327AA" w:rsidRDefault="00FF0106" w:rsidP="003327AA">
      <w:pPr>
        <w:pStyle w:val="TOC2"/>
        <w:spacing w:after="120"/>
        <w:rPr>
          <w:rFonts w:asciiTheme="minorHAnsi" w:eastAsiaTheme="minorEastAsia" w:hAnsiTheme="minorHAnsi" w:cstheme="minorBidi"/>
          <w:color w:val="auto"/>
          <w:szCs w:val="22"/>
          <w:lang w:eastAsia="en-GB"/>
        </w:rPr>
      </w:pPr>
      <w:hyperlink w:anchor="_Toc450886544" w:history="1">
        <w:r w:rsidR="003327AA" w:rsidRPr="005264F7">
          <w:rPr>
            <w:rStyle w:val="Hyperlink"/>
          </w:rPr>
          <w:t>1. The Assessment Framework</w:t>
        </w:r>
        <w:r w:rsidR="003327AA">
          <w:rPr>
            <w:webHidden/>
          </w:rPr>
          <w:tab/>
        </w:r>
        <w:r w:rsidR="003327AA">
          <w:rPr>
            <w:webHidden/>
          </w:rPr>
          <w:fldChar w:fldCharType="begin"/>
        </w:r>
        <w:r w:rsidR="003327AA">
          <w:rPr>
            <w:webHidden/>
          </w:rPr>
          <w:instrText xml:space="preserve"> PAGEREF _Toc450886544 \h </w:instrText>
        </w:r>
        <w:r w:rsidR="003327AA">
          <w:rPr>
            <w:webHidden/>
          </w:rPr>
        </w:r>
        <w:r w:rsidR="003327AA">
          <w:rPr>
            <w:webHidden/>
          </w:rPr>
          <w:fldChar w:fldCharType="separate"/>
        </w:r>
        <w:r w:rsidR="0025732B">
          <w:rPr>
            <w:webHidden/>
          </w:rPr>
          <w:t>10</w:t>
        </w:r>
        <w:r w:rsidR="003327AA">
          <w:rPr>
            <w:webHidden/>
          </w:rPr>
          <w:fldChar w:fldCharType="end"/>
        </w:r>
      </w:hyperlink>
    </w:p>
    <w:p w14:paraId="439DB432" w14:textId="77777777" w:rsidR="003327AA" w:rsidRDefault="00FF0106" w:rsidP="003327AA">
      <w:pPr>
        <w:pStyle w:val="TOC3"/>
        <w:tabs>
          <w:tab w:val="right" w:leader="dot" w:pos="9628"/>
        </w:tabs>
        <w:spacing w:after="120"/>
        <w:rPr>
          <w:rFonts w:asciiTheme="minorHAnsi" w:eastAsiaTheme="minorEastAsia" w:hAnsiTheme="minorHAnsi" w:cstheme="minorBidi"/>
          <w:noProof/>
          <w:sz w:val="22"/>
          <w:szCs w:val="22"/>
          <w:lang w:eastAsia="en-GB"/>
        </w:rPr>
      </w:pPr>
      <w:hyperlink w:anchor="_Toc450886545" w:history="1">
        <w:r w:rsidR="003327AA" w:rsidRPr="005264F7">
          <w:rPr>
            <w:rStyle w:val="Hyperlink"/>
            <w:noProof/>
          </w:rPr>
          <w:t>Summary of the framework</w:t>
        </w:r>
        <w:r w:rsidR="003327AA">
          <w:rPr>
            <w:noProof/>
            <w:webHidden/>
          </w:rPr>
          <w:tab/>
        </w:r>
        <w:r w:rsidR="003327AA">
          <w:rPr>
            <w:noProof/>
            <w:webHidden/>
          </w:rPr>
          <w:fldChar w:fldCharType="begin"/>
        </w:r>
        <w:r w:rsidR="003327AA">
          <w:rPr>
            <w:noProof/>
            <w:webHidden/>
          </w:rPr>
          <w:instrText xml:space="preserve"> PAGEREF _Toc450886545 \h </w:instrText>
        </w:r>
        <w:r w:rsidR="003327AA">
          <w:rPr>
            <w:noProof/>
            <w:webHidden/>
          </w:rPr>
        </w:r>
        <w:r w:rsidR="003327AA">
          <w:rPr>
            <w:noProof/>
            <w:webHidden/>
          </w:rPr>
          <w:fldChar w:fldCharType="separate"/>
        </w:r>
        <w:r w:rsidR="0025732B">
          <w:rPr>
            <w:noProof/>
            <w:webHidden/>
          </w:rPr>
          <w:t>10</w:t>
        </w:r>
        <w:r w:rsidR="003327AA">
          <w:rPr>
            <w:noProof/>
            <w:webHidden/>
          </w:rPr>
          <w:fldChar w:fldCharType="end"/>
        </w:r>
      </w:hyperlink>
    </w:p>
    <w:p w14:paraId="1416B7F6" w14:textId="77777777" w:rsidR="003327AA" w:rsidRDefault="00FF0106" w:rsidP="003327AA">
      <w:pPr>
        <w:pStyle w:val="TOC3"/>
        <w:tabs>
          <w:tab w:val="right" w:leader="dot" w:pos="9628"/>
        </w:tabs>
        <w:spacing w:after="120"/>
        <w:rPr>
          <w:rFonts w:asciiTheme="minorHAnsi" w:eastAsiaTheme="minorEastAsia" w:hAnsiTheme="minorHAnsi" w:cstheme="minorBidi"/>
          <w:noProof/>
          <w:sz w:val="22"/>
          <w:szCs w:val="22"/>
          <w:lang w:eastAsia="en-GB"/>
        </w:rPr>
      </w:pPr>
      <w:hyperlink w:anchor="_Toc450886546" w:history="1">
        <w:r w:rsidR="003327AA" w:rsidRPr="005264F7">
          <w:rPr>
            <w:rStyle w:val="Hyperlink"/>
            <w:noProof/>
          </w:rPr>
          <w:t>Aspects of quality</w:t>
        </w:r>
        <w:r w:rsidR="003327AA">
          <w:rPr>
            <w:noProof/>
            <w:webHidden/>
          </w:rPr>
          <w:tab/>
        </w:r>
        <w:r w:rsidR="003327AA">
          <w:rPr>
            <w:noProof/>
            <w:webHidden/>
          </w:rPr>
          <w:fldChar w:fldCharType="begin"/>
        </w:r>
        <w:r w:rsidR="003327AA">
          <w:rPr>
            <w:noProof/>
            <w:webHidden/>
          </w:rPr>
          <w:instrText xml:space="preserve"> PAGEREF _Toc450886546 \h </w:instrText>
        </w:r>
        <w:r w:rsidR="003327AA">
          <w:rPr>
            <w:noProof/>
            <w:webHidden/>
          </w:rPr>
        </w:r>
        <w:r w:rsidR="003327AA">
          <w:rPr>
            <w:noProof/>
            <w:webHidden/>
          </w:rPr>
          <w:fldChar w:fldCharType="separate"/>
        </w:r>
        <w:r w:rsidR="0025732B">
          <w:rPr>
            <w:noProof/>
            <w:webHidden/>
          </w:rPr>
          <w:t>11</w:t>
        </w:r>
        <w:r w:rsidR="003327AA">
          <w:rPr>
            <w:noProof/>
            <w:webHidden/>
          </w:rPr>
          <w:fldChar w:fldCharType="end"/>
        </w:r>
      </w:hyperlink>
    </w:p>
    <w:p w14:paraId="469C0B05" w14:textId="77777777" w:rsidR="003327AA" w:rsidRDefault="00FF0106" w:rsidP="003327AA">
      <w:pPr>
        <w:pStyle w:val="TOC3"/>
        <w:tabs>
          <w:tab w:val="right" w:leader="dot" w:pos="9628"/>
        </w:tabs>
        <w:spacing w:after="120"/>
        <w:rPr>
          <w:rFonts w:asciiTheme="minorHAnsi" w:eastAsiaTheme="minorEastAsia" w:hAnsiTheme="minorHAnsi" w:cstheme="minorBidi"/>
          <w:noProof/>
          <w:sz w:val="22"/>
          <w:szCs w:val="22"/>
          <w:lang w:eastAsia="en-GB"/>
        </w:rPr>
      </w:pPr>
      <w:hyperlink w:anchor="_Toc450886547" w:history="1">
        <w:r w:rsidR="003327AA" w:rsidRPr="005264F7">
          <w:rPr>
            <w:rStyle w:val="Hyperlink"/>
            <w:noProof/>
          </w:rPr>
          <w:t>Assessment criteria</w:t>
        </w:r>
        <w:r w:rsidR="003327AA">
          <w:rPr>
            <w:noProof/>
            <w:webHidden/>
          </w:rPr>
          <w:tab/>
        </w:r>
        <w:r w:rsidR="003327AA">
          <w:rPr>
            <w:noProof/>
            <w:webHidden/>
          </w:rPr>
          <w:fldChar w:fldCharType="begin"/>
        </w:r>
        <w:r w:rsidR="003327AA">
          <w:rPr>
            <w:noProof/>
            <w:webHidden/>
          </w:rPr>
          <w:instrText xml:space="preserve"> PAGEREF _Toc450886547 \h </w:instrText>
        </w:r>
        <w:r w:rsidR="003327AA">
          <w:rPr>
            <w:noProof/>
            <w:webHidden/>
          </w:rPr>
        </w:r>
        <w:r w:rsidR="003327AA">
          <w:rPr>
            <w:noProof/>
            <w:webHidden/>
          </w:rPr>
          <w:fldChar w:fldCharType="separate"/>
        </w:r>
        <w:r w:rsidR="0025732B">
          <w:rPr>
            <w:noProof/>
            <w:webHidden/>
          </w:rPr>
          <w:t>13</w:t>
        </w:r>
        <w:r w:rsidR="003327AA">
          <w:rPr>
            <w:noProof/>
            <w:webHidden/>
          </w:rPr>
          <w:fldChar w:fldCharType="end"/>
        </w:r>
      </w:hyperlink>
    </w:p>
    <w:p w14:paraId="6B5F9090" w14:textId="77777777" w:rsidR="003327AA" w:rsidRDefault="00FF0106" w:rsidP="003327AA">
      <w:pPr>
        <w:pStyle w:val="TOC2"/>
        <w:spacing w:after="120"/>
        <w:rPr>
          <w:rFonts w:asciiTheme="minorHAnsi" w:eastAsiaTheme="minorEastAsia" w:hAnsiTheme="minorHAnsi" w:cstheme="minorBidi"/>
          <w:color w:val="auto"/>
          <w:szCs w:val="22"/>
          <w:lang w:eastAsia="en-GB"/>
        </w:rPr>
      </w:pPr>
      <w:hyperlink w:anchor="_Toc450886548" w:history="1">
        <w:r w:rsidR="003327AA" w:rsidRPr="005264F7">
          <w:rPr>
            <w:rStyle w:val="Hyperlink"/>
          </w:rPr>
          <w:t>2.  Eligibility and Pre-requisites</w:t>
        </w:r>
        <w:r w:rsidR="003327AA">
          <w:rPr>
            <w:webHidden/>
          </w:rPr>
          <w:tab/>
        </w:r>
        <w:r w:rsidR="003327AA">
          <w:rPr>
            <w:webHidden/>
          </w:rPr>
          <w:fldChar w:fldCharType="begin"/>
        </w:r>
        <w:r w:rsidR="003327AA">
          <w:rPr>
            <w:webHidden/>
          </w:rPr>
          <w:instrText xml:space="preserve"> PAGEREF _Toc450886548 \h </w:instrText>
        </w:r>
        <w:r w:rsidR="003327AA">
          <w:rPr>
            <w:webHidden/>
          </w:rPr>
        </w:r>
        <w:r w:rsidR="003327AA">
          <w:rPr>
            <w:webHidden/>
          </w:rPr>
          <w:fldChar w:fldCharType="separate"/>
        </w:r>
        <w:r w:rsidR="0025732B">
          <w:rPr>
            <w:webHidden/>
          </w:rPr>
          <w:t>17</w:t>
        </w:r>
        <w:r w:rsidR="003327AA">
          <w:rPr>
            <w:webHidden/>
          </w:rPr>
          <w:fldChar w:fldCharType="end"/>
        </w:r>
      </w:hyperlink>
    </w:p>
    <w:p w14:paraId="4C39C4AB" w14:textId="77777777" w:rsidR="003327AA" w:rsidRDefault="00FF0106" w:rsidP="003327AA">
      <w:pPr>
        <w:pStyle w:val="TOC3"/>
        <w:tabs>
          <w:tab w:val="right" w:leader="dot" w:pos="9628"/>
        </w:tabs>
        <w:spacing w:after="120"/>
        <w:rPr>
          <w:rFonts w:asciiTheme="minorHAnsi" w:eastAsiaTheme="minorEastAsia" w:hAnsiTheme="minorHAnsi" w:cstheme="minorBidi"/>
          <w:noProof/>
          <w:sz w:val="22"/>
          <w:szCs w:val="22"/>
          <w:lang w:eastAsia="en-GB"/>
        </w:rPr>
      </w:pPr>
      <w:hyperlink w:anchor="_Toc450886549" w:history="1">
        <w:r w:rsidR="003327AA" w:rsidRPr="005264F7">
          <w:rPr>
            <w:rStyle w:val="Hyperlink"/>
            <w:noProof/>
          </w:rPr>
          <w:t>Level of provision</w:t>
        </w:r>
        <w:r w:rsidR="003327AA">
          <w:rPr>
            <w:noProof/>
            <w:webHidden/>
          </w:rPr>
          <w:tab/>
        </w:r>
        <w:r w:rsidR="003327AA">
          <w:rPr>
            <w:noProof/>
            <w:webHidden/>
          </w:rPr>
          <w:fldChar w:fldCharType="begin"/>
        </w:r>
        <w:r w:rsidR="003327AA">
          <w:rPr>
            <w:noProof/>
            <w:webHidden/>
          </w:rPr>
          <w:instrText xml:space="preserve"> PAGEREF _Toc450886549 \h </w:instrText>
        </w:r>
        <w:r w:rsidR="003327AA">
          <w:rPr>
            <w:noProof/>
            <w:webHidden/>
          </w:rPr>
        </w:r>
        <w:r w:rsidR="003327AA">
          <w:rPr>
            <w:noProof/>
            <w:webHidden/>
          </w:rPr>
          <w:fldChar w:fldCharType="separate"/>
        </w:r>
        <w:r w:rsidR="0025732B">
          <w:rPr>
            <w:noProof/>
            <w:webHidden/>
          </w:rPr>
          <w:t>17</w:t>
        </w:r>
        <w:r w:rsidR="003327AA">
          <w:rPr>
            <w:noProof/>
            <w:webHidden/>
          </w:rPr>
          <w:fldChar w:fldCharType="end"/>
        </w:r>
      </w:hyperlink>
    </w:p>
    <w:p w14:paraId="5F3AC4BD" w14:textId="77777777" w:rsidR="003327AA" w:rsidRDefault="00FF0106" w:rsidP="003327AA">
      <w:pPr>
        <w:pStyle w:val="TOC3"/>
        <w:tabs>
          <w:tab w:val="right" w:leader="dot" w:pos="9628"/>
        </w:tabs>
        <w:spacing w:after="120"/>
        <w:rPr>
          <w:rFonts w:asciiTheme="minorHAnsi" w:eastAsiaTheme="minorEastAsia" w:hAnsiTheme="minorHAnsi" w:cstheme="minorBidi"/>
          <w:noProof/>
          <w:sz w:val="22"/>
          <w:szCs w:val="22"/>
          <w:lang w:eastAsia="en-GB"/>
        </w:rPr>
      </w:pPr>
      <w:hyperlink w:anchor="_Toc450886550" w:history="1">
        <w:r w:rsidR="003327AA" w:rsidRPr="005264F7">
          <w:rPr>
            <w:rStyle w:val="Hyperlink"/>
            <w:noProof/>
          </w:rPr>
          <w:t>Meeting the requirements of the broader quality assurance system</w:t>
        </w:r>
        <w:r w:rsidR="003327AA">
          <w:rPr>
            <w:noProof/>
            <w:webHidden/>
          </w:rPr>
          <w:tab/>
        </w:r>
        <w:r w:rsidR="003327AA">
          <w:rPr>
            <w:noProof/>
            <w:webHidden/>
          </w:rPr>
          <w:fldChar w:fldCharType="begin"/>
        </w:r>
        <w:r w:rsidR="003327AA">
          <w:rPr>
            <w:noProof/>
            <w:webHidden/>
          </w:rPr>
          <w:instrText xml:space="preserve"> PAGEREF _Toc450886550 \h </w:instrText>
        </w:r>
        <w:r w:rsidR="003327AA">
          <w:rPr>
            <w:noProof/>
            <w:webHidden/>
          </w:rPr>
        </w:r>
        <w:r w:rsidR="003327AA">
          <w:rPr>
            <w:noProof/>
            <w:webHidden/>
          </w:rPr>
          <w:fldChar w:fldCharType="separate"/>
        </w:r>
        <w:r w:rsidR="0025732B">
          <w:rPr>
            <w:noProof/>
            <w:webHidden/>
          </w:rPr>
          <w:t>17</w:t>
        </w:r>
        <w:r w:rsidR="003327AA">
          <w:rPr>
            <w:noProof/>
            <w:webHidden/>
          </w:rPr>
          <w:fldChar w:fldCharType="end"/>
        </w:r>
      </w:hyperlink>
    </w:p>
    <w:p w14:paraId="6C9A60B9" w14:textId="77777777" w:rsidR="003327AA" w:rsidRDefault="00FF0106" w:rsidP="003327AA">
      <w:pPr>
        <w:pStyle w:val="TOC3"/>
        <w:tabs>
          <w:tab w:val="right" w:leader="dot" w:pos="9628"/>
        </w:tabs>
        <w:spacing w:after="120"/>
        <w:rPr>
          <w:rFonts w:asciiTheme="minorHAnsi" w:eastAsiaTheme="minorEastAsia" w:hAnsiTheme="minorHAnsi" w:cstheme="minorBidi"/>
          <w:noProof/>
          <w:sz w:val="22"/>
          <w:szCs w:val="22"/>
          <w:lang w:eastAsia="en-GB"/>
        </w:rPr>
      </w:pPr>
      <w:hyperlink w:anchor="_Toc450886551" w:history="1">
        <w:r w:rsidR="003327AA" w:rsidRPr="005264F7">
          <w:rPr>
            <w:rStyle w:val="Hyperlink"/>
            <w:noProof/>
          </w:rPr>
          <w:t>Commitment to widening participation and fair access</w:t>
        </w:r>
        <w:r w:rsidR="003327AA">
          <w:rPr>
            <w:noProof/>
            <w:webHidden/>
          </w:rPr>
          <w:tab/>
        </w:r>
        <w:r w:rsidR="003327AA">
          <w:rPr>
            <w:noProof/>
            <w:webHidden/>
          </w:rPr>
          <w:fldChar w:fldCharType="begin"/>
        </w:r>
        <w:r w:rsidR="003327AA">
          <w:rPr>
            <w:noProof/>
            <w:webHidden/>
          </w:rPr>
          <w:instrText xml:space="preserve"> PAGEREF _Toc450886551 \h </w:instrText>
        </w:r>
        <w:r w:rsidR="003327AA">
          <w:rPr>
            <w:noProof/>
            <w:webHidden/>
          </w:rPr>
        </w:r>
        <w:r w:rsidR="003327AA">
          <w:rPr>
            <w:noProof/>
            <w:webHidden/>
          </w:rPr>
          <w:fldChar w:fldCharType="separate"/>
        </w:r>
        <w:r w:rsidR="0025732B">
          <w:rPr>
            <w:noProof/>
            <w:webHidden/>
          </w:rPr>
          <w:t>17</w:t>
        </w:r>
        <w:r w:rsidR="003327AA">
          <w:rPr>
            <w:noProof/>
            <w:webHidden/>
          </w:rPr>
          <w:fldChar w:fldCharType="end"/>
        </w:r>
      </w:hyperlink>
    </w:p>
    <w:p w14:paraId="797D7FC8" w14:textId="77777777" w:rsidR="003327AA" w:rsidRDefault="00FF0106" w:rsidP="003327AA">
      <w:pPr>
        <w:pStyle w:val="TOC3"/>
        <w:tabs>
          <w:tab w:val="right" w:leader="dot" w:pos="9628"/>
        </w:tabs>
        <w:spacing w:after="120"/>
        <w:rPr>
          <w:rFonts w:asciiTheme="minorHAnsi" w:eastAsiaTheme="minorEastAsia" w:hAnsiTheme="minorHAnsi" w:cstheme="minorBidi"/>
          <w:noProof/>
          <w:sz w:val="22"/>
          <w:szCs w:val="22"/>
          <w:lang w:eastAsia="en-GB"/>
        </w:rPr>
      </w:pPr>
      <w:hyperlink w:anchor="_Toc450886552" w:history="1">
        <w:r w:rsidR="003327AA" w:rsidRPr="005264F7">
          <w:rPr>
            <w:rStyle w:val="Hyperlink"/>
            <w:noProof/>
          </w:rPr>
          <w:t>Suitable metrics</w:t>
        </w:r>
        <w:r w:rsidR="003327AA">
          <w:rPr>
            <w:noProof/>
            <w:webHidden/>
          </w:rPr>
          <w:tab/>
        </w:r>
        <w:r w:rsidR="003327AA">
          <w:rPr>
            <w:noProof/>
            <w:webHidden/>
          </w:rPr>
          <w:fldChar w:fldCharType="begin"/>
        </w:r>
        <w:r w:rsidR="003327AA">
          <w:rPr>
            <w:noProof/>
            <w:webHidden/>
          </w:rPr>
          <w:instrText xml:space="preserve"> PAGEREF _Toc450886552 \h </w:instrText>
        </w:r>
        <w:r w:rsidR="003327AA">
          <w:rPr>
            <w:noProof/>
            <w:webHidden/>
          </w:rPr>
        </w:r>
        <w:r w:rsidR="003327AA">
          <w:rPr>
            <w:noProof/>
            <w:webHidden/>
          </w:rPr>
          <w:fldChar w:fldCharType="separate"/>
        </w:r>
        <w:r w:rsidR="0025732B">
          <w:rPr>
            <w:noProof/>
            <w:webHidden/>
          </w:rPr>
          <w:t>18</w:t>
        </w:r>
        <w:r w:rsidR="003327AA">
          <w:rPr>
            <w:noProof/>
            <w:webHidden/>
          </w:rPr>
          <w:fldChar w:fldCharType="end"/>
        </w:r>
      </w:hyperlink>
    </w:p>
    <w:p w14:paraId="5E9C0F1F" w14:textId="77777777" w:rsidR="003327AA" w:rsidRDefault="00FF0106" w:rsidP="003327AA">
      <w:pPr>
        <w:pStyle w:val="TOC2"/>
        <w:spacing w:after="120"/>
        <w:rPr>
          <w:rFonts w:asciiTheme="minorHAnsi" w:eastAsiaTheme="minorEastAsia" w:hAnsiTheme="minorHAnsi" w:cstheme="minorBidi"/>
          <w:color w:val="auto"/>
          <w:szCs w:val="22"/>
          <w:lang w:eastAsia="en-GB"/>
        </w:rPr>
      </w:pPr>
      <w:hyperlink w:anchor="_Toc450886553" w:history="1">
        <w:r w:rsidR="003327AA" w:rsidRPr="005264F7">
          <w:rPr>
            <w:rStyle w:val="Hyperlink"/>
          </w:rPr>
          <w:t>3a. Evidence – Metrics</w:t>
        </w:r>
        <w:r w:rsidR="003327AA">
          <w:rPr>
            <w:webHidden/>
          </w:rPr>
          <w:tab/>
        </w:r>
        <w:r w:rsidR="003327AA">
          <w:rPr>
            <w:webHidden/>
          </w:rPr>
          <w:fldChar w:fldCharType="begin"/>
        </w:r>
        <w:r w:rsidR="003327AA">
          <w:rPr>
            <w:webHidden/>
          </w:rPr>
          <w:instrText xml:space="preserve"> PAGEREF _Toc450886553 \h </w:instrText>
        </w:r>
        <w:r w:rsidR="003327AA">
          <w:rPr>
            <w:webHidden/>
          </w:rPr>
        </w:r>
        <w:r w:rsidR="003327AA">
          <w:rPr>
            <w:webHidden/>
          </w:rPr>
          <w:fldChar w:fldCharType="separate"/>
        </w:r>
        <w:r w:rsidR="0025732B">
          <w:rPr>
            <w:webHidden/>
          </w:rPr>
          <w:t>19</w:t>
        </w:r>
        <w:r w:rsidR="003327AA">
          <w:rPr>
            <w:webHidden/>
          </w:rPr>
          <w:fldChar w:fldCharType="end"/>
        </w:r>
      </w:hyperlink>
    </w:p>
    <w:p w14:paraId="23FCEEA8" w14:textId="77777777" w:rsidR="003327AA" w:rsidRDefault="00FF0106" w:rsidP="003327AA">
      <w:pPr>
        <w:pStyle w:val="TOC3"/>
        <w:tabs>
          <w:tab w:val="right" w:leader="dot" w:pos="9628"/>
        </w:tabs>
        <w:spacing w:after="120"/>
        <w:rPr>
          <w:rFonts w:asciiTheme="minorHAnsi" w:eastAsiaTheme="minorEastAsia" w:hAnsiTheme="minorHAnsi" w:cstheme="minorBidi"/>
          <w:noProof/>
          <w:sz w:val="22"/>
          <w:szCs w:val="22"/>
          <w:lang w:eastAsia="en-GB"/>
        </w:rPr>
      </w:pPr>
      <w:hyperlink w:anchor="_Toc450886554" w:history="1">
        <w:r w:rsidR="003327AA" w:rsidRPr="005264F7">
          <w:rPr>
            <w:rStyle w:val="Hyperlink"/>
            <w:noProof/>
          </w:rPr>
          <w:t>Defining the metrics</w:t>
        </w:r>
        <w:r w:rsidR="003327AA">
          <w:rPr>
            <w:noProof/>
            <w:webHidden/>
          </w:rPr>
          <w:tab/>
        </w:r>
        <w:r w:rsidR="003327AA">
          <w:rPr>
            <w:noProof/>
            <w:webHidden/>
          </w:rPr>
          <w:fldChar w:fldCharType="begin"/>
        </w:r>
        <w:r w:rsidR="003327AA">
          <w:rPr>
            <w:noProof/>
            <w:webHidden/>
          </w:rPr>
          <w:instrText xml:space="preserve"> PAGEREF _Toc450886554 \h </w:instrText>
        </w:r>
        <w:r w:rsidR="003327AA">
          <w:rPr>
            <w:noProof/>
            <w:webHidden/>
          </w:rPr>
        </w:r>
        <w:r w:rsidR="003327AA">
          <w:rPr>
            <w:noProof/>
            <w:webHidden/>
          </w:rPr>
          <w:fldChar w:fldCharType="separate"/>
        </w:r>
        <w:r w:rsidR="0025732B">
          <w:rPr>
            <w:noProof/>
            <w:webHidden/>
          </w:rPr>
          <w:t>20</w:t>
        </w:r>
        <w:r w:rsidR="003327AA">
          <w:rPr>
            <w:noProof/>
            <w:webHidden/>
          </w:rPr>
          <w:fldChar w:fldCharType="end"/>
        </w:r>
      </w:hyperlink>
    </w:p>
    <w:p w14:paraId="395C6711" w14:textId="77777777" w:rsidR="003327AA" w:rsidRDefault="00FF0106" w:rsidP="003327AA">
      <w:pPr>
        <w:pStyle w:val="TOC3"/>
        <w:tabs>
          <w:tab w:val="right" w:leader="dot" w:pos="9628"/>
        </w:tabs>
        <w:spacing w:after="120"/>
        <w:rPr>
          <w:rFonts w:asciiTheme="minorHAnsi" w:eastAsiaTheme="minorEastAsia" w:hAnsiTheme="minorHAnsi" w:cstheme="minorBidi"/>
          <w:noProof/>
          <w:sz w:val="22"/>
          <w:szCs w:val="22"/>
          <w:lang w:eastAsia="en-GB"/>
        </w:rPr>
      </w:pPr>
      <w:hyperlink w:anchor="_Toc450886555" w:history="1">
        <w:r w:rsidR="003327AA" w:rsidRPr="005264F7">
          <w:rPr>
            <w:rStyle w:val="Hyperlink"/>
            <w:noProof/>
          </w:rPr>
          <w:t>Student satisfaction with teaching and learning</w:t>
        </w:r>
        <w:r w:rsidR="003327AA">
          <w:rPr>
            <w:noProof/>
            <w:webHidden/>
          </w:rPr>
          <w:tab/>
        </w:r>
        <w:r w:rsidR="003327AA">
          <w:rPr>
            <w:noProof/>
            <w:webHidden/>
          </w:rPr>
          <w:fldChar w:fldCharType="begin"/>
        </w:r>
        <w:r w:rsidR="003327AA">
          <w:rPr>
            <w:noProof/>
            <w:webHidden/>
          </w:rPr>
          <w:instrText xml:space="preserve"> PAGEREF _Toc450886555 \h </w:instrText>
        </w:r>
        <w:r w:rsidR="003327AA">
          <w:rPr>
            <w:noProof/>
            <w:webHidden/>
          </w:rPr>
        </w:r>
        <w:r w:rsidR="003327AA">
          <w:rPr>
            <w:noProof/>
            <w:webHidden/>
          </w:rPr>
          <w:fldChar w:fldCharType="separate"/>
        </w:r>
        <w:r w:rsidR="0025732B">
          <w:rPr>
            <w:noProof/>
            <w:webHidden/>
          </w:rPr>
          <w:t>21</w:t>
        </w:r>
        <w:r w:rsidR="003327AA">
          <w:rPr>
            <w:noProof/>
            <w:webHidden/>
          </w:rPr>
          <w:fldChar w:fldCharType="end"/>
        </w:r>
      </w:hyperlink>
    </w:p>
    <w:p w14:paraId="28EACE52" w14:textId="77777777" w:rsidR="003327AA" w:rsidRDefault="00FF0106" w:rsidP="003327AA">
      <w:pPr>
        <w:pStyle w:val="TOC3"/>
        <w:tabs>
          <w:tab w:val="right" w:leader="dot" w:pos="9628"/>
        </w:tabs>
        <w:spacing w:after="120"/>
        <w:rPr>
          <w:rFonts w:asciiTheme="minorHAnsi" w:eastAsiaTheme="minorEastAsia" w:hAnsiTheme="minorHAnsi" w:cstheme="minorBidi"/>
          <w:noProof/>
          <w:sz w:val="22"/>
          <w:szCs w:val="22"/>
          <w:lang w:eastAsia="en-GB"/>
        </w:rPr>
      </w:pPr>
      <w:hyperlink w:anchor="_Toc450886556" w:history="1">
        <w:r w:rsidR="003327AA" w:rsidRPr="005264F7">
          <w:rPr>
            <w:rStyle w:val="Hyperlink"/>
            <w:noProof/>
          </w:rPr>
          <w:t>Non-continuation</w:t>
        </w:r>
        <w:r w:rsidR="003327AA">
          <w:rPr>
            <w:noProof/>
            <w:webHidden/>
          </w:rPr>
          <w:tab/>
        </w:r>
        <w:r w:rsidR="003327AA">
          <w:rPr>
            <w:noProof/>
            <w:webHidden/>
          </w:rPr>
          <w:fldChar w:fldCharType="begin"/>
        </w:r>
        <w:r w:rsidR="003327AA">
          <w:rPr>
            <w:noProof/>
            <w:webHidden/>
          </w:rPr>
          <w:instrText xml:space="preserve"> PAGEREF _Toc450886556 \h </w:instrText>
        </w:r>
        <w:r w:rsidR="003327AA">
          <w:rPr>
            <w:noProof/>
            <w:webHidden/>
          </w:rPr>
        </w:r>
        <w:r w:rsidR="003327AA">
          <w:rPr>
            <w:noProof/>
            <w:webHidden/>
          </w:rPr>
          <w:fldChar w:fldCharType="separate"/>
        </w:r>
        <w:r w:rsidR="0025732B">
          <w:rPr>
            <w:noProof/>
            <w:webHidden/>
          </w:rPr>
          <w:t>21</w:t>
        </w:r>
        <w:r w:rsidR="003327AA">
          <w:rPr>
            <w:noProof/>
            <w:webHidden/>
          </w:rPr>
          <w:fldChar w:fldCharType="end"/>
        </w:r>
      </w:hyperlink>
    </w:p>
    <w:p w14:paraId="52F9DCC8" w14:textId="77777777" w:rsidR="003327AA" w:rsidRDefault="00FF0106" w:rsidP="003327AA">
      <w:pPr>
        <w:pStyle w:val="TOC3"/>
        <w:tabs>
          <w:tab w:val="right" w:leader="dot" w:pos="9628"/>
        </w:tabs>
        <w:spacing w:after="120"/>
        <w:rPr>
          <w:rFonts w:asciiTheme="minorHAnsi" w:eastAsiaTheme="minorEastAsia" w:hAnsiTheme="minorHAnsi" w:cstheme="minorBidi"/>
          <w:noProof/>
          <w:sz w:val="22"/>
          <w:szCs w:val="22"/>
          <w:lang w:eastAsia="en-GB"/>
        </w:rPr>
      </w:pPr>
      <w:hyperlink w:anchor="_Toc450886557" w:history="1">
        <w:r w:rsidR="003327AA" w:rsidRPr="005264F7">
          <w:rPr>
            <w:rStyle w:val="Hyperlink"/>
            <w:noProof/>
          </w:rPr>
          <w:t>Employment/destinations</w:t>
        </w:r>
        <w:r w:rsidR="003327AA">
          <w:rPr>
            <w:noProof/>
            <w:webHidden/>
          </w:rPr>
          <w:tab/>
        </w:r>
        <w:r w:rsidR="003327AA">
          <w:rPr>
            <w:noProof/>
            <w:webHidden/>
          </w:rPr>
          <w:fldChar w:fldCharType="begin"/>
        </w:r>
        <w:r w:rsidR="003327AA">
          <w:rPr>
            <w:noProof/>
            <w:webHidden/>
          </w:rPr>
          <w:instrText xml:space="preserve"> PAGEREF _Toc450886557 \h </w:instrText>
        </w:r>
        <w:r w:rsidR="003327AA">
          <w:rPr>
            <w:noProof/>
            <w:webHidden/>
          </w:rPr>
        </w:r>
        <w:r w:rsidR="003327AA">
          <w:rPr>
            <w:noProof/>
            <w:webHidden/>
          </w:rPr>
          <w:fldChar w:fldCharType="separate"/>
        </w:r>
        <w:r w:rsidR="0025732B">
          <w:rPr>
            <w:noProof/>
            <w:webHidden/>
          </w:rPr>
          <w:t>21</w:t>
        </w:r>
        <w:r w:rsidR="003327AA">
          <w:rPr>
            <w:noProof/>
            <w:webHidden/>
          </w:rPr>
          <w:fldChar w:fldCharType="end"/>
        </w:r>
      </w:hyperlink>
    </w:p>
    <w:p w14:paraId="5697B8F3" w14:textId="77777777" w:rsidR="003327AA" w:rsidRDefault="00FF0106" w:rsidP="003327AA">
      <w:pPr>
        <w:pStyle w:val="TOC3"/>
        <w:tabs>
          <w:tab w:val="right" w:leader="dot" w:pos="9628"/>
        </w:tabs>
        <w:spacing w:after="120"/>
        <w:rPr>
          <w:rFonts w:asciiTheme="minorHAnsi" w:eastAsiaTheme="minorEastAsia" w:hAnsiTheme="minorHAnsi" w:cstheme="minorBidi"/>
          <w:noProof/>
          <w:sz w:val="22"/>
          <w:szCs w:val="22"/>
          <w:lang w:eastAsia="en-GB"/>
        </w:rPr>
      </w:pPr>
      <w:hyperlink w:anchor="_Toc450886558" w:history="1">
        <w:r w:rsidR="003327AA" w:rsidRPr="005264F7">
          <w:rPr>
            <w:rStyle w:val="Hyperlink"/>
            <w:noProof/>
          </w:rPr>
          <w:t>Benchmarking</w:t>
        </w:r>
        <w:r w:rsidR="003327AA">
          <w:rPr>
            <w:noProof/>
            <w:webHidden/>
          </w:rPr>
          <w:tab/>
        </w:r>
        <w:r w:rsidR="003327AA">
          <w:rPr>
            <w:noProof/>
            <w:webHidden/>
          </w:rPr>
          <w:fldChar w:fldCharType="begin"/>
        </w:r>
        <w:r w:rsidR="003327AA">
          <w:rPr>
            <w:noProof/>
            <w:webHidden/>
          </w:rPr>
          <w:instrText xml:space="preserve"> PAGEREF _Toc450886558 \h </w:instrText>
        </w:r>
        <w:r w:rsidR="003327AA">
          <w:rPr>
            <w:noProof/>
            <w:webHidden/>
          </w:rPr>
        </w:r>
        <w:r w:rsidR="003327AA">
          <w:rPr>
            <w:noProof/>
            <w:webHidden/>
          </w:rPr>
          <w:fldChar w:fldCharType="separate"/>
        </w:r>
        <w:r w:rsidR="0025732B">
          <w:rPr>
            <w:noProof/>
            <w:webHidden/>
          </w:rPr>
          <w:t>23</w:t>
        </w:r>
        <w:r w:rsidR="003327AA">
          <w:rPr>
            <w:noProof/>
            <w:webHidden/>
          </w:rPr>
          <w:fldChar w:fldCharType="end"/>
        </w:r>
      </w:hyperlink>
    </w:p>
    <w:p w14:paraId="159F2962" w14:textId="77777777" w:rsidR="003327AA" w:rsidRDefault="00FF0106" w:rsidP="003327AA">
      <w:pPr>
        <w:pStyle w:val="TOC3"/>
        <w:tabs>
          <w:tab w:val="right" w:leader="dot" w:pos="9628"/>
        </w:tabs>
        <w:spacing w:after="120"/>
        <w:rPr>
          <w:rFonts w:asciiTheme="minorHAnsi" w:eastAsiaTheme="minorEastAsia" w:hAnsiTheme="minorHAnsi" w:cstheme="minorBidi"/>
          <w:noProof/>
          <w:sz w:val="22"/>
          <w:szCs w:val="22"/>
          <w:lang w:eastAsia="en-GB"/>
        </w:rPr>
      </w:pPr>
      <w:hyperlink w:anchor="_Toc450886559" w:history="1">
        <w:r w:rsidR="003327AA" w:rsidRPr="005264F7">
          <w:rPr>
            <w:rStyle w:val="Hyperlink"/>
            <w:noProof/>
          </w:rPr>
          <w:t>Significance flags</w:t>
        </w:r>
        <w:r w:rsidR="003327AA">
          <w:rPr>
            <w:noProof/>
            <w:webHidden/>
          </w:rPr>
          <w:tab/>
        </w:r>
        <w:r w:rsidR="003327AA">
          <w:rPr>
            <w:noProof/>
            <w:webHidden/>
          </w:rPr>
          <w:fldChar w:fldCharType="begin"/>
        </w:r>
        <w:r w:rsidR="003327AA">
          <w:rPr>
            <w:noProof/>
            <w:webHidden/>
          </w:rPr>
          <w:instrText xml:space="preserve"> PAGEREF _Toc450886559 \h </w:instrText>
        </w:r>
        <w:r w:rsidR="003327AA">
          <w:rPr>
            <w:noProof/>
            <w:webHidden/>
          </w:rPr>
        </w:r>
        <w:r w:rsidR="003327AA">
          <w:rPr>
            <w:noProof/>
            <w:webHidden/>
          </w:rPr>
          <w:fldChar w:fldCharType="separate"/>
        </w:r>
        <w:r w:rsidR="0025732B">
          <w:rPr>
            <w:noProof/>
            <w:webHidden/>
          </w:rPr>
          <w:t>24</w:t>
        </w:r>
        <w:r w:rsidR="003327AA">
          <w:rPr>
            <w:noProof/>
            <w:webHidden/>
          </w:rPr>
          <w:fldChar w:fldCharType="end"/>
        </w:r>
      </w:hyperlink>
    </w:p>
    <w:p w14:paraId="160345AF" w14:textId="77777777" w:rsidR="003327AA" w:rsidRDefault="00FF0106" w:rsidP="003327AA">
      <w:pPr>
        <w:pStyle w:val="TOC3"/>
        <w:tabs>
          <w:tab w:val="right" w:leader="dot" w:pos="9628"/>
        </w:tabs>
        <w:spacing w:after="120"/>
        <w:rPr>
          <w:rFonts w:asciiTheme="minorHAnsi" w:eastAsiaTheme="minorEastAsia" w:hAnsiTheme="minorHAnsi" w:cstheme="minorBidi"/>
          <w:noProof/>
          <w:sz w:val="22"/>
          <w:szCs w:val="22"/>
          <w:lang w:eastAsia="en-GB"/>
        </w:rPr>
      </w:pPr>
      <w:hyperlink w:anchor="_Toc450886560" w:history="1">
        <w:r w:rsidR="003327AA" w:rsidRPr="005264F7">
          <w:rPr>
            <w:rStyle w:val="Hyperlink"/>
            <w:noProof/>
          </w:rPr>
          <w:t>Coverage and timescales</w:t>
        </w:r>
        <w:r w:rsidR="003327AA">
          <w:rPr>
            <w:noProof/>
            <w:webHidden/>
          </w:rPr>
          <w:tab/>
        </w:r>
        <w:r w:rsidR="003327AA">
          <w:rPr>
            <w:noProof/>
            <w:webHidden/>
          </w:rPr>
          <w:fldChar w:fldCharType="begin"/>
        </w:r>
        <w:r w:rsidR="003327AA">
          <w:rPr>
            <w:noProof/>
            <w:webHidden/>
          </w:rPr>
          <w:instrText xml:space="preserve"> PAGEREF _Toc450886560 \h </w:instrText>
        </w:r>
        <w:r w:rsidR="003327AA">
          <w:rPr>
            <w:noProof/>
            <w:webHidden/>
          </w:rPr>
        </w:r>
        <w:r w:rsidR="003327AA">
          <w:rPr>
            <w:noProof/>
            <w:webHidden/>
          </w:rPr>
          <w:fldChar w:fldCharType="separate"/>
        </w:r>
        <w:r w:rsidR="0025732B">
          <w:rPr>
            <w:noProof/>
            <w:webHidden/>
          </w:rPr>
          <w:t>25</w:t>
        </w:r>
        <w:r w:rsidR="003327AA">
          <w:rPr>
            <w:noProof/>
            <w:webHidden/>
          </w:rPr>
          <w:fldChar w:fldCharType="end"/>
        </w:r>
      </w:hyperlink>
    </w:p>
    <w:p w14:paraId="1694FD14" w14:textId="77777777" w:rsidR="003327AA" w:rsidRDefault="00FF0106" w:rsidP="003327AA">
      <w:pPr>
        <w:pStyle w:val="TOC3"/>
        <w:tabs>
          <w:tab w:val="right" w:leader="dot" w:pos="9628"/>
        </w:tabs>
        <w:spacing w:after="120"/>
        <w:rPr>
          <w:rFonts w:asciiTheme="minorHAnsi" w:eastAsiaTheme="minorEastAsia" w:hAnsiTheme="minorHAnsi" w:cstheme="minorBidi"/>
          <w:noProof/>
          <w:sz w:val="22"/>
          <w:szCs w:val="22"/>
          <w:lang w:eastAsia="en-GB"/>
        </w:rPr>
      </w:pPr>
      <w:hyperlink w:anchor="_Toc450886561" w:history="1">
        <w:r w:rsidR="003327AA" w:rsidRPr="005264F7">
          <w:rPr>
            <w:rStyle w:val="Hyperlink"/>
            <w:noProof/>
          </w:rPr>
          <w:t>Taking account of the diversity of students</w:t>
        </w:r>
        <w:r w:rsidR="003327AA">
          <w:rPr>
            <w:noProof/>
            <w:webHidden/>
          </w:rPr>
          <w:tab/>
        </w:r>
        <w:r w:rsidR="003327AA">
          <w:rPr>
            <w:noProof/>
            <w:webHidden/>
          </w:rPr>
          <w:fldChar w:fldCharType="begin"/>
        </w:r>
        <w:r w:rsidR="003327AA">
          <w:rPr>
            <w:noProof/>
            <w:webHidden/>
          </w:rPr>
          <w:instrText xml:space="preserve"> PAGEREF _Toc450886561 \h </w:instrText>
        </w:r>
        <w:r w:rsidR="003327AA">
          <w:rPr>
            <w:noProof/>
            <w:webHidden/>
          </w:rPr>
        </w:r>
        <w:r w:rsidR="003327AA">
          <w:rPr>
            <w:noProof/>
            <w:webHidden/>
          </w:rPr>
          <w:fldChar w:fldCharType="separate"/>
        </w:r>
        <w:r w:rsidR="0025732B">
          <w:rPr>
            <w:noProof/>
            <w:webHidden/>
          </w:rPr>
          <w:t>26</w:t>
        </w:r>
        <w:r w:rsidR="003327AA">
          <w:rPr>
            <w:noProof/>
            <w:webHidden/>
          </w:rPr>
          <w:fldChar w:fldCharType="end"/>
        </w:r>
      </w:hyperlink>
    </w:p>
    <w:p w14:paraId="6CBDAC13" w14:textId="77777777" w:rsidR="003327AA" w:rsidRDefault="00FF0106" w:rsidP="003327AA">
      <w:pPr>
        <w:pStyle w:val="TOC3"/>
        <w:tabs>
          <w:tab w:val="right" w:leader="dot" w:pos="9628"/>
        </w:tabs>
        <w:spacing w:after="120"/>
        <w:rPr>
          <w:rFonts w:asciiTheme="minorHAnsi" w:eastAsiaTheme="minorEastAsia" w:hAnsiTheme="minorHAnsi" w:cstheme="minorBidi"/>
          <w:noProof/>
          <w:sz w:val="22"/>
          <w:szCs w:val="22"/>
          <w:lang w:eastAsia="en-GB"/>
        </w:rPr>
      </w:pPr>
      <w:hyperlink w:anchor="_Toc450886562" w:history="1">
        <w:r w:rsidR="003327AA" w:rsidRPr="005264F7">
          <w:rPr>
            <w:rStyle w:val="Hyperlink"/>
            <w:noProof/>
          </w:rPr>
          <w:t>Generating and reporting the metrics</w:t>
        </w:r>
        <w:r w:rsidR="003327AA">
          <w:rPr>
            <w:noProof/>
            <w:webHidden/>
          </w:rPr>
          <w:tab/>
        </w:r>
        <w:r w:rsidR="003327AA">
          <w:rPr>
            <w:noProof/>
            <w:webHidden/>
          </w:rPr>
          <w:fldChar w:fldCharType="begin"/>
        </w:r>
        <w:r w:rsidR="003327AA">
          <w:rPr>
            <w:noProof/>
            <w:webHidden/>
          </w:rPr>
          <w:instrText xml:space="preserve"> PAGEREF _Toc450886562 \h </w:instrText>
        </w:r>
        <w:r w:rsidR="003327AA">
          <w:rPr>
            <w:noProof/>
            <w:webHidden/>
          </w:rPr>
        </w:r>
        <w:r w:rsidR="003327AA">
          <w:rPr>
            <w:noProof/>
            <w:webHidden/>
          </w:rPr>
          <w:fldChar w:fldCharType="separate"/>
        </w:r>
        <w:r w:rsidR="0025732B">
          <w:rPr>
            <w:noProof/>
            <w:webHidden/>
          </w:rPr>
          <w:t>26</w:t>
        </w:r>
        <w:r w:rsidR="003327AA">
          <w:rPr>
            <w:noProof/>
            <w:webHidden/>
          </w:rPr>
          <w:fldChar w:fldCharType="end"/>
        </w:r>
      </w:hyperlink>
    </w:p>
    <w:p w14:paraId="437F3D81" w14:textId="77777777" w:rsidR="003327AA" w:rsidRDefault="00FF0106" w:rsidP="003327AA">
      <w:pPr>
        <w:pStyle w:val="TOC3"/>
        <w:tabs>
          <w:tab w:val="right" w:leader="dot" w:pos="9628"/>
        </w:tabs>
        <w:spacing w:after="120"/>
        <w:rPr>
          <w:rFonts w:asciiTheme="minorHAnsi" w:eastAsiaTheme="minorEastAsia" w:hAnsiTheme="minorHAnsi" w:cstheme="minorBidi"/>
          <w:noProof/>
          <w:sz w:val="22"/>
          <w:szCs w:val="22"/>
          <w:lang w:eastAsia="en-GB"/>
        </w:rPr>
      </w:pPr>
      <w:hyperlink w:anchor="_Toc450886563" w:history="1">
        <w:r w:rsidR="003327AA" w:rsidRPr="005264F7">
          <w:rPr>
            <w:rStyle w:val="Hyperlink"/>
            <w:noProof/>
          </w:rPr>
          <w:t>Contextual information to support TEF assessments</w:t>
        </w:r>
        <w:r w:rsidR="003327AA">
          <w:rPr>
            <w:noProof/>
            <w:webHidden/>
          </w:rPr>
          <w:tab/>
        </w:r>
        <w:r w:rsidR="003327AA">
          <w:rPr>
            <w:noProof/>
            <w:webHidden/>
          </w:rPr>
          <w:fldChar w:fldCharType="begin"/>
        </w:r>
        <w:r w:rsidR="003327AA">
          <w:rPr>
            <w:noProof/>
            <w:webHidden/>
          </w:rPr>
          <w:instrText xml:space="preserve"> PAGEREF _Toc450886563 \h </w:instrText>
        </w:r>
        <w:r w:rsidR="003327AA">
          <w:rPr>
            <w:noProof/>
            <w:webHidden/>
          </w:rPr>
        </w:r>
        <w:r w:rsidR="003327AA">
          <w:rPr>
            <w:noProof/>
            <w:webHidden/>
          </w:rPr>
          <w:fldChar w:fldCharType="separate"/>
        </w:r>
        <w:r w:rsidR="0025732B">
          <w:rPr>
            <w:noProof/>
            <w:webHidden/>
          </w:rPr>
          <w:t>27</w:t>
        </w:r>
        <w:r w:rsidR="003327AA">
          <w:rPr>
            <w:noProof/>
            <w:webHidden/>
          </w:rPr>
          <w:fldChar w:fldCharType="end"/>
        </w:r>
      </w:hyperlink>
    </w:p>
    <w:p w14:paraId="03674739" w14:textId="77777777" w:rsidR="003327AA" w:rsidRDefault="00FF0106" w:rsidP="003327AA">
      <w:pPr>
        <w:pStyle w:val="TOC2"/>
        <w:spacing w:after="120"/>
        <w:rPr>
          <w:rFonts w:asciiTheme="minorHAnsi" w:eastAsiaTheme="minorEastAsia" w:hAnsiTheme="minorHAnsi" w:cstheme="minorBidi"/>
          <w:color w:val="auto"/>
          <w:szCs w:val="22"/>
          <w:lang w:eastAsia="en-GB"/>
        </w:rPr>
      </w:pPr>
      <w:hyperlink w:anchor="_Toc450886564" w:history="1">
        <w:r w:rsidR="003327AA" w:rsidRPr="005264F7">
          <w:rPr>
            <w:rStyle w:val="Hyperlink"/>
          </w:rPr>
          <w:t>3b. Evidence – Provider submission</w:t>
        </w:r>
        <w:r w:rsidR="003327AA">
          <w:rPr>
            <w:webHidden/>
          </w:rPr>
          <w:tab/>
        </w:r>
        <w:r w:rsidR="003327AA">
          <w:rPr>
            <w:webHidden/>
          </w:rPr>
          <w:fldChar w:fldCharType="begin"/>
        </w:r>
        <w:r w:rsidR="003327AA">
          <w:rPr>
            <w:webHidden/>
          </w:rPr>
          <w:instrText xml:space="preserve"> PAGEREF _Toc450886564 \h </w:instrText>
        </w:r>
        <w:r w:rsidR="003327AA">
          <w:rPr>
            <w:webHidden/>
          </w:rPr>
        </w:r>
        <w:r w:rsidR="003327AA">
          <w:rPr>
            <w:webHidden/>
          </w:rPr>
          <w:fldChar w:fldCharType="separate"/>
        </w:r>
        <w:r w:rsidR="0025732B">
          <w:rPr>
            <w:webHidden/>
          </w:rPr>
          <w:t>28</w:t>
        </w:r>
        <w:r w:rsidR="003327AA">
          <w:rPr>
            <w:webHidden/>
          </w:rPr>
          <w:fldChar w:fldCharType="end"/>
        </w:r>
      </w:hyperlink>
    </w:p>
    <w:p w14:paraId="2C240284" w14:textId="77777777" w:rsidR="003327AA" w:rsidRDefault="00FF0106" w:rsidP="003327AA">
      <w:pPr>
        <w:pStyle w:val="TOC3"/>
        <w:tabs>
          <w:tab w:val="right" w:leader="dot" w:pos="9628"/>
        </w:tabs>
        <w:spacing w:after="120"/>
        <w:rPr>
          <w:rFonts w:asciiTheme="minorHAnsi" w:eastAsiaTheme="minorEastAsia" w:hAnsiTheme="minorHAnsi" w:cstheme="minorBidi"/>
          <w:noProof/>
          <w:sz w:val="22"/>
          <w:szCs w:val="22"/>
          <w:lang w:eastAsia="en-GB"/>
        </w:rPr>
      </w:pPr>
      <w:hyperlink w:anchor="_Toc450886565" w:history="1">
        <w:r w:rsidR="003327AA" w:rsidRPr="005264F7">
          <w:rPr>
            <w:rStyle w:val="Hyperlink"/>
            <w:noProof/>
          </w:rPr>
          <w:t>Purpose and nature of the provider submission</w:t>
        </w:r>
        <w:r w:rsidR="003327AA">
          <w:rPr>
            <w:noProof/>
            <w:webHidden/>
          </w:rPr>
          <w:tab/>
        </w:r>
        <w:r w:rsidR="003327AA">
          <w:rPr>
            <w:noProof/>
            <w:webHidden/>
          </w:rPr>
          <w:fldChar w:fldCharType="begin"/>
        </w:r>
        <w:r w:rsidR="003327AA">
          <w:rPr>
            <w:noProof/>
            <w:webHidden/>
          </w:rPr>
          <w:instrText xml:space="preserve"> PAGEREF _Toc450886565 \h </w:instrText>
        </w:r>
        <w:r w:rsidR="003327AA">
          <w:rPr>
            <w:noProof/>
            <w:webHidden/>
          </w:rPr>
        </w:r>
        <w:r w:rsidR="003327AA">
          <w:rPr>
            <w:noProof/>
            <w:webHidden/>
          </w:rPr>
          <w:fldChar w:fldCharType="separate"/>
        </w:r>
        <w:r w:rsidR="0025732B">
          <w:rPr>
            <w:noProof/>
            <w:webHidden/>
          </w:rPr>
          <w:t>28</w:t>
        </w:r>
        <w:r w:rsidR="003327AA">
          <w:rPr>
            <w:noProof/>
            <w:webHidden/>
          </w:rPr>
          <w:fldChar w:fldCharType="end"/>
        </w:r>
      </w:hyperlink>
    </w:p>
    <w:p w14:paraId="7C814D41" w14:textId="77777777" w:rsidR="003327AA" w:rsidRDefault="00FF0106" w:rsidP="003327AA">
      <w:pPr>
        <w:pStyle w:val="TOC3"/>
        <w:tabs>
          <w:tab w:val="right" w:leader="dot" w:pos="9628"/>
        </w:tabs>
        <w:spacing w:after="120"/>
        <w:rPr>
          <w:rFonts w:asciiTheme="minorHAnsi" w:eastAsiaTheme="minorEastAsia" w:hAnsiTheme="minorHAnsi" w:cstheme="minorBidi"/>
          <w:noProof/>
          <w:sz w:val="22"/>
          <w:szCs w:val="22"/>
          <w:lang w:eastAsia="en-GB"/>
        </w:rPr>
      </w:pPr>
      <w:hyperlink w:anchor="_Toc450886566" w:history="1">
        <w:r w:rsidR="003327AA" w:rsidRPr="005264F7">
          <w:rPr>
            <w:rStyle w:val="Hyperlink"/>
            <w:noProof/>
          </w:rPr>
          <w:t>Size of the submission</w:t>
        </w:r>
        <w:r w:rsidR="003327AA">
          <w:rPr>
            <w:noProof/>
            <w:webHidden/>
          </w:rPr>
          <w:tab/>
        </w:r>
        <w:r w:rsidR="003327AA">
          <w:rPr>
            <w:noProof/>
            <w:webHidden/>
          </w:rPr>
          <w:fldChar w:fldCharType="begin"/>
        </w:r>
        <w:r w:rsidR="003327AA">
          <w:rPr>
            <w:noProof/>
            <w:webHidden/>
          </w:rPr>
          <w:instrText xml:space="preserve"> PAGEREF _Toc450886566 \h </w:instrText>
        </w:r>
        <w:r w:rsidR="003327AA">
          <w:rPr>
            <w:noProof/>
            <w:webHidden/>
          </w:rPr>
        </w:r>
        <w:r w:rsidR="003327AA">
          <w:rPr>
            <w:noProof/>
            <w:webHidden/>
          </w:rPr>
          <w:fldChar w:fldCharType="separate"/>
        </w:r>
        <w:r w:rsidR="0025732B">
          <w:rPr>
            <w:noProof/>
            <w:webHidden/>
          </w:rPr>
          <w:t>29</w:t>
        </w:r>
        <w:r w:rsidR="003327AA">
          <w:rPr>
            <w:noProof/>
            <w:webHidden/>
          </w:rPr>
          <w:fldChar w:fldCharType="end"/>
        </w:r>
      </w:hyperlink>
    </w:p>
    <w:p w14:paraId="077DA583" w14:textId="77777777" w:rsidR="003327AA" w:rsidRDefault="00FF0106" w:rsidP="003327AA">
      <w:pPr>
        <w:pStyle w:val="TOC3"/>
        <w:tabs>
          <w:tab w:val="right" w:leader="dot" w:pos="9628"/>
        </w:tabs>
        <w:spacing w:after="120"/>
        <w:rPr>
          <w:rFonts w:asciiTheme="minorHAnsi" w:eastAsiaTheme="minorEastAsia" w:hAnsiTheme="minorHAnsi" w:cstheme="minorBidi"/>
          <w:noProof/>
          <w:sz w:val="22"/>
          <w:szCs w:val="22"/>
          <w:lang w:eastAsia="en-GB"/>
        </w:rPr>
      </w:pPr>
      <w:hyperlink w:anchor="_Toc450886567" w:history="1">
        <w:r w:rsidR="003327AA" w:rsidRPr="005264F7">
          <w:rPr>
            <w:rStyle w:val="Hyperlink"/>
            <w:noProof/>
          </w:rPr>
          <w:t>Types of additional evidence</w:t>
        </w:r>
        <w:r w:rsidR="003327AA">
          <w:rPr>
            <w:noProof/>
            <w:webHidden/>
          </w:rPr>
          <w:tab/>
        </w:r>
        <w:r w:rsidR="003327AA">
          <w:rPr>
            <w:noProof/>
            <w:webHidden/>
          </w:rPr>
          <w:fldChar w:fldCharType="begin"/>
        </w:r>
        <w:r w:rsidR="003327AA">
          <w:rPr>
            <w:noProof/>
            <w:webHidden/>
          </w:rPr>
          <w:instrText xml:space="preserve"> PAGEREF _Toc450886567 \h </w:instrText>
        </w:r>
        <w:r w:rsidR="003327AA">
          <w:rPr>
            <w:noProof/>
            <w:webHidden/>
          </w:rPr>
        </w:r>
        <w:r w:rsidR="003327AA">
          <w:rPr>
            <w:noProof/>
            <w:webHidden/>
          </w:rPr>
          <w:fldChar w:fldCharType="separate"/>
        </w:r>
        <w:r w:rsidR="0025732B">
          <w:rPr>
            <w:noProof/>
            <w:webHidden/>
          </w:rPr>
          <w:t>29</w:t>
        </w:r>
        <w:r w:rsidR="003327AA">
          <w:rPr>
            <w:noProof/>
            <w:webHidden/>
          </w:rPr>
          <w:fldChar w:fldCharType="end"/>
        </w:r>
      </w:hyperlink>
    </w:p>
    <w:p w14:paraId="7A433F78" w14:textId="77777777" w:rsidR="003327AA" w:rsidRDefault="00FF0106" w:rsidP="003327AA">
      <w:pPr>
        <w:pStyle w:val="TOC3"/>
        <w:tabs>
          <w:tab w:val="right" w:leader="dot" w:pos="9628"/>
        </w:tabs>
        <w:spacing w:after="120"/>
        <w:rPr>
          <w:rStyle w:val="Hyperlink"/>
          <w:noProof/>
        </w:rPr>
      </w:pPr>
      <w:hyperlink w:anchor="_Toc450886568" w:history="1">
        <w:r w:rsidR="003327AA" w:rsidRPr="005264F7">
          <w:rPr>
            <w:rStyle w:val="Hyperlink"/>
            <w:noProof/>
          </w:rPr>
          <w:t>The student voice</w:t>
        </w:r>
        <w:r w:rsidR="003327AA">
          <w:rPr>
            <w:noProof/>
            <w:webHidden/>
          </w:rPr>
          <w:tab/>
        </w:r>
        <w:r w:rsidR="003327AA">
          <w:rPr>
            <w:noProof/>
            <w:webHidden/>
          </w:rPr>
          <w:fldChar w:fldCharType="begin"/>
        </w:r>
        <w:r w:rsidR="003327AA">
          <w:rPr>
            <w:noProof/>
            <w:webHidden/>
          </w:rPr>
          <w:instrText xml:space="preserve"> PAGEREF _Toc450886568 \h </w:instrText>
        </w:r>
        <w:r w:rsidR="003327AA">
          <w:rPr>
            <w:noProof/>
            <w:webHidden/>
          </w:rPr>
        </w:r>
        <w:r w:rsidR="003327AA">
          <w:rPr>
            <w:noProof/>
            <w:webHidden/>
          </w:rPr>
          <w:fldChar w:fldCharType="separate"/>
        </w:r>
        <w:r w:rsidR="0025732B">
          <w:rPr>
            <w:noProof/>
            <w:webHidden/>
          </w:rPr>
          <w:t>31</w:t>
        </w:r>
        <w:r w:rsidR="003327AA">
          <w:rPr>
            <w:noProof/>
            <w:webHidden/>
          </w:rPr>
          <w:fldChar w:fldCharType="end"/>
        </w:r>
      </w:hyperlink>
    </w:p>
    <w:p w14:paraId="153E63CB" w14:textId="77777777" w:rsidR="003327AA" w:rsidRPr="003327AA" w:rsidRDefault="003327AA" w:rsidP="003327AA">
      <w:pPr>
        <w:rPr>
          <w:rFonts w:eastAsiaTheme="minorEastAsia"/>
          <w:noProof/>
        </w:rPr>
      </w:pPr>
    </w:p>
    <w:p w14:paraId="00E6D73C" w14:textId="0ACE1F91" w:rsidR="003327AA" w:rsidRDefault="0025732B" w:rsidP="003327AA">
      <w:pPr>
        <w:pStyle w:val="TOC2"/>
        <w:spacing w:after="120"/>
        <w:rPr>
          <w:rFonts w:asciiTheme="minorHAnsi" w:eastAsiaTheme="minorEastAsia" w:hAnsiTheme="minorHAnsi" w:cstheme="minorBidi"/>
          <w:color w:val="auto"/>
          <w:szCs w:val="22"/>
          <w:lang w:eastAsia="en-GB"/>
        </w:rPr>
      </w:pPr>
      <w:r>
        <w:lastRenderedPageBreak/>
        <w:t xml:space="preserve">4. </w:t>
      </w:r>
      <w:hyperlink w:anchor="_Toc450886569" w:history="1">
        <w:r w:rsidR="003327AA" w:rsidRPr="005264F7">
          <w:rPr>
            <w:rStyle w:val="Hyperlink"/>
          </w:rPr>
          <w:t>Assessment – The Assessment Process</w:t>
        </w:r>
        <w:r w:rsidR="003327AA">
          <w:rPr>
            <w:webHidden/>
          </w:rPr>
          <w:tab/>
        </w:r>
        <w:r w:rsidR="003327AA">
          <w:rPr>
            <w:webHidden/>
          </w:rPr>
          <w:fldChar w:fldCharType="begin"/>
        </w:r>
        <w:r w:rsidR="003327AA">
          <w:rPr>
            <w:webHidden/>
          </w:rPr>
          <w:instrText xml:space="preserve"> PAGEREF _Toc450886569 \h </w:instrText>
        </w:r>
        <w:r w:rsidR="003327AA">
          <w:rPr>
            <w:webHidden/>
          </w:rPr>
        </w:r>
        <w:r w:rsidR="003327AA">
          <w:rPr>
            <w:webHidden/>
          </w:rPr>
          <w:fldChar w:fldCharType="separate"/>
        </w:r>
        <w:r>
          <w:rPr>
            <w:webHidden/>
          </w:rPr>
          <w:t>32</w:t>
        </w:r>
        <w:r w:rsidR="003327AA">
          <w:rPr>
            <w:webHidden/>
          </w:rPr>
          <w:fldChar w:fldCharType="end"/>
        </w:r>
      </w:hyperlink>
    </w:p>
    <w:p w14:paraId="32DBB6FE" w14:textId="77777777" w:rsidR="003327AA" w:rsidRDefault="00FF0106" w:rsidP="003327AA">
      <w:pPr>
        <w:pStyle w:val="TOC3"/>
        <w:tabs>
          <w:tab w:val="right" w:leader="dot" w:pos="9628"/>
        </w:tabs>
        <w:spacing w:after="120"/>
        <w:rPr>
          <w:rFonts w:asciiTheme="minorHAnsi" w:eastAsiaTheme="minorEastAsia" w:hAnsiTheme="minorHAnsi" w:cstheme="minorBidi"/>
          <w:noProof/>
          <w:sz w:val="22"/>
          <w:szCs w:val="22"/>
          <w:lang w:eastAsia="en-GB"/>
        </w:rPr>
      </w:pPr>
      <w:hyperlink w:anchor="_Toc450886570" w:history="1">
        <w:r w:rsidR="003327AA" w:rsidRPr="005264F7">
          <w:rPr>
            <w:rStyle w:val="Hyperlink"/>
            <w:noProof/>
          </w:rPr>
          <w:t>Decision making against the framework</w:t>
        </w:r>
        <w:r w:rsidR="003327AA">
          <w:rPr>
            <w:noProof/>
            <w:webHidden/>
          </w:rPr>
          <w:tab/>
        </w:r>
        <w:r w:rsidR="003327AA">
          <w:rPr>
            <w:noProof/>
            <w:webHidden/>
          </w:rPr>
          <w:fldChar w:fldCharType="begin"/>
        </w:r>
        <w:r w:rsidR="003327AA">
          <w:rPr>
            <w:noProof/>
            <w:webHidden/>
          </w:rPr>
          <w:instrText xml:space="preserve"> PAGEREF _Toc450886570 \h </w:instrText>
        </w:r>
        <w:r w:rsidR="003327AA">
          <w:rPr>
            <w:noProof/>
            <w:webHidden/>
          </w:rPr>
        </w:r>
        <w:r w:rsidR="003327AA">
          <w:rPr>
            <w:noProof/>
            <w:webHidden/>
          </w:rPr>
          <w:fldChar w:fldCharType="separate"/>
        </w:r>
        <w:r w:rsidR="0025732B">
          <w:rPr>
            <w:noProof/>
            <w:webHidden/>
          </w:rPr>
          <w:t>32</w:t>
        </w:r>
        <w:r w:rsidR="003327AA">
          <w:rPr>
            <w:noProof/>
            <w:webHidden/>
          </w:rPr>
          <w:fldChar w:fldCharType="end"/>
        </w:r>
      </w:hyperlink>
    </w:p>
    <w:p w14:paraId="32080FD5" w14:textId="77777777" w:rsidR="003327AA" w:rsidRDefault="00FF0106" w:rsidP="003327AA">
      <w:pPr>
        <w:pStyle w:val="TOC3"/>
        <w:tabs>
          <w:tab w:val="right" w:leader="dot" w:pos="9628"/>
        </w:tabs>
        <w:spacing w:after="120"/>
        <w:rPr>
          <w:rFonts w:asciiTheme="minorHAnsi" w:eastAsiaTheme="minorEastAsia" w:hAnsiTheme="minorHAnsi" w:cstheme="minorBidi"/>
          <w:noProof/>
          <w:sz w:val="22"/>
          <w:szCs w:val="22"/>
          <w:lang w:eastAsia="en-GB"/>
        </w:rPr>
      </w:pPr>
      <w:hyperlink w:anchor="_Toc450886571" w:history="1">
        <w:r w:rsidR="003327AA" w:rsidRPr="005264F7">
          <w:rPr>
            <w:rStyle w:val="Hyperlink"/>
            <w:noProof/>
          </w:rPr>
          <w:t>Commendations</w:t>
        </w:r>
        <w:r w:rsidR="003327AA">
          <w:rPr>
            <w:noProof/>
            <w:webHidden/>
          </w:rPr>
          <w:tab/>
        </w:r>
        <w:r w:rsidR="003327AA">
          <w:rPr>
            <w:noProof/>
            <w:webHidden/>
          </w:rPr>
          <w:fldChar w:fldCharType="begin"/>
        </w:r>
        <w:r w:rsidR="003327AA">
          <w:rPr>
            <w:noProof/>
            <w:webHidden/>
          </w:rPr>
          <w:instrText xml:space="preserve"> PAGEREF _Toc450886571 \h </w:instrText>
        </w:r>
        <w:r w:rsidR="003327AA">
          <w:rPr>
            <w:noProof/>
            <w:webHidden/>
          </w:rPr>
        </w:r>
        <w:r w:rsidR="003327AA">
          <w:rPr>
            <w:noProof/>
            <w:webHidden/>
          </w:rPr>
          <w:fldChar w:fldCharType="separate"/>
        </w:r>
        <w:r w:rsidR="0025732B">
          <w:rPr>
            <w:noProof/>
            <w:webHidden/>
          </w:rPr>
          <w:t>33</w:t>
        </w:r>
        <w:r w:rsidR="003327AA">
          <w:rPr>
            <w:noProof/>
            <w:webHidden/>
          </w:rPr>
          <w:fldChar w:fldCharType="end"/>
        </w:r>
      </w:hyperlink>
    </w:p>
    <w:p w14:paraId="7A543062" w14:textId="77777777" w:rsidR="003327AA" w:rsidRDefault="00FF0106" w:rsidP="003327AA">
      <w:pPr>
        <w:pStyle w:val="TOC3"/>
        <w:tabs>
          <w:tab w:val="right" w:leader="dot" w:pos="9628"/>
        </w:tabs>
        <w:spacing w:after="120"/>
        <w:rPr>
          <w:rFonts w:asciiTheme="minorHAnsi" w:eastAsiaTheme="minorEastAsia" w:hAnsiTheme="minorHAnsi" w:cstheme="minorBidi"/>
          <w:noProof/>
          <w:sz w:val="22"/>
          <w:szCs w:val="22"/>
          <w:lang w:eastAsia="en-GB"/>
        </w:rPr>
      </w:pPr>
      <w:hyperlink w:anchor="_Toc450886572" w:history="1">
        <w:r w:rsidR="003327AA" w:rsidRPr="005264F7">
          <w:rPr>
            <w:rStyle w:val="Hyperlink"/>
            <w:noProof/>
          </w:rPr>
          <w:t>The TEF Panel</w:t>
        </w:r>
        <w:r w:rsidR="003327AA">
          <w:rPr>
            <w:noProof/>
            <w:webHidden/>
          </w:rPr>
          <w:tab/>
        </w:r>
        <w:r w:rsidR="003327AA">
          <w:rPr>
            <w:noProof/>
            <w:webHidden/>
          </w:rPr>
          <w:fldChar w:fldCharType="begin"/>
        </w:r>
        <w:r w:rsidR="003327AA">
          <w:rPr>
            <w:noProof/>
            <w:webHidden/>
          </w:rPr>
          <w:instrText xml:space="preserve"> PAGEREF _Toc450886572 \h </w:instrText>
        </w:r>
        <w:r w:rsidR="003327AA">
          <w:rPr>
            <w:noProof/>
            <w:webHidden/>
          </w:rPr>
        </w:r>
        <w:r w:rsidR="003327AA">
          <w:rPr>
            <w:noProof/>
            <w:webHidden/>
          </w:rPr>
          <w:fldChar w:fldCharType="separate"/>
        </w:r>
        <w:r w:rsidR="0025732B">
          <w:rPr>
            <w:noProof/>
            <w:webHidden/>
          </w:rPr>
          <w:t>34</w:t>
        </w:r>
        <w:r w:rsidR="003327AA">
          <w:rPr>
            <w:noProof/>
            <w:webHidden/>
          </w:rPr>
          <w:fldChar w:fldCharType="end"/>
        </w:r>
      </w:hyperlink>
    </w:p>
    <w:p w14:paraId="0AD12B89" w14:textId="77777777" w:rsidR="003327AA" w:rsidRDefault="00FF0106" w:rsidP="003327AA">
      <w:pPr>
        <w:pStyle w:val="TOC3"/>
        <w:tabs>
          <w:tab w:val="right" w:leader="dot" w:pos="9628"/>
        </w:tabs>
        <w:spacing w:after="120"/>
        <w:rPr>
          <w:rFonts w:asciiTheme="minorHAnsi" w:eastAsiaTheme="minorEastAsia" w:hAnsiTheme="minorHAnsi" w:cstheme="minorBidi"/>
          <w:noProof/>
          <w:sz w:val="22"/>
          <w:szCs w:val="22"/>
          <w:lang w:eastAsia="en-GB"/>
        </w:rPr>
      </w:pPr>
      <w:hyperlink w:anchor="_Toc450886573" w:history="1">
        <w:r w:rsidR="003327AA" w:rsidRPr="005264F7">
          <w:rPr>
            <w:rStyle w:val="Hyperlink"/>
            <w:noProof/>
          </w:rPr>
          <w:t>The assessment process</w:t>
        </w:r>
        <w:r w:rsidR="003327AA">
          <w:rPr>
            <w:noProof/>
            <w:webHidden/>
          </w:rPr>
          <w:tab/>
        </w:r>
        <w:r w:rsidR="003327AA">
          <w:rPr>
            <w:noProof/>
            <w:webHidden/>
          </w:rPr>
          <w:fldChar w:fldCharType="begin"/>
        </w:r>
        <w:r w:rsidR="003327AA">
          <w:rPr>
            <w:noProof/>
            <w:webHidden/>
          </w:rPr>
          <w:instrText xml:space="preserve"> PAGEREF _Toc450886573 \h </w:instrText>
        </w:r>
        <w:r w:rsidR="003327AA">
          <w:rPr>
            <w:noProof/>
            <w:webHidden/>
          </w:rPr>
        </w:r>
        <w:r w:rsidR="003327AA">
          <w:rPr>
            <w:noProof/>
            <w:webHidden/>
          </w:rPr>
          <w:fldChar w:fldCharType="separate"/>
        </w:r>
        <w:r w:rsidR="0025732B">
          <w:rPr>
            <w:noProof/>
            <w:webHidden/>
          </w:rPr>
          <w:t>34</w:t>
        </w:r>
        <w:r w:rsidR="003327AA">
          <w:rPr>
            <w:noProof/>
            <w:webHidden/>
          </w:rPr>
          <w:fldChar w:fldCharType="end"/>
        </w:r>
      </w:hyperlink>
    </w:p>
    <w:p w14:paraId="157FCF4F" w14:textId="77777777" w:rsidR="003327AA" w:rsidRDefault="00FF0106" w:rsidP="003327AA">
      <w:pPr>
        <w:pStyle w:val="TOC3"/>
        <w:tabs>
          <w:tab w:val="right" w:leader="dot" w:pos="9628"/>
        </w:tabs>
        <w:spacing w:after="120"/>
        <w:rPr>
          <w:rFonts w:asciiTheme="minorHAnsi" w:eastAsiaTheme="minorEastAsia" w:hAnsiTheme="minorHAnsi" w:cstheme="minorBidi"/>
          <w:noProof/>
          <w:sz w:val="22"/>
          <w:szCs w:val="22"/>
          <w:lang w:eastAsia="en-GB"/>
        </w:rPr>
      </w:pPr>
      <w:hyperlink w:anchor="_Toc450886574" w:history="1">
        <w:r w:rsidR="003327AA" w:rsidRPr="005264F7">
          <w:rPr>
            <w:rStyle w:val="Hyperlink"/>
            <w:noProof/>
          </w:rPr>
          <w:t>Consistency and fairness</w:t>
        </w:r>
        <w:r w:rsidR="003327AA">
          <w:rPr>
            <w:noProof/>
            <w:webHidden/>
          </w:rPr>
          <w:tab/>
        </w:r>
        <w:r w:rsidR="003327AA">
          <w:rPr>
            <w:noProof/>
            <w:webHidden/>
          </w:rPr>
          <w:fldChar w:fldCharType="begin"/>
        </w:r>
        <w:r w:rsidR="003327AA">
          <w:rPr>
            <w:noProof/>
            <w:webHidden/>
          </w:rPr>
          <w:instrText xml:space="preserve"> PAGEREF _Toc450886574 \h </w:instrText>
        </w:r>
        <w:r w:rsidR="003327AA">
          <w:rPr>
            <w:noProof/>
            <w:webHidden/>
          </w:rPr>
        </w:r>
        <w:r w:rsidR="003327AA">
          <w:rPr>
            <w:noProof/>
            <w:webHidden/>
          </w:rPr>
          <w:fldChar w:fldCharType="separate"/>
        </w:r>
        <w:r w:rsidR="0025732B">
          <w:rPr>
            <w:noProof/>
            <w:webHidden/>
          </w:rPr>
          <w:t>35</w:t>
        </w:r>
        <w:r w:rsidR="003327AA">
          <w:rPr>
            <w:noProof/>
            <w:webHidden/>
          </w:rPr>
          <w:fldChar w:fldCharType="end"/>
        </w:r>
      </w:hyperlink>
    </w:p>
    <w:p w14:paraId="6340C770" w14:textId="77777777" w:rsidR="003327AA" w:rsidRDefault="00FF0106" w:rsidP="003327AA">
      <w:pPr>
        <w:pStyle w:val="TOC3"/>
        <w:tabs>
          <w:tab w:val="right" w:leader="dot" w:pos="9628"/>
        </w:tabs>
        <w:spacing w:after="120"/>
        <w:rPr>
          <w:rFonts w:asciiTheme="minorHAnsi" w:eastAsiaTheme="minorEastAsia" w:hAnsiTheme="minorHAnsi" w:cstheme="minorBidi"/>
          <w:noProof/>
          <w:sz w:val="22"/>
          <w:szCs w:val="22"/>
          <w:lang w:eastAsia="en-GB"/>
        </w:rPr>
      </w:pPr>
      <w:hyperlink w:anchor="_Toc450886575" w:history="1">
        <w:r w:rsidR="003327AA" w:rsidRPr="005264F7">
          <w:rPr>
            <w:rStyle w:val="Hyperlink"/>
            <w:noProof/>
          </w:rPr>
          <w:t>Assessment outcomes</w:t>
        </w:r>
        <w:r w:rsidR="003327AA">
          <w:rPr>
            <w:noProof/>
            <w:webHidden/>
          </w:rPr>
          <w:tab/>
        </w:r>
        <w:r w:rsidR="003327AA">
          <w:rPr>
            <w:noProof/>
            <w:webHidden/>
          </w:rPr>
          <w:fldChar w:fldCharType="begin"/>
        </w:r>
        <w:r w:rsidR="003327AA">
          <w:rPr>
            <w:noProof/>
            <w:webHidden/>
          </w:rPr>
          <w:instrText xml:space="preserve"> PAGEREF _Toc450886575 \h </w:instrText>
        </w:r>
        <w:r w:rsidR="003327AA">
          <w:rPr>
            <w:noProof/>
            <w:webHidden/>
          </w:rPr>
        </w:r>
        <w:r w:rsidR="003327AA">
          <w:rPr>
            <w:noProof/>
            <w:webHidden/>
          </w:rPr>
          <w:fldChar w:fldCharType="separate"/>
        </w:r>
        <w:r w:rsidR="0025732B">
          <w:rPr>
            <w:noProof/>
            <w:webHidden/>
          </w:rPr>
          <w:t>36</w:t>
        </w:r>
        <w:r w:rsidR="003327AA">
          <w:rPr>
            <w:noProof/>
            <w:webHidden/>
          </w:rPr>
          <w:fldChar w:fldCharType="end"/>
        </w:r>
      </w:hyperlink>
    </w:p>
    <w:p w14:paraId="4730074D" w14:textId="77777777" w:rsidR="003327AA" w:rsidRDefault="00FF0106" w:rsidP="003327AA">
      <w:pPr>
        <w:pStyle w:val="TOC3"/>
        <w:tabs>
          <w:tab w:val="right" w:leader="dot" w:pos="9628"/>
        </w:tabs>
        <w:spacing w:after="120"/>
        <w:rPr>
          <w:rFonts w:asciiTheme="minorHAnsi" w:eastAsiaTheme="minorEastAsia" w:hAnsiTheme="minorHAnsi" w:cstheme="minorBidi"/>
          <w:noProof/>
          <w:sz w:val="22"/>
          <w:szCs w:val="22"/>
          <w:lang w:eastAsia="en-GB"/>
        </w:rPr>
      </w:pPr>
      <w:hyperlink w:anchor="_Toc450886576" w:history="1">
        <w:r w:rsidR="003327AA" w:rsidRPr="005264F7">
          <w:rPr>
            <w:rStyle w:val="Hyperlink"/>
            <w:noProof/>
          </w:rPr>
          <w:t>Appealing a TEF outcome</w:t>
        </w:r>
        <w:r w:rsidR="003327AA">
          <w:rPr>
            <w:noProof/>
            <w:webHidden/>
          </w:rPr>
          <w:tab/>
        </w:r>
        <w:r w:rsidR="003327AA">
          <w:rPr>
            <w:noProof/>
            <w:webHidden/>
          </w:rPr>
          <w:fldChar w:fldCharType="begin"/>
        </w:r>
        <w:r w:rsidR="003327AA">
          <w:rPr>
            <w:noProof/>
            <w:webHidden/>
          </w:rPr>
          <w:instrText xml:space="preserve"> PAGEREF _Toc450886576 \h </w:instrText>
        </w:r>
        <w:r w:rsidR="003327AA">
          <w:rPr>
            <w:noProof/>
            <w:webHidden/>
          </w:rPr>
        </w:r>
        <w:r w:rsidR="003327AA">
          <w:rPr>
            <w:noProof/>
            <w:webHidden/>
          </w:rPr>
          <w:fldChar w:fldCharType="separate"/>
        </w:r>
        <w:r w:rsidR="0025732B">
          <w:rPr>
            <w:noProof/>
            <w:webHidden/>
          </w:rPr>
          <w:t>36</w:t>
        </w:r>
        <w:r w:rsidR="003327AA">
          <w:rPr>
            <w:noProof/>
            <w:webHidden/>
          </w:rPr>
          <w:fldChar w:fldCharType="end"/>
        </w:r>
      </w:hyperlink>
    </w:p>
    <w:p w14:paraId="1894F93B" w14:textId="77777777" w:rsidR="003327AA" w:rsidRDefault="00FF0106" w:rsidP="003327AA">
      <w:pPr>
        <w:pStyle w:val="TOC3"/>
        <w:tabs>
          <w:tab w:val="right" w:leader="dot" w:pos="9628"/>
        </w:tabs>
        <w:spacing w:after="120"/>
        <w:rPr>
          <w:rFonts w:asciiTheme="minorHAnsi" w:eastAsiaTheme="minorEastAsia" w:hAnsiTheme="minorHAnsi" w:cstheme="minorBidi"/>
          <w:noProof/>
          <w:sz w:val="22"/>
          <w:szCs w:val="22"/>
          <w:lang w:eastAsia="en-GB"/>
        </w:rPr>
      </w:pPr>
      <w:hyperlink w:anchor="_Toc450886577" w:history="1">
        <w:r w:rsidR="003327AA" w:rsidRPr="005264F7">
          <w:rPr>
            <w:rStyle w:val="Hyperlink"/>
            <w:noProof/>
          </w:rPr>
          <w:t>Duration of a TEF award</w:t>
        </w:r>
        <w:r w:rsidR="003327AA">
          <w:rPr>
            <w:noProof/>
            <w:webHidden/>
          </w:rPr>
          <w:tab/>
        </w:r>
        <w:r w:rsidR="003327AA">
          <w:rPr>
            <w:noProof/>
            <w:webHidden/>
          </w:rPr>
          <w:fldChar w:fldCharType="begin"/>
        </w:r>
        <w:r w:rsidR="003327AA">
          <w:rPr>
            <w:noProof/>
            <w:webHidden/>
          </w:rPr>
          <w:instrText xml:space="preserve"> PAGEREF _Toc450886577 \h </w:instrText>
        </w:r>
        <w:r w:rsidR="003327AA">
          <w:rPr>
            <w:noProof/>
            <w:webHidden/>
          </w:rPr>
        </w:r>
        <w:r w:rsidR="003327AA">
          <w:rPr>
            <w:noProof/>
            <w:webHidden/>
          </w:rPr>
          <w:fldChar w:fldCharType="separate"/>
        </w:r>
        <w:r w:rsidR="0025732B">
          <w:rPr>
            <w:noProof/>
            <w:webHidden/>
          </w:rPr>
          <w:t>36</w:t>
        </w:r>
        <w:r w:rsidR="003327AA">
          <w:rPr>
            <w:noProof/>
            <w:webHidden/>
          </w:rPr>
          <w:fldChar w:fldCharType="end"/>
        </w:r>
      </w:hyperlink>
    </w:p>
    <w:p w14:paraId="262A0143" w14:textId="77777777" w:rsidR="003327AA" w:rsidRDefault="00FF0106" w:rsidP="003327AA">
      <w:pPr>
        <w:pStyle w:val="TOC3"/>
        <w:tabs>
          <w:tab w:val="right" w:leader="dot" w:pos="9628"/>
        </w:tabs>
        <w:spacing w:after="120"/>
        <w:rPr>
          <w:rFonts w:asciiTheme="minorHAnsi" w:eastAsiaTheme="minorEastAsia" w:hAnsiTheme="minorHAnsi" w:cstheme="minorBidi"/>
          <w:noProof/>
          <w:sz w:val="22"/>
          <w:szCs w:val="22"/>
          <w:lang w:eastAsia="en-GB"/>
        </w:rPr>
      </w:pPr>
      <w:hyperlink w:anchor="_Toc450886578" w:history="1">
        <w:r w:rsidR="003327AA" w:rsidRPr="005264F7">
          <w:rPr>
            <w:rStyle w:val="Hyperlink"/>
            <w:noProof/>
          </w:rPr>
          <w:t>Conditions for withdrawal of a TEF award</w:t>
        </w:r>
        <w:r w:rsidR="003327AA">
          <w:rPr>
            <w:noProof/>
            <w:webHidden/>
          </w:rPr>
          <w:tab/>
        </w:r>
        <w:r w:rsidR="003327AA">
          <w:rPr>
            <w:noProof/>
            <w:webHidden/>
          </w:rPr>
          <w:fldChar w:fldCharType="begin"/>
        </w:r>
        <w:r w:rsidR="003327AA">
          <w:rPr>
            <w:noProof/>
            <w:webHidden/>
          </w:rPr>
          <w:instrText xml:space="preserve"> PAGEREF _Toc450886578 \h </w:instrText>
        </w:r>
        <w:r w:rsidR="003327AA">
          <w:rPr>
            <w:noProof/>
            <w:webHidden/>
          </w:rPr>
        </w:r>
        <w:r w:rsidR="003327AA">
          <w:rPr>
            <w:noProof/>
            <w:webHidden/>
          </w:rPr>
          <w:fldChar w:fldCharType="separate"/>
        </w:r>
        <w:r w:rsidR="0025732B">
          <w:rPr>
            <w:noProof/>
            <w:webHidden/>
          </w:rPr>
          <w:t>37</w:t>
        </w:r>
        <w:r w:rsidR="003327AA">
          <w:rPr>
            <w:noProof/>
            <w:webHidden/>
          </w:rPr>
          <w:fldChar w:fldCharType="end"/>
        </w:r>
      </w:hyperlink>
    </w:p>
    <w:p w14:paraId="347F1CFD" w14:textId="209DB4FA" w:rsidR="003327AA" w:rsidRDefault="0025732B" w:rsidP="003327AA">
      <w:pPr>
        <w:pStyle w:val="TOC2"/>
        <w:spacing w:after="120"/>
        <w:rPr>
          <w:rFonts w:asciiTheme="minorHAnsi" w:eastAsiaTheme="minorEastAsia" w:hAnsiTheme="minorHAnsi" w:cstheme="minorBidi"/>
          <w:color w:val="auto"/>
          <w:szCs w:val="22"/>
          <w:lang w:eastAsia="en-GB"/>
        </w:rPr>
      </w:pPr>
      <w:r>
        <w:t xml:space="preserve">5. </w:t>
      </w:r>
      <w:hyperlink w:anchor="_Toc450886579" w:history="1">
        <w:r w:rsidR="003327AA" w:rsidRPr="005264F7">
          <w:rPr>
            <w:rStyle w:val="Hyperlink"/>
          </w:rPr>
          <w:t>Communicating TEF outcomes to students and other stakeholders</w:t>
        </w:r>
        <w:r w:rsidR="003327AA">
          <w:rPr>
            <w:webHidden/>
          </w:rPr>
          <w:tab/>
        </w:r>
        <w:r w:rsidR="003327AA">
          <w:rPr>
            <w:webHidden/>
          </w:rPr>
          <w:fldChar w:fldCharType="begin"/>
        </w:r>
        <w:r w:rsidR="003327AA">
          <w:rPr>
            <w:webHidden/>
          </w:rPr>
          <w:instrText xml:space="preserve"> PAGEREF _Toc450886579 \h </w:instrText>
        </w:r>
        <w:r w:rsidR="003327AA">
          <w:rPr>
            <w:webHidden/>
          </w:rPr>
        </w:r>
        <w:r w:rsidR="003327AA">
          <w:rPr>
            <w:webHidden/>
          </w:rPr>
          <w:fldChar w:fldCharType="separate"/>
        </w:r>
        <w:r>
          <w:rPr>
            <w:webHidden/>
          </w:rPr>
          <w:t>38</w:t>
        </w:r>
        <w:r w:rsidR="003327AA">
          <w:rPr>
            <w:webHidden/>
          </w:rPr>
          <w:fldChar w:fldCharType="end"/>
        </w:r>
      </w:hyperlink>
    </w:p>
    <w:p w14:paraId="0B87F1DA" w14:textId="77777777" w:rsidR="003327AA" w:rsidRDefault="00FF0106" w:rsidP="003327AA">
      <w:pPr>
        <w:pStyle w:val="TOC3"/>
        <w:tabs>
          <w:tab w:val="right" w:leader="dot" w:pos="9628"/>
        </w:tabs>
        <w:spacing w:after="120"/>
        <w:rPr>
          <w:rFonts w:asciiTheme="minorHAnsi" w:eastAsiaTheme="minorEastAsia" w:hAnsiTheme="minorHAnsi" w:cstheme="minorBidi"/>
          <w:noProof/>
          <w:sz w:val="22"/>
          <w:szCs w:val="22"/>
          <w:lang w:eastAsia="en-GB"/>
        </w:rPr>
      </w:pPr>
      <w:hyperlink w:anchor="_Toc450886580" w:history="1">
        <w:r w:rsidR="003327AA" w:rsidRPr="005264F7">
          <w:rPr>
            <w:rStyle w:val="Hyperlink"/>
            <w:noProof/>
            <w:lang w:eastAsia="en-GB"/>
          </w:rPr>
          <w:t>Descriptions of TEF ratings</w:t>
        </w:r>
        <w:r w:rsidR="003327AA">
          <w:rPr>
            <w:noProof/>
            <w:webHidden/>
          </w:rPr>
          <w:tab/>
        </w:r>
        <w:r w:rsidR="003327AA">
          <w:rPr>
            <w:noProof/>
            <w:webHidden/>
          </w:rPr>
          <w:fldChar w:fldCharType="begin"/>
        </w:r>
        <w:r w:rsidR="003327AA">
          <w:rPr>
            <w:noProof/>
            <w:webHidden/>
          </w:rPr>
          <w:instrText xml:space="preserve"> PAGEREF _Toc450886580 \h </w:instrText>
        </w:r>
        <w:r w:rsidR="003327AA">
          <w:rPr>
            <w:noProof/>
            <w:webHidden/>
          </w:rPr>
        </w:r>
        <w:r w:rsidR="003327AA">
          <w:rPr>
            <w:noProof/>
            <w:webHidden/>
          </w:rPr>
          <w:fldChar w:fldCharType="separate"/>
        </w:r>
        <w:r w:rsidR="0025732B">
          <w:rPr>
            <w:noProof/>
            <w:webHidden/>
          </w:rPr>
          <w:t>38</w:t>
        </w:r>
        <w:r w:rsidR="003327AA">
          <w:rPr>
            <w:noProof/>
            <w:webHidden/>
          </w:rPr>
          <w:fldChar w:fldCharType="end"/>
        </w:r>
      </w:hyperlink>
    </w:p>
    <w:p w14:paraId="7955E6CC" w14:textId="77777777" w:rsidR="003327AA" w:rsidRDefault="00FF0106" w:rsidP="003327AA">
      <w:pPr>
        <w:pStyle w:val="TOC3"/>
        <w:tabs>
          <w:tab w:val="right" w:leader="dot" w:pos="9628"/>
        </w:tabs>
        <w:spacing w:after="120"/>
        <w:rPr>
          <w:rFonts w:asciiTheme="minorHAnsi" w:eastAsiaTheme="minorEastAsia" w:hAnsiTheme="minorHAnsi" w:cstheme="minorBidi"/>
          <w:noProof/>
          <w:sz w:val="22"/>
          <w:szCs w:val="22"/>
          <w:lang w:eastAsia="en-GB"/>
        </w:rPr>
      </w:pPr>
      <w:hyperlink w:anchor="_Toc450886581" w:history="1">
        <w:r w:rsidR="003327AA" w:rsidRPr="005264F7">
          <w:rPr>
            <w:rStyle w:val="Hyperlink"/>
            <w:noProof/>
          </w:rPr>
          <w:t>Publishing TEF outcomes</w:t>
        </w:r>
        <w:r w:rsidR="003327AA">
          <w:rPr>
            <w:noProof/>
            <w:webHidden/>
          </w:rPr>
          <w:tab/>
        </w:r>
        <w:r w:rsidR="003327AA">
          <w:rPr>
            <w:noProof/>
            <w:webHidden/>
          </w:rPr>
          <w:fldChar w:fldCharType="begin"/>
        </w:r>
        <w:r w:rsidR="003327AA">
          <w:rPr>
            <w:noProof/>
            <w:webHidden/>
          </w:rPr>
          <w:instrText xml:space="preserve"> PAGEREF _Toc450886581 \h </w:instrText>
        </w:r>
        <w:r w:rsidR="003327AA">
          <w:rPr>
            <w:noProof/>
            <w:webHidden/>
          </w:rPr>
        </w:r>
        <w:r w:rsidR="003327AA">
          <w:rPr>
            <w:noProof/>
            <w:webHidden/>
          </w:rPr>
          <w:fldChar w:fldCharType="separate"/>
        </w:r>
        <w:r w:rsidR="0025732B">
          <w:rPr>
            <w:noProof/>
            <w:webHidden/>
          </w:rPr>
          <w:t>39</w:t>
        </w:r>
        <w:r w:rsidR="003327AA">
          <w:rPr>
            <w:noProof/>
            <w:webHidden/>
          </w:rPr>
          <w:fldChar w:fldCharType="end"/>
        </w:r>
      </w:hyperlink>
    </w:p>
    <w:p w14:paraId="6F841F8F" w14:textId="77777777" w:rsidR="003327AA" w:rsidRDefault="00FF0106" w:rsidP="003327AA">
      <w:pPr>
        <w:pStyle w:val="TOC2"/>
        <w:spacing w:after="120"/>
        <w:rPr>
          <w:rFonts w:asciiTheme="minorHAnsi" w:eastAsiaTheme="minorEastAsia" w:hAnsiTheme="minorHAnsi" w:cstheme="minorBidi"/>
          <w:color w:val="auto"/>
          <w:szCs w:val="22"/>
          <w:lang w:eastAsia="en-GB"/>
        </w:rPr>
      </w:pPr>
      <w:hyperlink w:anchor="_Toc450886582" w:history="1">
        <w:r w:rsidR="003327AA" w:rsidRPr="005264F7">
          <w:rPr>
            <w:rStyle w:val="Hyperlink"/>
          </w:rPr>
          <w:t>Implementation and next steps</w:t>
        </w:r>
        <w:r w:rsidR="003327AA">
          <w:rPr>
            <w:webHidden/>
          </w:rPr>
          <w:tab/>
        </w:r>
        <w:r w:rsidR="003327AA">
          <w:rPr>
            <w:webHidden/>
          </w:rPr>
          <w:fldChar w:fldCharType="begin"/>
        </w:r>
        <w:r w:rsidR="003327AA">
          <w:rPr>
            <w:webHidden/>
          </w:rPr>
          <w:instrText xml:space="preserve"> PAGEREF _Toc450886582 \h </w:instrText>
        </w:r>
        <w:r w:rsidR="003327AA">
          <w:rPr>
            <w:webHidden/>
          </w:rPr>
        </w:r>
        <w:r w:rsidR="003327AA">
          <w:rPr>
            <w:webHidden/>
          </w:rPr>
          <w:fldChar w:fldCharType="separate"/>
        </w:r>
        <w:r w:rsidR="0025732B">
          <w:rPr>
            <w:webHidden/>
          </w:rPr>
          <w:t>40</w:t>
        </w:r>
        <w:r w:rsidR="003327AA">
          <w:rPr>
            <w:webHidden/>
          </w:rPr>
          <w:fldChar w:fldCharType="end"/>
        </w:r>
      </w:hyperlink>
    </w:p>
    <w:p w14:paraId="3ABBB01A" w14:textId="77777777" w:rsidR="003327AA" w:rsidRDefault="00FF0106" w:rsidP="003327AA">
      <w:pPr>
        <w:pStyle w:val="TOC3"/>
        <w:tabs>
          <w:tab w:val="right" w:leader="dot" w:pos="9628"/>
        </w:tabs>
        <w:spacing w:after="120"/>
        <w:rPr>
          <w:rFonts w:asciiTheme="minorHAnsi" w:eastAsiaTheme="minorEastAsia" w:hAnsiTheme="minorHAnsi" w:cstheme="minorBidi"/>
          <w:noProof/>
          <w:sz w:val="22"/>
          <w:szCs w:val="22"/>
          <w:lang w:eastAsia="en-GB"/>
        </w:rPr>
      </w:pPr>
      <w:hyperlink w:anchor="_Toc450886583" w:history="1">
        <w:r w:rsidR="003327AA" w:rsidRPr="005264F7">
          <w:rPr>
            <w:rStyle w:val="Hyperlink"/>
            <w:noProof/>
          </w:rPr>
          <w:t>Timetable for implementation of Year Two</w:t>
        </w:r>
        <w:r w:rsidR="003327AA">
          <w:rPr>
            <w:noProof/>
            <w:webHidden/>
          </w:rPr>
          <w:tab/>
        </w:r>
        <w:r w:rsidR="003327AA">
          <w:rPr>
            <w:noProof/>
            <w:webHidden/>
          </w:rPr>
          <w:fldChar w:fldCharType="begin"/>
        </w:r>
        <w:r w:rsidR="003327AA">
          <w:rPr>
            <w:noProof/>
            <w:webHidden/>
          </w:rPr>
          <w:instrText xml:space="preserve"> PAGEREF _Toc450886583 \h </w:instrText>
        </w:r>
        <w:r w:rsidR="003327AA">
          <w:rPr>
            <w:noProof/>
            <w:webHidden/>
          </w:rPr>
        </w:r>
        <w:r w:rsidR="003327AA">
          <w:rPr>
            <w:noProof/>
            <w:webHidden/>
          </w:rPr>
          <w:fldChar w:fldCharType="separate"/>
        </w:r>
        <w:r w:rsidR="0025732B">
          <w:rPr>
            <w:noProof/>
            <w:webHidden/>
          </w:rPr>
          <w:t>40</w:t>
        </w:r>
        <w:r w:rsidR="003327AA">
          <w:rPr>
            <w:noProof/>
            <w:webHidden/>
          </w:rPr>
          <w:fldChar w:fldCharType="end"/>
        </w:r>
      </w:hyperlink>
    </w:p>
    <w:p w14:paraId="4D5FB8BA" w14:textId="77777777" w:rsidR="003327AA" w:rsidRDefault="00FF0106" w:rsidP="003327AA">
      <w:pPr>
        <w:pStyle w:val="TOC3"/>
        <w:tabs>
          <w:tab w:val="right" w:leader="dot" w:pos="9628"/>
        </w:tabs>
        <w:spacing w:after="120"/>
        <w:rPr>
          <w:rFonts w:asciiTheme="minorHAnsi" w:eastAsiaTheme="minorEastAsia" w:hAnsiTheme="minorHAnsi" w:cstheme="minorBidi"/>
          <w:noProof/>
          <w:sz w:val="22"/>
          <w:szCs w:val="22"/>
          <w:lang w:eastAsia="en-GB"/>
        </w:rPr>
      </w:pPr>
      <w:hyperlink w:anchor="_Toc450886584" w:history="1">
        <w:r w:rsidR="003327AA" w:rsidRPr="005264F7">
          <w:rPr>
            <w:rStyle w:val="Hyperlink"/>
            <w:noProof/>
          </w:rPr>
          <w:t>Sharing good practice from Year Two</w:t>
        </w:r>
        <w:r w:rsidR="003327AA">
          <w:rPr>
            <w:noProof/>
            <w:webHidden/>
          </w:rPr>
          <w:tab/>
        </w:r>
        <w:r w:rsidR="003327AA">
          <w:rPr>
            <w:noProof/>
            <w:webHidden/>
          </w:rPr>
          <w:fldChar w:fldCharType="begin"/>
        </w:r>
        <w:r w:rsidR="003327AA">
          <w:rPr>
            <w:noProof/>
            <w:webHidden/>
          </w:rPr>
          <w:instrText xml:space="preserve"> PAGEREF _Toc450886584 \h </w:instrText>
        </w:r>
        <w:r w:rsidR="003327AA">
          <w:rPr>
            <w:noProof/>
            <w:webHidden/>
          </w:rPr>
        </w:r>
        <w:r w:rsidR="003327AA">
          <w:rPr>
            <w:noProof/>
            <w:webHidden/>
          </w:rPr>
          <w:fldChar w:fldCharType="separate"/>
        </w:r>
        <w:r w:rsidR="0025732B">
          <w:rPr>
            <w:noProof/>
            <w:webHidden/>
          </w:rPr>
          <w:t>40</w:t>
        </w:r>
        <w:r w:rsidR="003327AA">
          <w:rPr>
            <w:noProof/>
            <w:webHidden/>
          </w:rPr>
          <w:fldChar w:fldCharType="end"/>
        </w:r>
      </w:hyperlink>
    </w:p>
    <w:p w14:paraId="6C3E84E5" w14:textId="77777777" w:rsidR="003327AA" w:rsidRDefault="00FF0106" w:rsidP="003327AA">
      <w:pPr>
        <w:pStyle w:val="TOC3"/>
        <w:tabs>
          <w:tab w:val="right" w:leader="dot" w:pos="9628"/>
        </w:tabs>
        <w:spacing w:after="120"/>
        <w:rPr>
          <w:rFonts w:asciiTheme="minorHAnsi" w:eastAsiaTheme="minorEastAsia" w:hAnsiTheme="minorHAnsi" w:cstheme="minorBidi"/>
          <w:noProof/>
          <w:sz w:val="22"/>
          <w:szCs w:val="22"/>
          <w:lang w:eastAsia="en-GB"/>
        </w:rPr>
      </w:pPr>
      <w:hyperlink w:anchor="_Toc450886585" w:history="1">
        <w:r w:rsidR="003327AA" w:rsidRPr="005264F7">
          <w:rPr>
            <w:rStyle w:val="Hyperlink"/>
            <w:noProof/>
          </w:rPr>
          <w:t>Lessons learned exercise from Year Two</w:t>
        </w:r>
        <w:r w:rsidR="003327AA">
          <w:rPr>
            <w:noProof/>
            <w:webHidden/>
          </w:rPr>
          <w:tab/>
        </w:r>
        <w:r w:rsidR="003327AA">
          <w:rPr>
            <w:noProof/>
            <w:webHidden/>
          </w:rPr>
          <w:fldChar w:fldCharType="begin"/>
        </w:r>
        <w:r w:rsidR="003327AA">
          <w:rPr>
            <w:noProof/>
            <w:webHidden/>
          </w:rPr>
          <w:instrText xml:space="preserve"> PAGEREF _Toc450886585 \h </w:instrText>
        </w:r>
        <w:r w:rsidR="003327AA">
          <w:rPr>
            <w:noProof/>
            <w:webHidden/>
          </w:rPr>
        </w:r>
        <w:r w:rsidR="003327AA">
          <w:rPr>
            <w:noProof/>
            <w:webHidden/>
          </w:rPr>
          <w:fldChar w:fldCharType="separate"/>
        </w:r>
        <w:r w:rsidR="0025732B">
          <w:rPr>
            <w:noProof/>
            <w:webHidden/>
          </w:rPr>
          <w:t>40</w:t>
        </w:r>
        <w:r w:rsidR="003327AA">
          <w:rPr>
            <w:noProof/>
            <w:webHidden/>
          </w:rPr>
          <w:fldChar w:fldCharType="end"/>
        </w:r>
      </w:hyperlink>
    </w:p>
    <w:p w14:paraId="357D306A" w14:textId="77777777" w:rsidR="003327AA" w:rsidRDefault="00FF0106" w:rsidP="003327AA">
      <w:pPr>
        <w:pStyle w:val="TOC2"/>
        <w:spacing w:after="120"/>
        <w:rPr>
          <w:rFonts w:asciiTheme="minorHAnsi" w:eastAsiaTheme="minorEastAsia" w:hAnsiTheme="minorHAnsi" w:cstheme="minorBidi"/>
          <w:color w:val="auto"/>
          <w:szCs w:val="22"/>
          <w:lang w:eastAsia="en-GB"/>
        </w:rPr>
      </w:pPr>
      <w:hyperlink w:anchor="_Toc450886586" w:history="1">
        <w:r w:rsidR="003327AA" w:rsidRPr="005264F7">
          <w:rPr>
            <w:rStyle w:val="Hyperlink"/>
          </w:rPr>
          <w:t>Annex A: Glossary of Terms</w:t>
        </w:r>
        <w:r w:rsidR="003327AA">
          <w:rPr>
            <w:webHidden/>
          </w:rPr>
          <w:tab/>
        </w:r>
        <w:r w:rsidR="003327AA">
          <w:rPr>
            <w:webHidden/>
          </w:rPr>
          <w:fldChar w:fldCharType="begin"/>
        </w:r>
        <w:r w:rsidR="003327AA">
          <w:rPr>
            <w:webHidden/>
          </w:rPr>
          <w:instrText xml:space="preserve"> PAGEREF _Toc450886586 \h </w:instrText>
        </w:r>
        <w:r w:rsidR="003327AA">
          <w:rPr>
            <w:webHidden/>
          </w:rPr>
        </w:r>
        <w:r w:rsidR="003327AA">
          <w:rPr>
            <w:webHidden/>
          </w:rPr>
          <w:fldChar w:fldCharType="separate"/>
        </w:r>
        <w:r w:rsidR="0025732B">
          <w:rPr>
            <w:webHidden/>
          </w:rPr>
          <w:t>41</w:t>
        </w:r>
        <w:r w:rsidR="003327AA">
          <w:rPr>
            <w:webHidden/>
          </w:rPr>
          <w:fldChar w:fldCharType="end"/>
        </w:r>
      </w:hyperlink>
    </w:p>
    <w:p w14:paraId="1EB729A7" w14:textId="77777777" w:rsidR="003327AA" w:rsidRDefault="00FF0106" w:rsidP="003327AA">
      <w:pPr>
        <w:pStyle w:val="TOC2"/>
        <w:spacing w:after="120"/>
        <w:rPr>
          <w:rFonts w:asciiTheme="minorHAnsi" w:eastAsiaTheme="minorEastAsia" w:hAnsiTheme="minorHAnsi" w:cstheme="minorBidi"/>
          <w:color w:val="auto"/>
          <w:szCs w:val="22"/>
          <w:lang w:eastAsia="en-GB"/>
        </w:rPr>
      </w:pPr>
      <w:hyperlink w:anchor="_Toc450886587" w:history="1">
        <w:r w:rsidR="003327AA" w:rsidRPr="005264F7">
          <w:rPr>
            <w:rStyle w:val="Hyperlink"/>
          </w:rPr>
          <w:t>Annex B: Provisional timetable for Year Two</w:t>
        </w:r>
        <w:r w:rsidR="003327AA">
          <w:rPr>
            <w:webHidden/>
          </w:rPr>
          <w:tab/>
        </w:r>
        <w:r w:rsidR="003327AA">
          <w:rPr>
            <w:webHidden/>
          </w:rPr>
          <w:fldChar w:fldCharType="begin"/>
        </w:r>
        <w:r w:rsidR="003327AA">
          <w:rPr>
            <w:webHidden/>
          </w:rPr>
          <w:instrText xml:space="preserve"> PAGEREF _Toc450886587 \h </w:instrText>
        </w:r>
        <w:r w:rsidR="003327AA">
          <w:rPr>
            <w:webHidden/>
          </w:rPr>
        </w:r>
        <w:r w:rsidR="003327AA">
          <w:rPr>
            <w:webHidden/>
          </w:rPr>
          <w:fldChar w:fldCharType="separate"/>
        </w:r>
        <w:r w:rsidR="0025732B">
          <w:rPr>
            <w:webHidden/>
          </w:rPr>
          <w:t>43</w:t>
        </w:r>
        <w:r w:rsidR="003327AA">
          <w:rPr>
            <w:webHidden/>
          </w:rPr>
          <w:fldChar w:fldCharType="end"/>
        </w:r>
      </w:hyperlink>
    </w:p>
    <w:p w14:paraId="73C5A8A8" w14:textId="77777777" w:rsidR="003327AA" w:rsidRDefault="00FF0106" w:rsidP="003327AA">
      <w:pPr>
        <w:pStyle w:val="TOC3"/>
        <w:tabs>
          <w:tab w:val="right" w:leader="dot" w:pos="9628"/>
        </w:tabs>
        <w:spacing w:after="120"/>
        <w:rPr>
          <w:rFonts w:asciiTheme="minorHAnsi" w:eastAsiaTheme="minorEastAsia" w:hAnsiTheme="minorHAnsi" w:cstheme="minorBidi"/>
          <w:noProof/>
          <w:sz w:val="22"/>
          <w:szCs w:val="22"/>
          <w:lang w:eastAsia="en-GB"/>
        </w:rPr>
      </w:pPr>
      <w:hyperlink w:anchor="_Toc450886588" w:history="1">
        <w:r w:rsidR="003327AA" w:rsidRPr="005264F7">
          <w:rPr>
            <w:rStyle w:val="Hyperlink"/>
            <w:noProof/>
          </w:rPr>
          <w:t>Key dates for providers</w:t>
        </w:r>
        <w:r w:rsidR="003327AA">
          <w:rPr>
            <w:noProof/>
            <w:webHidden/>
          </w:rPr>
          <w:tab/>
        </w:r>
        <w:r w:rsidR="003327AA">
          <w:rPr>
            <w:noProof/>
            <w:webHidden/>
          </w:rPr>
          <w:fldChar w:fldCharType="begin"/>
        </w:r>
        <w:r w:rsidR="003327AA">
          <w:rPr>
            <w:noProof/>
            <w:webHidden/>
          </w:rPr>
          <w:instrText xml:space="preserve"> PAGEREF _Toc450886588 \h </w:instrText>
        </w:r>
        <w:r w:rsidR="003327AA">
          <w:rPr>
            <w:noProof/>
            <w:webHidden/>
          </w:rPr>
        </w:r>
        <w:r w:rsidR="003327AA">
          <w:rPr>
            <w:noProof/>
            <w:webHidden/>
          </w:rPr>
          <w:fldChar w:fldCharType="separate"/>
        </w:r>
        <w:r w:rsidR="0025732B">
          <w:rPr>
            <w:noProof/>
            <w:webHidden/>
          </w:rPr>
          <w:t>43</w:t>
        </w:r>
        <w:r w:rsidR="003327AA">
          <w:rPr>
            <w:noProof/>
            <w:webHidden/>
          </w:rPr>
          <w:fldChar w:fldCharType="end"/>
        </w:r>
      </w:hyperlink>
    </w:p>
    <w:p w14:paraId="00E42FB1" w14:textId="77777777" w:rsidR="003327AA" w:rsidRDefault="00FF0106" w:rsidP="003327AA">
      <w:pPr>
        <w:pStyle w:val="TOC3"/>
        <w:tabs>
          <w:tab w:val="right" w:leader="dot" w:pos="9628"/>
        </w:tabs>
        <w:spacing w:after="120"/>
        <w:rPr>
          <w:rFonts w:asciiTheme="minorHAnsi" w:eastAsiaTheme="minorEastAsia" w:hAnsiTheme="minorHAnsi" w:cstheme="minorBidi"/>
          <w:noProof/>
          <w:sz w:val="22"/>
          <w:szCs w:val="22"/>
          <w:lang w:eastAsia="en-GB"/>
        </w:rPr>
      </w:pPr>
      <w:hyperlink w:anchor="_Toc450886589" w:history="1">
        <w:r w:rsidR="003327AA" w:rsidRPr="005264F7">
          <w:rPr>
            <w:rStyle w:val="Hyperlink"/>
            <w:noProof/>
          </w:rPr>
          <w:t>Key dates for appointment of TEF assessors and TEF Panel</w:t>
        </w:r>
        <w:r w:rsidR="003327AA">
          <w:rPr>
            <w:noProof/>
            <w:webHidden/>
          </w:rPr>
          <w:tab/>
        </w:r>
        <w:r w:rsidR="003327AA">
          <w:rPr>
            <w:noProof/>
            <w:webHidden/>
          </w:rPr>
          <w:fldChar w:fldCharType="begin"/>
        </w:r>
        <w:r w:rsidR="003327AA">
          <w:rPr>
            <w:noProof/>
            <w:webHidden/>
          </w:rPr>
          <w:instrText xml:space="preserve"> PAGEREF _Toc450886589 \h </w:instrText>
        </w:r>
        <w:r w:rsidR="003327AA">
          <w:rPr>
            <w:noProof/>
            <w:webHidden/>
          </w:rPr>
        </w:r>
        <w:r w:rsidR="003327AA">
          <w:rPr>
            <w:noProof/>
            <w:webHidden/>
          </w:rPr>
          <w:fldChar w:fldCharType="separate"/>
        </w:r>
        <w:r w:rsidR="0025732B">
          <w:rPr>
            <w:noProof/>
            <w:webHidden/>
          </w:rPr>
          <w:t>44</w:t>
        </w:r>
        <w:r w:rsidR="003327AA">
          <w:rPr>
            <w:noProof/>
            <w:webHidden/>
          </w:rPr>
          <w:fldChar w:fldCharType="end"/>
        </w:r>
      </w:hyperlink>
    </w:p>
    <w:p w14:paraId="4D065A1D" w14:textId="77777777" w:rsidR="003327AA" w:rsidRDefault="00FF0106" w:rsidP="003327AA">
      <w:pPr>
        <w:pStyle w:val="TOC2"/>
        <w:spacing w:after="120"/>
        <w:rPr>
          <w:rFonts w:asciiTheme="minorHAnsi" w:eastAsiaTheme="minorEastAsia" w:hAnsiTheme="minorHAnsi" w:cstheme="minorBidi"/>
          <w:color w:val="auto"/>
          <w:szCs w:val="22"/>
          <w:lang w:eastAsia="en-GB"/>
        </w:rPr>
      </w:pPr>
      <w:hyperlink w:anchor="_Toc450886590" w:history="1">
        <w:r w:rsidR="003327AA" w:rsidRPr="005264F7">
          <w:rPr>
            <w:rStyle w:val="Hyperlink"/>
          </w:rPr>
          <w:t>Annex C: Core metrics – further information</w:t>
        </w:r>
        <w:r w:rsidR="003327AA">
          <w:rPr>
            <w:webHidden/>
          </w:rPr>
          <w:tab/>
        </w:r>
        <w:r w:rsidR="003327AA">
          <w:rPr>
            <w:webHidden/>
          </w:rPr>
          <w:fldChar w:fldCharType="begin"/>
        </w:r>
        <w:r w:rsidR="003327AA">
          <w:rPr>
            <w:webHidden/>
          </w:rPr>
          <w:instrText xml:space="preserve"> PAGEREF _Toc450886590 \h </w:instrText>
        </w:r>
        <w:r w:rsidR="003327AA">
          <w:rPr>
            <w:webHidden/>
          </w:rPr>
        </w:r>
        <w:r w:rsidR="003327AA">
          <w:rPr>
            <w:webHidden/>
          </w:rPr>
          <w:fldChar w:fldCharType="separate"/>
        </w:r>
        <w:r w:rsidR="0025732B">
          <w:rPr>
            <w:webHidden/>
          </w:rPr>
          <w:t>45</w:t>
        </w:r>
        <w:r w:rsidR="003327AA">
          <w:rPr>
            <w:webHidden/>
          </w:rPr>
          <w:fldChar w:fldCharType="end"/>
        </w:r>
      </w:hyperlink>
    </w:p>
    <w:p w14:paraId="07BBE8F3" w14:textId="77777777" w:rsidR="003327AA" w:rsidRDefault="00FF0106" w:rsidP="003327AA">
      <w:pPr>
        <w:pStyle w:val="TOC3"/>
        <w:tabs>
          <w:tab w:val="right" w:leader="dot" w:pos="9628"/>
        </w:tabs>
        <w:spacing w:after="120"/>
        <w:rPr>
          <w:rFonts w:asciiTheme="minorHAnsi" w:eastAsiaTheme="minorEastAsia" w:hAnsiTheme="minorHAnsi" w:cstheme="minorBidi"/>
          <w:noProof/>
          <w:sz w:val="22"/>
          <w:szCs w:val="22"/>
          <w:lang w:eastAsia="en-GB"/>
        </w:rPr>
      </w:pPr>
      <w:hyperlink w:anchor="_Toc450886591" w:history="1">
        <w:r w:rsidR="003327AA" w:rsidRPr="005264F7">
          <w:rPr>
            <w:rStyle w:val="Hyperlink"/>
            <w:noProof/>
          </w:rPr>
          <w:t>TEF metrics and the UK PIs – key similarities and differences in approach</w:t>
        </w:r>
        <w:r w:rsidR="003327AA">
          <w:rPr>
            <w:noProof/>
            <w:webHidden/>
          </w:rPr>
          <w:tab/>
        </w:r>
        <w:r w:rsidR="003327AA">
          <w:rPr>
            <w:noProof/>
            <w:webHidden/>
          </w:rPr>
          <w:fldChar w:fldCharType="begin"/>
        </w:r>
        <w:r w:rsidR="003327AA">
          <w:rPr>
            <w:noProof/>
            <w:webHidden/>
          </w:rPr>
          <w:instrText xml:space="preserve"> PAGEREF _Toc450886591 \h </w:instrText>
        </w:r>
        <w:r w:rsidR="003327AA">
          <w:rPr>
            <w:noProof/>
            <w:webHidden/>
          </w:rPr>
        </w:r>
        <w:r w:rsidR="003327AA">
          <w:rPr>
            <w:noProof/>
            <w:webHidden/>
          </w:rPr>
          <w:fldChar w:fldCharType="separate"/>
        </w:r>
        <w:r w:rsidR="0025732B">
          <w:rPr>
            <w:noProof/>
            <w:webHidden/>
          </w:rPr>
          <w:t>45</w:t>
        </w:r>
        <w:r w:rsidR="003327AA">
          <w:rPr>
            <w:noProof/>
            <w:webHidden/>
          </w:rPr>
          <w:fldChar w:fldCharType="end"/>
        </w:r>
      </w:hyperlink>
    </w:p>
    <w:p w14:paraId="4EE46C1F" w14:textId="77777777" w:rsidR="003327AA" w:rsidRDefault="00FF0106" w:rsidP="003327AA">
      <w:pPr>
        <w:pStyle w:val="TOC3"/>
        <w:tabs>
          <w:tab w:val="right" w:leader="dot" w:pos="9628"/>
        </w:tabs>
        <w:spacing w:after="120"/>
        <w:rPr>
          <w:rFonts w:asciiTheme="minorHAnsi" w:eastAsiaTheme="minorEastAsia" w:hAnsiTheme="minorHAnsi" w:cstheme="minorBidi"/>
          <w:noProof/>
          <w:sz w:val="22"/>
          <w:szCs w:val="22"/>
          <w:lang w:eastAsia="en-GB"/>
        </w:rPr>
      </w:pPr>
      <w:hyperlink w:anchor="_Toc450886592" w:history="1">
        <w:r w:rsidR="003327AA" w:rsidRPr="005264F7">
          <w:rPr>
            <w:rStyle w:val="Hyperlink"/>
            <w:noProof/>
          </w:rPr>
          <w:t>Coverage of student cohorts and providers</w:t>
        </w:r>
        <w:r w:rsidR="003327AA">
          <w:rPr>
            <w:noProof/>
            <w:webHidden/>
          </w:rPr>
          <w:tab/>
        </w:r>
        <w:r w:rsidR="003327AA">
          <w:rPr>
            <w:noProof/>
            <w:webHidden/>
          </w:rPr>
          <w:fldChar w:fldCharType="begin"/>
        </w:r>
        <w:r w:rsidR="003327AA">
          <w:rPr>
            <w:noProof/>
            <w:webHidden/>
          </w:rPr>
          <w:instrText xml:space="preserve"> PAGEREF _Toc450886592 \h </w:instrText>
        </w:r>
        <w:r w:rsidR="003327AA">
          <w:rPr>
            <w:noProof/>
            <w:webHidden/>
          </w:rPr>
        </w:r>
        <w:r w:rsidR="003327AA">
          <w:rPr>
            <w:noProof/>
            <w:webHidden/>
          </w:rPr>
          <w:fldChar w:fldCharType="separate"/>
        </w:r>
        <w:r w:rsidR="0025732B">
          <w:rPr>
            <w:noProof/>
            <w:webHidden/>
          </w:rPr>
          <w:t>45</w:t>
        </w:r>
        <w:r w:rsidR="003327AA">
          <w:rPr>
            <w:noProof/>
            <w:webHidden/>
          </w:rPr>
          <w:fldChar w:fldCharType="end"/>
        </w:r>
      </w:hyperlink>
    </w:p>
    <w:p w14:paraId="2C14C3CB" w14:textId="77777777" w:rsidR="003327AA" w:rsidRDefault="00FF0106" w:rsidP="003327AA">
      <w:pPr>
        <w:pStyle w:val="TOC3"/>
        <w:tabs>
          <w:tab w:val="right" w:leader="dot" w:pos="9628"/>
        </w:tabs>
        <w:spacing w:after="120"/>
        <w:rPr>
          <w:rFonts w:asciiTheme="minorHAnsi" w:eastAsiaTheme="minorEastAsia" w:hAnsiTheme="minorHAnsi" w:cstheme="minorBidi"/>
          <w:noProof/>
          <w:sz w:val="22"/>
          <w:szCs w:val="22"/>
          <w:lang w:eastAsia="en-GB"/>
        </w:rPr>
      </w:pPr>
      <w:hyperlink w:anchor="_Toc450886593" w:history="1">
        <w:r w:rsidR="003327AA" w:rsidRPr="005264F7">
          <w:rPr>
            <w:rStyle w:val="Hyperlink"/>
            <w:noProof/>
          </w:rPr>
          <w:t>Levels of reporting and significance</w:t>
        </w:r>
        <w:r w:rsidR="003327AA">
          <w:rPr>
            <w:noProof/>
            <w:webHidden/>
          </w:rPr>
          <w:tab/>
        </w:r>
        <w:r w:rsidR="003327AA">
          <w:rPr>
            <w:noProof/>
            <w:webHidden/>
          </w:rPr>
          <w:fldChar w:fldCharType="begin"/>
        </w:r>
        <w:r w:rsidR="003327AA">
          <w:rPr>
            <w:noProof/>
            <w:webHidden/>
          </w:rPr>
          <w:instrText xml:space="preserve"> PAGEREF _Toc450886593 \h </w:instrText>
        </w:r>
        <w:r w:rsidR="003327AA">
          <w:rPr>
            <w:noProof/>
            <w:webHidden/>
          </w:rPr>
        </w:r>
        <w:r w:rsidR="003327AA">
          <w:rPr>
            <w:noProof/>
            <w:webHidden/>
          </w:rPr>
          <w:fldChar w:fldCharType="separate"/>
        </w:r>
        <w:r w:rsidR="0025732B">
          <w:rPr>
            <w:noProof/>
            <w:webHidden/>
          </w:rPr>
          <w:t>46</w:t>
        </w:r>
        <w:r w:rsidR="003327AA">
          <w:rPr>
            <w:noProof/>
            <w:webHidden/>
          </w:rPr>
          <w:fldChar w:fldCharType="end"/>
        </w:r>
      </w:hyperlink>
    </w:p>
    <w:p w14:paraId="33A8171E" w14:textId="77777777" w:rsidR="003327AA" w:rsidRDefault="00FF0106" w:rsidP="003327AA">
      <w:pPr>
        <w:pStyle w:val="TOC3"/>
        <w:tabs>
          <w:tab w:val="right" w:leader="dot" w:pos="9628"/>
        </w:tabs>
        <w:spacing w:after="120"/>
        <w:rPr>
          <w:rFonts w:asciiTheme="minorHAnsi" w:eastAsiaTheme="minorEastAsia" w:hAnsiTheme="minorHAnsi" w:cstheme="minorBidi"/>
          <w:noProof/>
          <w:sz w:val="22"/>
          <w:szCs w:val="22"/>
          <w:lang w:eastAsia="en-GB"/>
        </w:rPr>
      </w:pPr>
      <w:hyperlink w:anchor="_Toc450886594" w:history="1">
        <w:r w:rsidR="003327AA" w:rsidRPr="005264F7">
          <w:rPr>
            <w:rStyle w:val="Hyperlink"/>
            <w:noProof/>
          </w:rPr>
          <w:t>Splitting the metrics</w:t>
        </w:r>
        <w:r w:rsidR="003327AA">
          <w:rPr>
            <w:noProof/>
            <w:webHidden/>
          </w:rPr>
          <w:tab/>
        </w:r>
        <w:r w:rsidR="003327AA">
          <w:rPr>
            <w:noProof/>
            <w:webHidden/>
          </w:rPr>
          <w:fldChar w:fldCharType="begin"/>
        </w:r>
        <w:r w:rsidR="003327AA">
          <w:rPr>
            <w:noProof/>
            <w:webHidden/>
          </w:rPr>
          <w:instrText xml:space="preserve"> PAGEREF _Toc450886594 \h </w:instrText>
        </w:r>
        <w:r w:rsidR="003327AA">
          <w:rPr>
            <w:noProof/>
            <w:webHidden/>
          </w:rPr>
        </w:r>
        <w:r w:rsidR="003327AA">
          <w:rPr>
            <w:noProof/>
            <w:webHidden/>
          </w:rPr>
          <w:fldChar w:fldCharType="separate"/>
        </w:r>
        <w:r w:rsidR="0025732B">
          <w:rPr>
            <w:noProof/>
            <w:webHidden/>
          </w:rPr>
          <w:t>46</w:t>
        </w:r>
        <w:r w:rsidR="003327AA">
          <w:rPr>
            <w:noProof/>
            <w:webHidden/>
          </w:rPr>
          <w:fldChar w:fldCharType="end"/>
        </w:r>
      </w:hyperlink>
    </w:p>
    <w:p w14:paraId="528BA19B" w14:textId="77777777" w:rsidR="003327AA" w:rsidRDefault="00FF0106" w:rsidP="003327AA">
      <w:pPr>
        <w:pStyle w:val="TOC3"/>
        <w:tabs>
          <w:tab w:val="right" w:leader="dot" w:pos="9628"/>
        </w:tabs>
        <w:spacing w:after="120"/>
        <w:rPr>
          <w:rFonts w:asciiTheme="minorHAnsi" w:eastAsiaTheme="minorEastAsia" w:hAnsiTheme="minorHAnsi" w:cstheme="minorBidi"/>
          <w:noProof/>
          <w:sz w:val="22"/>
          <w:szCs w:val="22"/>
          <w:lang w:eastAsia="en-GB"/>
        </w:rPr>
      </w:pPr>
      <w:hyperlink w:anchor="_Toc450886595" w:history="1">
        <w:r w:rsidR="003327AA" w:rsidRPr="005264F7">
          <w:rPr>
            <w:rStyle w:val="Hyperlink"/>
            <w:noProof/>
          </w:rPr>
          <w:t>Metrics information for assessors</w:t>
        </w:r>
        <w:r w:rsidR="003327AA">
          <w:rPr>
            <w:noProof/>
            <w:webHidden/>
          </w:rPr>
          <w:tab/>
        </w:r>
        <w:r w:rsidR="003327AA">
          <w:rPr>
            <w:noProof/>
            <w:webHidden/>
          </w:rPr>
          <w:fldChar w:fldCharType="begin"/>
        </w:r>
        <w:r w:rsidR="003327AA">
          <w:rPr>
            <w:noProof/>
            <w:webHidden/>
          </w:rPr>
          <w:instrText xml:space="preserve"> PAGEREF _Toc450886595 \h </w:instrText>
        </w:r>
        <w:r w:rsidR="003327AA">
          <w:rPr>
            <w:noProof/>
            <w:webHidden/>
          </w:rPr>
        </w:r>
        <w:r w:rsidR="003327AA">
          <w:rPr>
            <w:noProof/>
            <w:webHidden/>
          </w:rPr>
          <w:fldChar w:fldCharType="separate"/>
        </w:r>
        <w:r w:rsidR="0025732B">
          <w:rPr>
            <w:noProof/>
            <w:webHidden/>
          </w:rPr>
          <w:t>47</w:t>
        </w:r>
        <w:r w:rsidR="003327AA">
          <w:rPr>
            <w:noProof/>
            <w:webHidden/>
          </w:rPr>
          <w:fldChar w:fldCharType="end"/>
        </w:r>
      </w:hyperlink>
    </w:p>
    <w:p w14:paraId="51C38AA1" w14:textId="77777777" w:rsidR="003327AA" w:rsidRDefault="00FF0106" w:rsidP="003327AA">
      <w:pPr>
        <w:pStyle w:val="TOC2"/>
        <w:spacing w:after="120"/>
        <w:rPr>
          <w:rFonts w:asciiTheme="minorHAnsi" w:eastAsiaTheme="minorEastAsia" w:hAnsiTheme="minorHAnsi" w:cstheme="minorBidi"/>
          <w:color w:val="auto"/>
          <w:szCs w:val="22"/>
          <w:lang w:eastAsia="en-GB"/>
        </w:rPr>
      </w:pPr>
      <w:hyperlink w:anchor="_Toc450886596" w:history="1">
        <w:r w:rsidR="003327AA" w:rsidRPr="005264F7">
          <w:rPr>
            <w:rStyle w:val="Hyperlink"/>
          </w:rPr>
          <w:t>Annex D: Summary of potential unintended consequences on TEF metrics and proposed mitigations</w:t>
        </w:r>
        <w:r w:rsidR="003327AA">
          <w:rPr>
            <w:webHidden/>
          </w:rPr>
          <w:tab/>
        </w:r>
        <w:r w:rsidR="003327AA">
          <w:rPr>
            <w:webHidden/>
          </w:rPr>
          <w:fldChar w:fldCharType="begin"/>
        </w:r>
        <w:r w:rsidR="003327AA">
          <w:rPr>
            <w:webHidden/>
          </w:rPr>
          <w:instrText xml:space="preserve"> PAGEREF _Toc450886596 \h </w:instrText>
        </w:r>
        <w:r w:rsidR="003327AA">
          <w:rPr>
            <w:webHidden/>
          </w:rPr>
        </w:r>
        <w:r w:rsidR="003327AA">
          <w:rPr>
            <w:webHidden/>
          </w:rPr>
          <w:fldChar w:fldCharType="separate"/>
        </w:r>
        <w:r w:rsidR="0025732B">
          <w:rPr>
            <w:webHidden/>
          </w:rPr>
          <w:t>52</w:t>
        </w:r>
        <w:r w:rsidR="003327AA">
          <w:rPr>
            <w:webHidden/>
          </w:rPr>
          <w:fldChar w:fldCharType="end"/>
        </w:r>
      </w:hyperlink>
    </w:p>
    <w:p w14:paraId="55AA1BBA" w14:textId="77777777" w:rsidR="003327AA" w:rsidRDefault="00FF0106" w:rsidP="003327AA">
      <w:pPr>
        <w:pStyle w:val="TOC2"/>
        <w:spacing w:after="120"/>
        <w:rPr>
          <w:rFonts w:asciiTheme="minorHAnsi" w:eastAsiaTheme="minorEastAsia" w:hAnsiTheme="minorHAnsi" w:cstheme="minorBidi"/>
          <w:color w:val="auto"/>
          <w:szCs w:val="22"/>
          <w:lang w:eastAsia="en-GB"/>
        </w:rPr>
      </w:pPr>
      <w:hyperlink w:anchor="_Toc450886597" w:history="1">
        <w:r w:rsidR="003327AA" w:rsidRPr="005264F7">
          <w:rPr>
            <w:rStyle w:val="Hyperlink"/>
          </w:rPr>
          <w:t>Annex E: Summary of questions</w:t>
        </w:r>
        <w:r w:rsidR="003327AA">
          <w:rPr>
            <w:webHidden/>
          </w:rPr>
          <w:tab/>
        </w:r>
        <w:r w:rsidR="003327AA">
          <w:rPr>
            <w:webHidden/>
          </w:rPr>
          <w:fldChar w:fldCharType="begin"/>
        </w:r>
        <w:r w:rsidR="003327AA">
          <w:rPr>
            <w:webHidden/>
          </w:rPr>
          <w:instrText xml:space="preserve"> PAGEREF _Toc450886597 \h </w:instrText>
        </w:r>
        <w:r w:rsidR="003327AA">
          <w:rPr>
            <w:webHidden/>
          </w:rPr>
        </w:r>
        <w:r w:rsidR="003327AA">
          <w:rPr>
            <w:webHidden/>
          </w:rPr>
          <w:fldChar w:fldCharType="separate"/>
        </w:r>
        <w:r w:rsidR="0025732B">
          <w:rPr>
            <w:webHidden/>
          </w:rPr>
          <w:t>54</w:t>
        </w:r>
        <w:r w:rsidR="003327AA">
          <w:rPr>
            <w:webHidden/>
          </w:rPr>
          <w:fldChar w:fldCharType="end"/>
        </w:r>
      </w:hyperlink>
    </w:p>
    <w:p w14:paraId="79F69538" w14:textId="77777777" w:rsidR="003327AA" w:rsidRDefault="00FF0106" w:rsidP="003327AA">
      <w:pPr>
        <w:pStyle w:val="TOC2"/>
        <w:spacing w:after="120"/>
        <w:rPr>
          <w:rFonts w:asciiTheme="minorHAnsi" w:eastAsiaTheme="minorEastAsia" w:hAnsiTheme="minorHAnsi" w:cstheme="minorBidi"/>
          <w:color w:val="auto"/>
          <w:szCs w:val="22"/>
          <w:lang w:eastAsia="en-GB"/>
        </w:rPr>
      </w:pPr>
      <w:hyperlink w:anchor="_Toc450886598" w:history="1">
        <w:r w:rsidR="003327AA" w:rsidRPr="005264F7">
          <w:rPr>
            <w:rStyle w:val="Hyperlink"/>
          </w:rPr>
          <w:t>Annex F: Consultation principles</w:t>
        </w:r>
        <w:r w:rsidR="003327AA">
          <w:rPr>
            <w:webHidden/>
          </w:rPr>
          <w:tab/>
        </w:r>
        <w:r w:rsidR="003327AA">
          <w:rPr>
            <w:webHidden/>
          </w:rPr>
          <w:fldChar w:fldCharType="begin"/>
        </w:r>
        <w:r w:rsidR="003327AA">
          <w:rPr>
            <w:webHidden/>
          </w:rPr>
          <w:instrText xml:space="preserve"> PAGEREF _Toc450886598 \h </w:instrText>
        </w:r>
        <w:r w:rsidR="003327AA">
          <w:rPr>
            <w:webHidden/>
          </w:rPr>
        </w:r>
        <w:r w:rsidR="003327AA">
          <w:rPr>
            <w:webHidden/>
          </w:rPr>
          <w:fldChar w:fldCharType="separate"/>
        </w:r>
        <w:r w:rsidR="0025732B">
          <w:rPr>
            <w:webHidden/>
          </w:rPr>
          <w:t>55</w:t>
        </w:r>
        <w:r w:rsidR="003327AA">
          <w:rPr>
            <w:webHidden/>
          </w:rPr>
          <w:fldChar w:fldCharType="end"/>
        </w:r>
      </w:hyperlink>
    </w:p>
    <w:p w14:paraId="03C77FB5" w14:textId="77777777" w:rsidR="003327AA" w:rsidRDefault="00FF0106" w:rsidP="003327AA">
      <w:pPr>
        <w:pStyle w:val="TOC2"/>
        <w:spacing w:after="120"/>
        <w:rPr>
          <w:rFonts w:asciiTheme="minorHAnsi" w:eastAsiaTheme="minorEastAsia" w:hAnsiTheme="minorHAnsi" w:cstheme="minorBidi"/>
          <w:color w:val="auto"/>
          <w:szCs w:val="22"/>
          <w:lang w:eastAsia="en-GB"/>
        </w:rPr>
      </w:pPr>
      <w:hyperlink w:anchor="_Toc450886599" w:history="1">
        <w:r w:rsidR="003327AA" w:rsidRPr="005264F7">
          <w:rPr>
            <w:rStyle w:val="Hyperlink"/>
          </w:rPr>
          <w:t>Annex G: Technical Consultation – How to respond and confidentiality/data protection</w:t>
        </w:r>
        <w:r w:rsidR="003327AA">
          <w:rPr>
            <w:webHidden/>
          </w:rPr>
          <w:tab/>
        </w:r>
        <w:r w:rsidR="003327AA">
          <w:rPr>
            <w:webHidden/>
          </w:rPr>
          <w:fldChar w:fldCharType="begin"/>
        </w:r>
        <w:r w:rsidR="003327AA">
          <w:rPr>
            <w:webHidden/>
          </w:rPr>
          <w:instrText xml:space="preserve"> PAGEREF _Toc450886599 \h </w:instrText>
        </w:r>
        <w:r w:rsidR="003327AA">
          <w:rPr>
            <w:webHidden/>
          </w:rPr>
        </w:r>
        <w:r w:rsidR="003327AA">
          <w:rPr>
            <w:webHidden/>
          </w:rPr>
          <w:fldChar w:fldCharType="separate"/>
        </w:r>
        <w:r w:rsidR="0025732B">
          <w:rPr>
            <w:webHidden/>
          </w:rPr>
          <w:t>56</w:t>
        </w:r>
        <w:r w:rsidR="003327AA">
          <w:rPr>
            <w:webHidden/>
          </w:rPr>
          <w:fldChar w:fldCharType="end"/>
        </w:r>
      </w:hyperlink>
    </w:p>
    <w:p w14:paraId="177AE7B2" w14:textId="77777777" w:rsidR="003327AA" w:rsidRDefault="00FF0106" w:rsidP="003327AA">
      <w:pPr>
        <w:pStyle w:val="TOC2"/>
        <w:spacing w:after="120"/>
        <w:rPr>
          <w:rFonts w:asciiTheme="minorHAnsi" w:eastAsiaTheme="minorEastAsia" w:hAnsiTheme="minorHAnsi" w:cstheme="minorBidi"/>
          <w:color w:val="auto"/>
          <w:szCs w:val="22"/>
          <w:lang w:eastAsia="en-GB"/>
        </w:rPr>
      </w:pPr>
      <w:hyperlink w:anchor="_Toc450886600" w:history="1">
        <w:r w:rsidR="003327AA" w:rsidRPr="005264F7">
          <w:rPr>
            <w:rStyle w:val="Hyperlink"/>
          </w:rPr>
          <w:t>Annex H: TEF Technical Consultation – Response Form</w:t>
        </w:r>
        <w:r w:rsidR="003327AA">
          <w:rPr>
            <w:webHidden/>
          </w:rPr>
          <w:tab/>
        </w:r>
        <w:r w:rsidR="003327AA">
          <w:rPr>
            <w:webHidden/>
          </w:rPr>
          <w:fldChar w:fldCharType="begin"/>
        </w:r>
        <w:r w:rsidR="003327AA">
          <w:rPr>
            <w:webHidden/>
          </w:rPr>
          <w:instrText xml:space="preserve"> PAGEREF _Toc450886600 \h </w:instrText>
        </w:r>
        <w:r w:rsidR="003327AA">
          <w:rPr>
            <w:webHidden/>
          </w:rPr>
        </w:r>
        <w:r w:rsidR="003327AA">
          <w:rPr>
            <w:webHidden/>
          </w:rPr>
          <w:fldChar w:fldCharType="separate"/>
        </w:r>
        <w:r w:rsidR="0025732B">
          <w:rPr>
            <w:webHidden/>
          </w:rPr>
          <w:t>57</w:t>
        </w:r>
        <w:r w:rsidR="003327AA">
          <w:rPr>
            <w:webHidden/>
          </w:rPr>
          <w:fldChar w:fldCharType="end"/>
        </w:r>
      </w:hyperlink>
    </w:p>
    <w:p w14:paraId="61176031" w14:textId="77777777" w:rsidR="003327AA" w:rsidRDefault="00FF0106" w:rsidP="003327AA">
      <w:pPr>
        <w:pStyle w:val="TOC2"/>
        <w:spacing w:after="120"/>
        <w:rPr>
          <w:rFonts w:asciiTheme="minorHAnsi" w:eastAsiaTheme="minorEastAsia" w:hAnsiTheme="minorHAnsi" w:cstheme="minorBidi"/>
          <w:color w:val="auto"/>
          <w:szCs w:val="22"/>
          <w:lang w:eastAsia="en-GB"/>
        </w:rPr>
      </w:pPr>
      <w:hyperlink w:anchor="_Toc450886601" w:history="1">
        <w:r w:rsidR="003327AA" w:rsidRPr="005264F7">
          <w:rPr>
            <w:rStyle w:val="Hyperlink"/>
          </w:rPr>
          <w:t>Annex I: Acknowledgements</w:t>
        </w:r>
        <w:r w:rsidR="003327AA">
          <w:rPr>
            <w:webHidden/>
          </w:rPr>
          <w:tab/>
        </w:r>
        <w:r w:rsidR="003327AA">
          <w:rPr>
            <w:webHidden/>
          </w:rPr>
          <w:fldChar w:fldCharType="begin"/>
        </w:r>
        <w:r w:rsidR="003327AA">
          <w:rPr>
            <w:webHidden/>
          </w:rPr>
          <w:instrText xml:space="preserve"> PAGEREF _Toc450886601 \h </w:instrText>
        </w:r>
        <w:r w:rsidR="003327AA">
          <w:rPr>
            <w:webHidden/>
          </w:rPr>
        </w:r>
        <w:r w:rsidR="003327AA">
          <w:rPr>
            <w:webHidden/>
          </w:rPr>
          <w:fldChar w:fldCharType="separate"/>
        </w:r>
        <w:r w:rsidR="0025732B">
          <w:rPr>
            <w:webHidden/>
          </w:rPr>
          <w:t>62</w:t>
        </w:r>
        <w:r w:rsidR="003327AA">
          <w:rPr>
            <w:webHidden/>
          </w:rPr>
          <w:fldChar w:fldCharType="end"/>
        </w:r>
      </w:hyperlink>
    </w:p>
    <w:p w14:paraId="1A9922AC" w14:textId="1F3B7859" w:rsidR="002615F0" w:rsidRPr="00346864" w:rsidRDefault="00017E33" w:rsidP="003327AA">
      <w:pPr>
        <w:pStyle w:val="TOC1"/>
        <w:spacing w:after="120"/>
      </w:pPr>
      <w:r>
        <w:fldChar w:fldCharType="end"/>
      </w:r>
      <w:r w:rsidR="00DC42AA">
        <w:fldChar w:fldCharType="begin"/>
      </w:r>
      <w:r w:rsidR="00DC42AA">
        <w:instrText xml:space="preserve"> TOC \o "2-3" \h \z \t "Heading 1,1" </w:instrText>
      </w:r>
      <w:r w:rsidR="00DC42AA">
        <w:fldChar w:fldCharType="separate"/>
      </w:r>
    </w:p>
    <w:p w14:paraId="0324AC62" w14:textId="46B4C020" w:rsidR="00DC42AA" w:rsidRDefault="00DC42AA" w:rsidP="00DC42AA">
      <w:pPr>
        <w:pStyle w:val="Heading1"/>
      </w:pPr>
      <w:r>
        <w:rPr>
          <w:sz w:val="22"/>
        </w:rPr>
        <w:lastRenderedPageBreak/>
        <w:fldChar w:fldCharType="end"/>
      </w:r>
      <w:bookmarkStart w:id="1" w:name="_Toc450147967"/>
      <w:bookmarkStart w:id="2" w:name="_Toc450886537"/>
      <w:bookmarkStart w:id="3" w:name="OLE_LINK2"/>
      <w:bookmarkStart w:id="4" w:name="OLE_LINK3"/>
      <w:bookmarkEnd w:id="0"/>
      <w:r>
        <w:t>Teaching Excellence Framework Technical Consultation</w:t>
      </w:r>
      <w:bookmarkEnd w:id="1"/>
      <w:bookmarkEnd w:id="2"/>
      <w:r>
        <w:t xml:space="preserve"> </w:t>
      </w:r>
    </w:p>
    <w:p w14:paraId="30F5DFFA" w14:textId="77777777" w:rsidR="006E38F3" w:rsidRPr="00CE773C" w:rsidRDefault="006E38F3" w:rsidP="006E38F3">
      <w:pPr>
        <w:pStyle w:val="Default"/>
      </w:pPr>
      <w:r w:rsidRPr="00935A71">
        <w:t xml:space="preserve">This consultation is of primary relevance to higher education providers, students and employers, as well as others with an interest in higher education, including representative </w:t>
      </w:r>
      <w:r w:rsidRPr="00CE773C">
        <w:t xml:space="preserve">bodies, professional, statutory and regulatory bodies, and academic support organisations. </w:t>
      </w:r>
    </w:p>
    <w:p w14:paraId="639E5263" w14:textId="77777777" w:rsidR="006E38F3" w:rsidRPr="00CE773C" w:rsidRDefault="006E38F3" w:rsidP="006E38F3">
      <w:pPr>
        <w:pStyle w:val="Default"/>
      </w:pPr>
    </w:p>
    <w:p w14:paraId="4BCB8544" w14:textId="77777777" w:rsidR="00CE773C" w:rsidRDefault="00CE773C" w:rsidP="00CE773C">
      <w:pPr>
        <w:pStyle w:val="Default"/>
      </w:pPr>
      <w:r>
        <w:t>Higher education in the UK is a devolved matter</w:t>
      </w:r>
      <w:r w:rsidRPr="008F34A5">
        <w:t>. This consultation applies to higher education providers in En</w:t>
      </w:r>
      <w:r w:rsidR="000D32D7">
        <w:t>gland. At the time of writing, we are working with t</w:t>
      </w:r>
      <w:r w:rsidRPr="008F34A5">
        <w:t xml:space="preserve">he Devolved Administrations </w:t>
      </w:r>
      <w:r w:rsidR="000D32D7">
        <w:t xml:space="preserve">who </w:t>
      </w:r>
      <w:r w:rsidRPr="008F34A5">
        <w:t xml:space="preserve">are considering whether or not providers in Wales, Northern Ireland and Scotland will take part in the TEF in Year </w:t>
      </w:r>
      <w:r w:rsidR="000D32D7">
        <w:t>Two</w:t>
      </w:r>
      <w:r w:rsidR="00D20D0C">
        <w:rPr>
          <w:rStyle w:val="FootnoteReference"/>
        </w:rPr>
        <w:footnoteReference w:id="2"/>
      </w:r>
      <w:r w:rsidRPr="008F34A5">
        <w:t>. The extent to which the proposals set out here will apply in these countries will therefore be made clear when Government responds to this consultation in autumn 2016.</w:t>
      </w:r>
    </w:p>
    <w:p w14:paraId="59C471B8" w14:textId="77777777" w:rsidR="006E38F3" w:rsidRPr="00935A71" w:rsidRDefault="006E38F3" w:rsidP="006E38F3">
      <w:pPr>
        <w:autoSpaceDE w:val="0"/>
        <w:autoSpaceDN w:val="0"/>
        <w:adjustRightInd w:val="0"/>
        <w:spacing w:after="0"/>
        <w:rPr>
          <w:rFonts w:cs="Arial"/>
        </w:rPr>
      </w:pPr>
    </w:p>
    <w:p w14:paraId="604B8EE3" w14:textId="77777777" w:rsidR="006E38F3" w:rsidRPr="00935A71" w:rsidRDefault="006E38F3" w:rsidP="006E38F3">
      <w:pPr>
        <w:autoSpaceDE w:val="0"/>
        <w:autoSpaceDN w:val="0"/>
        <w:adjustRightInd w:val="0"/>
        <w:spacing w:after="0"/>
        <w:rPr>
          <w:rFonts w:cs="Arial"/>
        </w:rPr>
      </w:pPr>
      <w:r w:rsidRPr="00935A71">
        <w:rPr>
          <w:rFonts w:cs="Arial"/>
        </w:rPr>
        <w:t>This consultation presents detailed proposals for:</w:t>
      </w:r>
    </w:p>
    <w:p w14:paraId="4DB57BA5" w14:textId="77777777" w:rsidR="006E38F3" w:rsidRPr="00935A71" w:rsidRDefault="004050DF" w:rsidP="00AF7684">
      <w:pPr>
        <w:pStyle w:val="ListParagraph"/>
        <w:numPr>
          <w:ilvl w:val="0"/>
          <w:numId w:val="3"/>
        </w:numPr>
        <w:autoSpaceDE w:val="0"/>
        <w:autoSpaceDN w:val="0"/>
        <w:adjustRightInd w:val="0"/>
        <w:spacing w:after="0" w:line="240" w:lineRule="auto"/>
        <w:contextualSpacing w:val="0"/>
        <w:rPr>
          <w:rFonts w:ascii="Arial" w:hAnsi="Arial" w:cs="Arial"/>
          <w:sz w:val="24"/>
          <w:szCs w:val="24"/>
        </w:rPr>
      </w:pPr>
      <w:r>
        <w:rPr>
          <w:rFonts w:ascii="Arial" w:hAnsi="Arial" w:cs="Arial"/>
          <w:sz w:val="24"/>
          <w:szCs w:val="24"/>
        </w:rPr>
        <w:t xml:space="preserve">how </w:t>
      </w:r>
      <w:r w:rsidR="00011F22">
        <w:rPr>
          <w:rFonts w:ascii="Arial" w:hAnsi="Arial" w:cs="Arial"/>
          <w:sz w:val="24"/>
          <w:szCs w:val="24"/>
        </w:rPr>
        <w:t xml:space="preserve">the TEF will </w:t>
      </w:r>
      <w:r w:rsidR="006E38F3" w:rsidRPr="00935A71">
        <w:rPr>
          <w:rFonts w:ascii="Arial" w:hAnsi="Arial" w:cs="Arial"/>
          <w:sz w:val="24"/>
          <w:szCs w:val="24"/>
        </w:rPr>
        <w:t>assess teaching excellence;</w:t>
      </w:r>
    </w:p>
    <w:p w14:paraId="46555955" w14:textId="77777777" w:rsidR="00D20D0C" w:rsidRPr="00D52442" w:rsidRDefault="00D35F30" w:rsidP="00AF7684">
      <w:pPr>
        <w:pStyle w:val="ListParagraph"/>
        <w:numPr>
          <w:ilvl w:val="0"/>
          <w:numId w:val="3"/>
        </w:numPr>
        <w:autoSpaceDE w:val="0"/>
        <w:autoSpaceDN w:val="0"/>
        <w:adjustRightInd w:val="0"/>
        <w:spacing w:after="0" w:line="240" w:lineRule="auto"/>
        <w:contextualSpacing w:val="0"/>
        <w:rPr>
          <w:rFonts w:ascii="Arial" w:hAnsi="Arial" w:cs="Arial"/>
          <w:sz w:val="24"/>
          <w:szCs w:val="24"/>
        </w:rPr>
      </w:pPr>
      <w:r>
        <w:rPr>
          <w:rFonts w:ascii="Arial" w:hAnsi="Arial" w:cs="Arial"/>
          <w:sz w:val="24"/>
          <w:szCs w:val="24"/>
        </w:rPr>
        <w:t>the criteria t</w:t>
      </w:r>
      <w:r w:rsidR="00011F22">
        <w:rPr>
          <w:rFonts w:ascii="Arial" w:hAnsi="Arial" w:cs="Arial"/>
          <w:sz w:val="24"/>
          <w:szCs w:val="24"/>
        </w:rPr>
        <w:t>hat will define teaching excellence</w:t>
      </w:r>
      <w:r>
        <w:rPr>
          <w:rFonts w:ascii="Arial" w:hAnsi="Arial" w:cs="Arial"/>
          <w:sz w:val="24"/>
          <w:szCs w:val="24"/>
        </w:rPr>
        <w:t>;</w:t>
      </w:r>
    </w:p>
    <w:p w14:paraId="5350FD66" w14:textId="77777777" w:rsidR="006E38F3" w:rsidRPr="00935A71" w:rsidRDefault="004050DF" w:rsidP="00AF7684">
      <w:pPr>
        <w:pStyle w:val="ListParagraph"/>
        <w:numPr>
          <w:ilvl w:val="0"/>
          <w:numId w:val="3"/>
        </w:numPr>
        <w:autoSpaceDE w:val="0"/>
        <w:autoSpaceDN w:val="0"/>
        <w:adjustRightInd w:val="0"/>
        <w:spacing w:after="0" w:line="240" w:lineRule="auto"/>
        <w:contextualSpacing w:val="0"/>
        <w:rPr>
          <w:rFonts w:ascii="Arial" w:hAnsi="Arial" w:cs="Arial"/>
          <w:sz w:val="24"/>
          <w:szCs w:val="24"/>
        </w:rPr>
      </w:pPr>
      <w:r>
        <w:rPr>
          <w:rFonts w:ascii="Arial" w:hAnsi="Arial" w:cs="Arial"/>
          <w:sz w:val="24"/>
          <w:szCs w:val="24"/>
        </w:rPr>
        <w:t xml:space="preserve">how </w:t>
      </w:r>
      <w:r w:rsidR="006E38F3" w:rsidRPr="00935A71">
        <w:rPr>
          <w:rFonts w:ascii="Arial" w:hAnsi="Arial" w:cs="Arial"/>
          <w:sz w:val="24"/>
          <w:szCs w:val="24"/>
        </w:rPr>
        <w:t>judgements about excellence will be made, including the</w:t>
      </w:r>
      <w:r w:rsidR="00F907E0">
        <w:rPr>
          <w:rFonts w:ascii="Arial" w:hAnsi="Arial" w:cs="Arial"/>
          <w:sz w:val="24"/>
          <w:szCs w:val="24"/>
        </w:rPr>
        <w:t xml:space="preserve"> evidence base and use of core</w:t>
      </w:r>
      <w:r w:rsidR="006E38F3" w:rsidRPr="00935A71">
        <w:rPr>
          <w:rFonts w:ascii="Arial" w:hAnsi="Arial" w:cs="Arial"/>
          <w:sz w:val="24"/>
          <w:szCs w:val="24"/>
        </w:rPr>
        <w:t xml:space="preserve"> metrics;</w:t>
      </w:r>
    </w:p>
    <w:p w14:paraId="651624FE" w14:textId="77777777" w:rsidR="006E38F3" w:rsidRPr="00935A71" w:rsidRDefault="00D35F30" w:rsidP="00AF7684">
      <w:pPr>
        <w:pStyle w:val="ListParagraph"/>
        <w:numPr>
          <w:ilvl w:val="0"/>
          <w:numId w:val="3"/>
        </w:numPr>
        <w:autoSpaceDE w:val="0"/>
        <w:autoSpaceDN w:val="0"/>
        <w:adjustRightInd w:val="0"/>
        <w:spacing w:after="0" w:line="240" w:lineRule="auto"/>
        <w:contextualSpacing w:val="0"/>
        <w:rPr>
          <w:rFonts w:ascii="Arial" w:hAnsi="Arial" w:cs="Arial"/>
          <w:sz w:val="24"/>
          <w:szCs w:val="24"/>
        </w:rPr>
      </w:pPr>
      <w:proofErr w:type="gramStart"/>
      <w:r>
        <w:rPr>
          <w:rFonts w:ascii="Arial" w:hAnsi="Arial" w:cs="Arial"/>
          <w:sz w:val="24"/>
          <w:szCs w:val="24"/>
        </w:rPr>
        <w:t>how</w:t>
      </w:r>
      <w:proofErr w:type="gramEnd"/>
      <w:r>
        <w:rPr>
          <w:rFonts w:ascii="Arial" w:hAnsi="Arial" w:cs="Arial"/>
          <w:sz w:val="24"/>
          <w:szCs w:val="24"/>
        </w:rPr>
        <w:t xml:space="preserve"> </w:t>
      </w:r>
      <w:r w:rsidR="006E38F3" w:rsidRPr="00935A71">
        <w:rPr>
          <w:rFonts w:ascii="Arial" w:hAnsi="Arial" w:cs="Arial"/>
          <w:sz w:val="24"/>
          <w:szCs w:val="24"/>
        </w:rPr>
        <w:t xml:space="preserve">TEF outcomes will be </w:t>
      </w:r>
      <w:r>
        <w:rPr>
          <w:rFonts w:ascii="Arial" w:hAnsi="Arial" w:cs="Arial"/>
          <w:sz w:val="24"/>
          <w:szCs w:val="24"/>
        </w:rPr>
        <w:t>communicated</w:t>
      </w:r>
      <w:r w:rsidR="006E38F3" w:rsidRPr="00935A71">
        <w:rPr>
          <w:rFonts w:ascii="Arial" w:hAnsi="Arial" w:cs="Arial"/>
          <w:sz w:val="24"/>
          <w:szCs w:val="24"/>
        </w:rPr>
        <w:t>.</w:t>
      </w:r>
    </w:p>
    <w:p w14:paraId="1D96168B" w14:textId="77777777" w:rsidR="006E38F3" w:rsidRPr="000377CF" w:rsidRDefault="006E38F3" w:rsidP="006E38F3">
      <w:pPr>
        <w:autoSpaceDE w:val="0"/>
        <w:autoSpaceDN w:val="0"/>
        <w:adjustRightInd w:val="0"/>
        <w:spacing w:after="0"/>
        <w:rPr>
          <w:rFonts w:cs="Arial"/>
          <w:color w:val="FF0000"/>
        </w:rPr>
      </w:pPr>
    </w:p>
    <w:p w14:paraId="21EB860D" w14:textId="19491513" w:rsidR="00A06E68" w:rsidRDefault="00596955" w:rsidP="008D6465">
      <w:pPr>
        <w:autoSpaceDE w:val="0"/>
        <w:autoSpaceDN w:val="0"/>
        <w:adjustRightInd w:val="0"/>
        <w:spacing w:after="0"/>
      </w:pPr>
      <w:r>
        <w:t>The White Pape</w:t>
      </w:r>
      <w:r w:rsidRPr="00596955">
        <w:t>r</w:t>
      </w:r>
      <w:r>
        <w:t>:</w:t>
      </w:r>
      <w:r w:rsidRPr="00596955">
        <w:t xml:space="preserve"> </w:t>
      </w:r>
      <w:r w:rsidRPr="00596955">
        <w:rPr>
          <w:i/>
        </w:rPr>
        <w:t>Success as a Knowledge Economy: Teaching Excellence, Social Mobility and Student Choice</w:t>
      </w:r>
      <w:r w:rsidRPr="00596955">
        <w:t xml:space="preserve"> </w:t>
      </w:r>
      <w:proofErr w:type="gramStart"/>
      <w:r w:rsidR="005C68B2">
        <w:t>outlines</w:t>
      </w:r>
      <w:proofErr w:type="gramEnd"/>
      <w:r w:rsidR="005C68B2">
        <w:t xml:space="preserve"> the development of the TEF in </w:t>
      </w:r>
      <w:r w:rsidR="00011F22">
        <w:t xml:space="preserve">a </w:t>
      </w:r>
      <w:r w:rsidR="005C68B2">
        <w:t>high level ov</w:t>
      </w:r>
      <w:r w:rsidR="00A06E68">
        <w:t xml:space="preserve">erview across Years One to Four and covers the operation of the TEF in </w:t>
      </w:r>
      <w:r w:rsidR="00A06E68" w:rsidRPr="00D52442">
        <w:rPr>
          <w:b/>
        </w:rPr>
        <w:t>Year One</w:t>
      </w:r>
      <w:r w:rsidR="00A06E68">
        <w:t>.</w:t>
      </w:r>
    </w:p>
    <w:p w14:paraId="638252FF" w14:textId="77777777" w:rsidR="00A06E68" w:rsidRDefault="00A06E68" w:rsidP="008D6465">
      <w:pPr>
        <w:autoSpaceDE w:val="0"/>
        <w:autoSpaceDN w:val="0"/>
        <w:adjustRightInd w:val="0"/>
        <w:spacing w:after="0"/>
      </w:pPr>
    </w:p>
    <w:p w14:paraId="19B6FC45" w14:textId="0BB0142A" w:rsidR="000D390F" w:rsidRDefault="005C68B2" w:rsidP="008D6465">
      <w:pPr>
        <w:autoSpaceDE w:val="0"/>
        <w:autoSpaceDN w:val="0"/>
        <w:adjustRightInd w:val="0"/>
        <w:spacing w:after="0"/>
      </w:pPr>
      <w:r>
        <w:rPr>
          <w:rFonts w:cs="Arial"/>
        </w:rPr>
        <w:t xml:space="preserve">This </w:t>
      </w:r>
      <w:r w:rsidR="006E38F3" w:rsidRPr="006A0B80">
        <w:rPr>
          <w:rFonts w:cs="Arial"/>
        </w:rPr>
        <w:t>consultation applies to the ope</w:t>
      </w:r>
      <w:r w:rsidR="008D6465" w:rsidRPr="006A0B80">
        <w:rPr>
          <w:rFonts w:cs="Arial"/>
        </w:rPr>
        <w:t xml:space="preserve">ration of the TEF in </w:t>
      </w:r>
      <w:r w:rsidR="008D6465" w:rsidRPr="000E42CE">
        <w:rPr>
          <w:rFonts w:cs="Arial"/>
          <w:b/>
        </w:rPr>
        <w:t xml:space="preserve">Year </w:t>
      </w:r>
      <w:r w:rsidR="000D32D7" w:rsidRPr="000E42CE">
        <w:rPr>
          <w:rFonts w:cs="Arial"/>
          <w:b/>
        </w:rPr>
        <w:t>Two</w:t>
      </w:r>
      <w:r w:rsidR="008D6465" w:rsidRPr="006A0B80">
        <w:rPr>
          <w:rFonts w:cs="Arial"/>
        </w:rPr>
        <w:t>, which corresponds to the academic year 201</w:t>
      </w:r>
      <w:r w:rsidR="001F65FA" w:rsidRPr="006A0B80">
        <w:rPr>
          <w:rFonts w:cs="Arial"/>
        </w:rPr>
        <w:t>6</w:t>
      </w:r>
      <w:r w:rsidR="008D6465" w:rsidRPr="006A0B80">
        <w:rPr>
          <w:rFonts w:cs="Arial"/>
        </w:rPr>
        <w:t>/1</w:t>
      </w:r>
      <w:r w:rsidR="001F65FA" w:rsidRPr="006A0B80">
        <w:rPr>
          <w:rFonts w:cs="Arial"/>
        </w:rPr>
        <w:t>7</w:t>
      </w:r>
      <w:r w:rsidR="008D6465" w:rsidRPr="006A0B80">
        <w:rPr>
          <w:rFonts w:cs="Arial"/>
        </w:rPr>
        <w:t xml:space="preserve">, when assessment takes place and </w:t>
      </w:r>
      <w:r>
        <w:t xml:space="preserve">TEF outcomes are published. TEF </w:t>
      </w:r>
      <w:r w:rsidR="008769B0">
        <w:t>a</w:t>
      </w:r>
      <w:r w:rsidR="000D390F">
        <w:t xml:space="preserve">wards made in Year Two will be </w:t>
      </w:r>
      <w:r w:rsidR="00C97F2D">
        <w:t>primarily</w:t>
      </w:r>
      <w:r w:rsidR="000D390F">
        <w:t xml:space="preserve"> </w:t>
      </w:r>
      <w:r w:rsidR="00C97F2D">
        <w:t>relevant</w:t>
      </w:r>
      <w:r w:rsidR="000E42CE">
        <w:t xml:space="preserve"> </w:t>
      </w:r>
      <w:r w:rsidR="00C21CD5" w:rsidRPr="006A0B80">
        <w:t>to the</w:t>
      </w:r>
      <w:r w:rsidR="000D390F">
        <w:t xml:space="preserve"> decision-making of the</w:t>
      </w:r>
      <w:r w:rsidR="00C21CD5" w:rsidRPr="006A0B80">
        <w:t xml:space="preserve"> </w:t>
      </w:r>
      <w:r w:rsidR="000D390F">
        <w:t xml:space="preserve">cohort of </w:t>
      </w:r>
      <w:r w:rsidR="00C21CD5" w:rsidRPr="006A0B80">
        <w:t>student</w:t>
      </w:r>
      <w:r w:rsidR="000D390F">
        <w:t>s</w:t>
      </w:r>
      <w:r w:rsidR="00C21CD5" w:rsidRPr="006A0B80">
        <w:t xml:space="preserve"> </w:t>
      </w:r>
      <w:r w:rsidR="00C21CD5">
        <w:t>applying</w:t>
      </w:r>
      <w:r w:rsidR="00C21CD5" w:rsidRPr="006A0B80">
        <w:t xml:space="preserve"> in 2017/18</w:t>
      </w:r>
      <w:r w:rsidR="000D390F">
        <w:t xml:space="preserve"> for courses</w:t>
      </w:r>
      <w:r w:rsidR="00C21CD5">
        <w:t xml:space="preserve"> starting in 2018/19</w:t>
      </w:r>
      <w:r w:rsidR="00346864">
        <w:t>.</w:t>
      </w:r>
      <w:r w:rsidR="000D390F">
        <w:rPr>
          <w:rStyle w:val="FootnoteReference"/>
        </w:rPr>
        <w:footnoteReference w:id="3"/>
      </w:r>
      <w:r w:rsidR="00C21CD5" w:rsidRPr="006A0B80">
        <w:t xml:space="preserve"> </w:t>
      </w:r>
    </w:p>
    <w:p w14:paraId="1BF8B1AB" w14:textId="77777777" w:rsidR="000D390F" w:rsidRDefault="000D390F" w:rsidP="008D6465">
      <w:pPr>
        <w:autoSpaceDE w:val="0"/>
        <w:autoSpaceDN w:val="0"/>
        <w:adjustRightInd w:val="0"/>
        <w:spacing w:after="0"/>
      </w:pPr>
    </w:p>
    <w:p w14:paraId="2EC4B55A" w14:textId="3F0EE2EA" w:rsidR="00DC42AA" w:rsidRPr="00935A71" w:rsidRDefault="00DC42AA" w:rsidP="00C94052">
      <w:pPr>
        <w:spacing w:after="0"/>
      </w:pPr>
      <w:r w:rsidRPr="00935A71">
        <w:rPr>
          <w:rStyle w:val="Strong"/>
        </w:rPr>
        <w:t>Issued</w:t>
      </w:r>
      <w:r w:rsidRPr="00935A71">
        <w:t>:</w:t>
      </w:r>
      <w:r w:rsidR="009D15D8">
        <w:t xml:space="preserve"> </w:t>
      </w:r>
      <w:r w:rsidR="00FC6B63">
        <w:t>16</w:t>
      </w:r>
      <w:r w:rsidR="00596955">
        <w:t>/05/16</w:t>
      </w:r>
    </w:p>
    <w:p w14:paraId="4B1BF1F9" w14:textId="77777777" w:rsidR="00C94052" w:rsidRPr="00C94052" w:rsidRDefault="00C94052" w:rsidP="00C94052">
      <w:pPr>
        <w:spacing w:after="0"/>
        <w:rPr>
          <w:rStyle w:val="Strong"/>
          <w:sz w:val="16"/>
          <w:szCs w:val="16"/>
        </w:rPr>
      </w:pPr>
    </w:p>
    <w:p w14:paraId="4B6E1B6E" w14:textId="2E92C971" w:rsidR="00DC42AA" w:rsidRPr="00935A71" w:rsidRDefault="00DC42AA" w:rsidP="00C94052">
      <w:pPr>
        <w:spacing w:after="0"/>
      </w:pPr>
      <w:r w:rsidRPr="00935A71">
        <w:rPr>
          <w:rStyle w:val="Strong"/>
        </w:rPr>
        <w:t>Respond by</w:t>
      </w:r>
      <w:r w:rsidRPr="00935A71">
        <w:t>:</w:t>
      </w:r>
      <w:r w:rsidR="009D15D8">
        <w:t xml:space="preserve"> </w:t>
      </w:r>
      <w:r w:rsidR="00FC6B63">
        <w:t>1</w:t>
      </w:r>
      <w:r w:rsidR="00FE2F3E">
        <w:t>2</w:t>
      </w:r>
      <w:r w:rsidR="00596955">
        <w:t>/</w:t>
      </w:r>
      <w:r w:rsidR="00426357">
        <w:t>07/2016</w:t>
      </w:r>
    </w:p>
    <w:p w14:paraId="0A1EB726" w14:textId="77777777" w:rsidR="00C94052" w:rsidRPr="00C94052" w:rsidRDefault="00C94052" w:rsidP="00C94052">
      <w:pPr>
        <w:pStyle w:val="Default"/>
        <w:rPr>
          <w:rStyle w:val="Strong"/>
          <w:sz w:val="16"/>
          <w:szCs w:val="16"/>
        </w:rPr>
      </w:pPr>
    </w:p>
    <w:p w14:paraId="5A1F2DB7" w14:textId="77777777" w:rsidR="008C77F5" w:rsidRDefault="00DC42AA" w:rsidP="00C94052">
      <w:pPr>
        <w:pStyle w:val="Default"/>
      </w:pPr>
      <w:r w:rsidRPr="00935A71">
        <w:rPr>
          <w:rStyle w:val="Strong"/>
        </w:rPr>
        <w:t>Enquiries to</w:t>
      </w:r>
      <w:r w:rsidRPr="00935A71">
        <w:t xml:space="preserve">: </w:t>
      </w:r>
    </w:p>
    <w:p w14:paraId="7929AEC0" w14:textId="450ADB8D" w:rsidR="008C77F5" w:rsidRPr="008C77F5" w:rsidRDefault="008740BF" w:rsidP="008C77F5">
      <w:pPr>
        <w:pStyle w:val="Default"/>
      </w:pPr>
      <w:r>
        <w:t>Adam Gray</w:t>
      </w:r>
    </w:p>
    <w:p w14:paraId="4F2203D2" w14:textId="77777777" w:rsidR="008C77F5" w:rsidRPr="008C77F5" w:rsidRDefault="008C77F5" w:rsidP="008C77F5">
      <w:pPr>
        <w:autoSpaceDE w:val="0"/>
        <w:autoSpaceDN w:val="0"/>
        <w:adjustRightInd w:val="0"/>
        <w:spacing w:after="0"/>
        <w:rPr>
          <w:rFonts w:eastAsiaTheme="minorHAnsi" w:cs="Arial"/>
          <w:color w:val="000000"/>
        </w:rPr>
      </w:pPr>
      <w:r w:rsidRPr="008C77F5">
        <w:rPr>
          <w:rFonts w:eastAsiaTheme="minorHAnsi" w:cs="Arial"/>
          <w:color w:val="000000"/>
        </w:rPr>
        <w:t xml:space="preserve">Higher Education </w:t>
      </w:r>
    </w:p>
    <w:p w14:paraId="66F963BB" w14:textId="77777777" w:rsidR="008C77F5" w:rsidRPr="008C77F5" w:rsidRDefault="008C77F5" w:rsidP="008C77F5">
      <w:pPr>
        <w:autoSpaceDE w:val="0"/>
        <w:autoSpaceDN w:val="0"/>
        <w:adjustRightInd w:val="0"/>
        <w:spacing w:after="0"/>
        <w:rPr>
          <w:rFonts w:eastAsiaTheme="minorHAnsi" w:cs="Arial"/>
          <w:color w:val="000000"/>
        </w:rPr>
      </w:pPr>
      <w:r w:rsidRPr="008C77F5">
        <w:rPr>
          <w:rFonts w:eastAsiaTheme="minorHAnsi" w:cs="Arial"/>
          <w:color w:val="000000"/>
        </w:rPr>
        <w:t xml:space="preserve">Department for Business, Innovation and Skills </w:t>
      </w:r>
    </w:p>
    <w:p w14:paraId="0873F1FA" w14:textId="77777777" w:rsidR="008C77F5" w:rsidRPr="008C77F5" w:rsidRDefault="008C77F5" w:rsidP="008C77F5">
      <w:pPr>
        <w:autoSpaceDE w:val="0"/>
        <w:autoSpaceDN w:val="0"/>
        <w:adjustRightInd w:val="0"/>
        <w:spacing w:after="0"/>
        <w:rPr>
          <w:rFonts w:eastAsiaTheme="minorHAnsi"/>
        </w:rPr>
      </w:pPr>
      <w:r w:rsidRPr="008C77F5">
        <w:rPr>
          <w:rFonts w:eastAsiaTheme="minorHAnsi"/>
        </w:rPr>
        <w:t xml:space="preserve">Level 5, 1 Victoria Street </w:t>
      </w:r>
    </w:p>
    <w:p w14:paraId="6316ACA8" w14:textId="77777777" w:rsidR="008C77F5" w:rsidRPr="008C77F5" w:rsidRDefault="008C77F5" w:rsidP="008C77F5">
      <w:pPr>
        <w:autoSpaceDE w:val="0"/>
        <w:autoSpaceDN w:val="0"/>
        <w:adjustRightInd w:val="0"/>
        <w:spacing w:after="0"/>
        <w:rPr>
          <w:rFonts w:eastAsiaTheme="minorHAnsi" w:cs="Arial"/>
          <w:color w:val="000000"/>
        </w:rPr>
      </w:pPr>
      <w:r w:rsidRPr="008C77F5">
        <w:rPr>
          <w:rFonts w:eastAsiaTheme="minorHAnsi" w:cs="Arial"/>
          <w:color w:val="000000"/>
        </w:rPr>
        <w:t>London</w:t>
      </w:r>
    </w:p>
    <w:p w14:paraId="77EA82A4" w14:textId="77777777" w:rsidR="00512E3F" w:rsidRPr="001D22FA" w:rsidRDefault="008C77F5" w:rsidP="00DC42AA">
      <w:pPr>
        <w:rPr>
          <w:rFonts w:eastAsiaTheme="minorHAnsi" w:cs="Arial"/>
          <w:color w:val="000000"/>
        </w:rPr>
      </w:pPr>
      <w:r w:rsidRPr="008C77F5">
        <w:rPr>
          <w:rFonts w:eastAsiaTheme="minorHAnsi" w:cs="Arial"/>
          <w:color w:val="000000"/>
        </w:rPr>
        <w:t>SW1H 0ET</w:t>
      </w:r>
    </w:p>
    <w:p w14:paraId="7AA2D711" w14:textId="10BC43E2" w:rsidR="00E51D2A" w:rsidRDefault="008C77F5" w:rsidP="00011F22">
      <w:r w:rsidRPr="008C77F5">
        <w:rPr>
          <w:rFonts w:eastAsiaTheme="minorHAnsi" w:cs="Arial"/>
          <w:b/>
          <w:color w:val="000000"/>
        </w:rPr>
        <w:t>Email:</w:t>
      </w:r>
      <w:r w:rsidRPr="008C77F5">
        <w:rPr>
          <w:rFonts w:eastAsiaTheme="minorHAnsi" w:cs="Arial"/>
          <w:color w:val="000000"/>
        </w:rPr>
        <w:t xml:space="preserve"> </w:t>
      </w:r>
      <w:hyperlink r:id="rId14" w:history="1">
        <w:r w:rsidR="00560CEF" w:rsidRPr="00157F41">
          <w:rPr>
            <w:rStyle w:val="Hyperlink"/>
            <w:rFonts w:eastAsiaTheme="minorHAnsi" w:cs="Arial"/>
          </w:rPr>
          <w:t>TEF.techconsultation@bis.gsi.gov.uk</w:t>
        </w:r>
      </w:hyperlink>
      <w:r w:rsidR="00560CEF">
        <w:rPr>
          <w:rFonts w:eastAsiaTheme="minorHAnsi" w:cs="Arial"/>
          <w:color w:val="000000"/>
        </w:rPr>
        <w:t xml:space="preserve"> </w:t>
      </w:r>
    </w:p>
    <w:p w14:paraId="5421B35E" w14:textId="77777777" w:rsidR="00DC42AA" w:rsidRDefault="00DC42AA" w:rsidP="00FD0E93">
      <w:pPr>
        <w:pStyle w:val="Heading2"/>
        <w:spacing w:after="0"/>
        <w:ind w:hanging="284"/>
      </w:pPr>
      <w:bookmarkStart w:id="5" w:name="_Toc450147968"/>
      <w:bookmarkStart w:id="6" w:name="_Toc450886538"/>
      <w:r>
        <w:lastRenderedPageBreak/>
        <w:t>Introduction</w:t>
      </w:r>
      <w:bookmarkEnd w:id="5"/>
      <w:bookmarkEnd w:id="6"/>
    </w:p>
    <w:p w14:paraId="6708C6EB" w14:textId="532E12B3" w:rsidR="00D1182A" w:rsidRPr="00D1182A" w:rsidRDefault="006E38F3" w:rsidP="00AF7684">
      <w:pPr>
        <w:pStyle w:val="ListParagraph"/>
        <w:numPr>
          <w:ilvl w:val="0"/>
          <w:numId w:val="18"/>
        </w:numPr>
        <w:spacing w:after="0"/>
        <w:ind w:left="0" w:hanging="284"/>
        <w:rPr>
          <w:rFonts w:ascii="Arial" w:hAnsi="Arial" w:cs="Arial"/>
          <w:b/>
          <w:sz w:val="24"/>
          <w:szCs w:val="24"/>
        </w:rPr>
      </w:pPr>
      <w:r w:rsidRPr="00D1182A">
        <w:rPr>
          <w:rFonts w:ascii="Arial" w:hAnsi="Arial" w:cs="Arial"/>
          <w:b/>
          <w:bCs/>
          <w:color w:val="000000"/>
          <w:sz w:val="24"/>
          <w:szCs w:val="24"/>
        </w:rPr>
        <w:t>The White Paper</w:t>
      </w:r>
      <w:r w:rsidR="00680815">
        <w:rPr>
          <w:rFonts w:ascii="Arial" w:hAnsi="Arial" w:cs="Arial"/>
          <w:b/>
          <w:bCs/>
          <w:color w:val="000000"/>
          <w:sz w:val="24"/>
          <w:szCs w:val="24"/>
        </w:rPr>
        <w:t>:</w:t>
      </w:r>
      <w:r w:rsidRPr="00D1182A">
        <w:rPr>
          <w:rFonts w:ascii="Arial" w:hAnsi="Arial" w:cs="Arial"/>
          <w:b/>
          <w:bCs/>
          <w:color w:val="000000"/>
          <w:sz w:val="24"/>
          <w:szCs w:val="24"/>
        </w:rPr>
        <w:t xml:space="preserve"> </w:t>
      </w:r>
      <w:r w:rsidR="00680815" w:rsidRPr="00680815">
        <w:rPr>
          <w:rFonts w:ascii="Arial" w:hAnsi="Arial" w:cs="Arial"/>
          <w:b/>
          <w:i/>
          <w:sz w:val="24"/>
          <w:szCs w:val="24"/>
        </w:rPr>
        <w:t>Success as a Knowledge Economy: Teaching Excellence, Social Mobility and Student Choice</w:t>
      </w:r>
      <w:r w:rsidR="00680815" w:rsidRPr="00680815">
        <w:rPr>
          <w:rFonts w:ascii="Arial" w:hAnsi="Arial" w:cs="Arial"/>
          <w:b/>
          <w:sz w:val="24"/>
          <w:szCs w:val="24"/>
        </w:rPr>
        <w:t xml:space="preserve"> </w:t>
      </w:r>
      <w:r w:rsidRPr="00D1182A">
        <w:rPr>
          <w:rFonts w:ascii="Arial" w:hAnsi="Arial" w:cs="Arial"/>
          <w:b/>
          <w:bCs/>
          <w:color w:val="000000"/>
          <w:sz w:val="24"/>
          <w:szCs w:val="24"/>
        </w:rPr>
        <w:t>(</w:t>
      </w:r>
      <w:r w:rsidR="00C94052" w:rsidRPr="00C94052">
        <w:rPr>
          <w:rFonts w:ascii="Arial" w:hAnsi="Arial" w:cs="Arial"/>
          <w:b/>
          <w:bCs/>
          <w:color w:val="000000"/>
          <w:sz w:val="24"/>
          <w:szCs w:val="24"/>
        </w:rPr>
        <w:t>May</w:t>
      </w:r>
      <w:r w:rsidRPr="00C94052">
        <w:rPr>
          <w:rFonts w:ascii="Arial" w:hAnsi="Arial" w:cs="Arial"/>
          <w:b/>
          <w:bCs/>
          <w:color w:val="000000"/>
          <w:sz w:val="24"/>
          <w:szCs w:val="24"/>
        </w:rPr>
        <w:t xml:space="preserve"> 2016</w:t>
      </w:r>
      <w:r w:rsidRPr="00D1182A">
        <w:rPr>
          <w:rFonts w:ascii="Arial" w:hAnsi="Arial" w:cs="Arial"/>
          <w:b/>
          <w:bCs/>
          <w:color w:val="000000"/>
          <w:sz w:val="24"/>
          <w:szCs w:val="24"/>
        </w:rPr>
        <w:t xml:space="preserve">) </w:t>
      </w:r>
      <w:r w:rsidR="00AF158E" w:rsidRPr="00D1182A">
        <w:rPr>
          <w:rFonts w:ascii="Arial" w:hAnsi="Arial" w:cs="Arial"/>
          <w:b/>
          <w:bCs/>
          <w:color w:val="000000"/>
          <w:sz w:val="24"/>
          <w:szCs w:val="24"/>
        </w:rPr>
        <w:t xml:space="preserve">reiterates the </w:t>
      </w:r>
      <w:r w:rsidR="000377CF" w:rsidRPr="00D1182A">
        <w:rPr>
          <w:rFonts w:ascii="Arial" w:hAnsi="Arial" w:cs="Arial"/>
          <w:b/>
          <w:bCs/>
          <w:color w:val="000000"/>
          <w:sz w:val="24"/>
          <w:szCs w:val="24"/>
        </w:rPr>
        <w:t xml:space="preserve">Government’s </w:t>
      </w:r>
      <w:r w:rsidR="00AF158E" w:rsidRPr="00D1182A">
        <w:rPr>
          <w:rFonts w:ascii="Arial" w:hAnsi="Arial" w:cs="Arial"/>
          <w:b/>
          <w:bCs/>
          <w:color w:val="000000"/>
          <w:sz w:val="24"/>
          <w:szCs w:val="24"/>
        </w:rPr>
        <w:t xml:space="preserve">manifesto </w:t>
      </w:r>
      <w:r w:rsidR="000377CF" w:rsidRPr="00D1182A">
        <w:rPr>
          <w:rFonts w:ascii="Arial" w:hAnsi="Arial" w:cs="Arial"/>
          <w:b/>
          <w:bCs/>
          <w:color w:val="000000"/>
          <w:sz w:val="24"/>
          <w:szCs w:val="24"/>
        </w:rPr>
        <w:t>commitment to introduc</w:t>
      </w:r>
      <w:r w:rsidR="00D20D0C" w:rsidRPr="00D1182A">
        <w:rPr>
          <w:rFonts w:ascii="Arial" w:hAnsi="Arial" w:cs="Arial"/>
          <w:b/>
          <w:bCs/>
          <w:color w:val="000000"/>
          <w:sz w:val="24"/>
          <w:szCs w:val="24"/>
        </w:rPr>
        <w:t>e</w:t>
      </w:r>
      <w:r w:rsidR="000377CF" w:rsidRPr="00D1182A">
        <w:rPr>
          <w:rFonts w:ascii="Arial" w:hAnsi="Arial" w:cs="Arial"/>
          <w:b/>
          <w:bCs/>
          <w:color w:val="000000"/>
          <w:sz w:val="24"/>
          <w:szCs w:val="24"/>
        </w:rPr>
        <w:t xml:space="preserve"> a Teaching Excellence Framework (TEF)</w:t>
      </w:r>
      <w:r w:rsidR="00F35127" w:rsidRPr="00D1182A">
        <w:rPr>
          <w:rFonts w:ascii="Arial" w:hAnsi="Arial" w:cs="Arial"/>
          <w:b/>
          <w:bCs/>
          <w:color w:val="000000"/>
          <w:sz w:val="24"/>
          <w:szCs w:val="24"/>
        </w:rPr>
        <w:t xml:space="preserve">. </w:t>
      </w:r>
      <w:r w:rsidR="00A06E68" w:rsidRPr="00D1182A">
        <w:rPr>
          <w:rFonts w:ascii="Arial" w:hAnsi="Arial" w:cs="Arial"/>
          <w:b/>
          <w:color w:val="000000" w:themeColor="text1"/>
          <w:sz w:val="24"/>
          <w:szCs w:val="24"/>
        </w:rPr>
        <w:t xml:space="preserve">The TEF </w:t>
      </w:r>
      <w:r w:rsidR="00F35127" w:rsidRPr="00D1182A">
        <w:rPr>
          <w:rFonts w:ascii="Arial" w:hAnsi="Arial" w:cs="Arial"/>
          <w:b/>
          <w:color w:val="000000" w:themeColor="text1"/>
          <w:sz w:val="24"/>
          <w:szCs w:val="24"/>
        </w:rPr>
        <w:t>will provide clear information to students about where the best provision can be found</w:t>
      </w:r>
      <w:r w:rsidR="00D52442" w:rsidRPr="00D1182A">
        <w:rPr>
          <w:rFonts w:ascii="Arial" w:hAnsi="Arial" w:cs="Arial"/>
          <w:b/>
          <w:color w:val="000000" w:themeColor="text1"/>
          <w:sz w:val="24"/>
          <w:szCs w:val="24"/>
        </w:rPr>
        <w:t xml:space="preserve"> and should encourage providers to improve teaching quality to reduce variability</w:t>
      </w:r>
      <w:r w:rsidR="000D7544" w:rsidRPr="00D1182A">
        <w:rPr>
          <w:rFonts w:ascii="Arial" w:hAnsi="Arial" w:cs="Arial"/>
          <w:b/>
          <w:color w:val="000000" w:themeColor="text1"/>
          <w:sz w:val="24"/>
          <w:szCs w:val="24"/>
        </w:rPr>
        <w:t xml:space="preserve">. </w:t>
      </w:r>
    </w:p>
    <w:p w14:paraId="3ACBCDA4" w14:textId="77777777" w:rsidR="00D1182A" w:rsidRPr="00D1182A" w:rsidRDefault="00D1182A" w:rsidP="00D1182A">
      <w:pPr>
        <w:pStyle w:val="ListParagraph"/>
        <w:spacing w:after="0"/>
        <w:ind w:left="0"/>
        <w:rPr>
          <w:rFonts w:ascii="Arial" w:hAnsi="Arial" w:cs="Arial"/>
          <w:b/>
          <w:sz w:val="24"/>
          <w:szCs w:val="24"/>
        </w:rPr>
      </w:pPr>
    </w:p>
    <w:p w14:paraId="306A938C" w14:textId="77777777" w:rsidR="00D1182A" w:rsidRPr="00D1182A" w:rsidRDefault="00F35127" w:rsidP="00AF7684">
      <w:pPr>
        <w:pStyle w:val="ListParagraph"/>
        <w:numPr>
          <w:ilvl w:val="0"/>
          <w:numId w:val="18"/>
        </w:numPr>
        <w:spacing w:after="0"/>
        <w:ind w:left="0" w:hanging="284"/>
        <w:rPr>
          <w:rFonts w:ascii="Arial" w:hAnsi="Arial" w:cs="Arial"/>
          <w:b/>
          <w:sz w:val="24"/>
          <w:szCs w:val="24"/>
        </w:rPr>
      </w:pPr>
      <w:r w:rsidRPr="00D1182A">
        <w:rPr>
          <w:rFonts w:ascii="Arial" w:hAnsi="Arial" w:cs="Arial"/>
          <w:b/>
          <w:bCs/>
          <w:color w:val="000000"/>
          <w:sz w:val="24"/>
          <w:szCs w:val="24"/>
        </w:rPr>
        <w:t xml:space="preserve">UK </w:t>
      </w:r>
      <w:r w:rsidR="00011F22" w:rsidRPr="00D1182A">
        <w:rPr>
          <w:rFonts w:ascii="Arial" w:hAnsi="Arial" w:cs="Arial"/>
          <w:b/>
          <w:bCs/>
          <w:color w:val="000000"/>
          <w:sz w:val="24"/>
          <w:szCs w:val="24"/>
        </w:rPr>
        <w:t>h</w:t>
      </w:r>
      <w:r w:rsidR="007214D0" w:rsidRPr="00D1182A">
        <w:rPr>
          <w:rFonts w:ascii="Arial" w:hAnsi="Arial" w:cs="Arial"/>
          <w:b/>
          <w:bCs/>
          <w:color w:val="000000"/>
          <w:sz w:val="24"/>
          <w:szCs w:val="24"/>
        </w:rPr>
        <w:t>ighe</w:t>
      </w:r>
      <w:r w:rsidR="00011F22" w:rsidRPr="00D1182A">
        <w:rPr>
          <w:rFonts w:ascii="Arial" w:hAnsi="Arial" w:cs="Arial"/>
          <w:b/>
          <w:bCs/>
          <w:color w:val="000000"/>
          <w:sz w:val="24"/>
          <w:szCs w:val="24"/>
        </w:rPr>
        <w:t>r e</w:t>
      </w:r>
      <w:r w:rsidRPr="00D1182A">
        <w:rPr>
          <w:rFonts w:ascii="Arial" w:hAnsi="Arial" w:cs="Arial"/>
          <w:b/>
          <w:bCs/>
          <w:color w:val="000000"/>
          <w:sz w:val="24"/>
          <w:szCs w:val="24"/>
        </w:rPr>
        <w:t>ducation</w:t>
      </w:r>
      <w:r w:rsidR="007214D0" w:rsidRPr="00D1182A">
        <w:rPr>
          <w:rFonts w:ascii="Arial" w:hAnsi="Arial" w:cs="Arial"/>
          <w:b/>
          <w:bCs/>
          <w:color w:val="000000"/>
          <w:sz w:val="24"/>
          <w:szCs w:val="24"/>
        </w:rPr>
        <w:t xml:space="preserve"> has a justly deserved </w:t>
      </w:r>
      <w:r w:rsidR="00C21CD5" w:rsidRPr="00D1182A">
        <w:rPr>
          <w:rFonts w:ascii="Arial" w:hAnsi="Arial" w:cs="Arial"/>
          <w:b/>
          <w:bCs/>
          <w:color w:val="000000"/>
          <w:sz w:val="24"/>
          <w:szCs w:val="24"/>
        </w:rPr>
        <w:t xml:space="preserve">global </w:t>
      </w:r>
      <w:r w:rsidR="007214D0" w:rsidRPr="00D1182A">
        <w:rPr>
          <w:rFonts w:ascii="Arial" w:hAnsi="Arial" w:cs="Arial"/>
          <w:b/>
          <w:bCs/>
          <w:color w:val="000000"/>
          <w:sz w:val="24"/>
          <w:szCs w:val="24"/>
        </w:rPr>
        <w:t xml:space="preserve">reputation for excellence. </w:t>
      </w:r>
      <w:r w:rsidR="00C21CD5" w:rsidRPr="00D1182A">
        <w:rPr>
          <w:rFonts w:ascii="Arial" w:hAnsi="Arial" w:cs="Arial"/>
          <w:b/>
          <w:bCs/>
          <w:color w:val="000000"/>
          <w:sz w:val="24"/>
          <w:szCs w:val="24"/>
        </w:rPr>
        <w:t xml:space="preserve">The </w:t>
      </w:r>
      <w:r w:rsidR="007214D0" w:rsidRPr="00D1182A">
        <w:rPr>
          <w:rFonts w:ascii="Arial" w:hAnsi="Arial" w:cs="Arial"/>
          <w:b/>
          <w:bCs/>
          <w:color w:val="000000"/>
          <w:sz w:val="24"/>
          <w:szCs w:val="24"/>
        </w:rPr>
        <w:t>T</w:t>
      </w:r>
      <w:r w:rsidR="00C21CD5" w:rsidRPr="00D1182A">
        <w:rPr>
          <w:rFonts w:ascii="Arial" w:hAnsi="Arial" w:cs="Arial"/>
          <w:b/>
          <w:bCs/>
          <w:color w:val="000000"/>
          <w:sz w:val="24"/>
          <w:szCs w:val="24"/>
        </w:rPr>
        <w:t>EF</w:t>
      </w:r>
      <w:r w:rsidRPr="00D1182A">
        <w:rPr>
          <w:rFonts w:ascii="Arial" w:hAnsi="Arial" w:cs="Arial"/>
          <w:b/>
          <w:bCs/>
          <w:color w:val="000000"/>
          <w:sz w:val="24"/>
          <w:szCs w:val="24"/>
        </w:rPr>
        <w:t xml:space="preserve"> will build on </w:t>
      </w:r>
      <w:r w:rsidR="00B0095C" w:rsidRPr="00D1182A">
        <w:rPr>
          <w:rFonts w:ascii="Arial" w:hAnsi="Arial" w:cs="Arial"/>
          <w:b/>
          <w:bCs/>
          <w:color w:val="000000"/>
          <w:sz w:val="24"/>
          <w:szCs w:val="24"/>
        </w:rPr>
        <w:t xml:space="preserve">the </w:t>
      </w:r>
      <w:r w:rsidRPr="00D1182A">
        <w:rPr>
          <w:rFonts w:ascii="Arial" w:hAnsi="Arial" w:cs="Arial"/>
          <w:b/>
          <w:bCs/>
          <w:color w:val="000000"/>
          <w:sz w:val="24"/>
          <w:szCs w:val="24"/>
        </w:rPr>
        <w:t xml:space="preserve">existing </w:t>
      </w:r>
      <w:r w:rsidR="007214D0" w:rsidRPr="00D1182A">
        <w:rPr>
          <w:rFonts w:ascii="Arial" w:hAnsi="Arial" w:cs="Arial"/>
          <w:b/>
          <w:bCs/>
          <w:color w:val="000000"/>
          <w:sz w:val="24"/>
          <w:szCs w:val="24"/>
        </w:rPr>
        <w:t>high</w:t>
      </w:r>
      <w:r w:rsidR="00C21CD5" w:rsidRPr="00D1182A">
        <w:rPr>
          <w:rFonts w:ascii="Arial" w:hAnsi="Arial" w:cs="Arial"/>
          <w:b/>
          <w:bCs/>
          <w:color w:val="000000"/>
          <w:sz w:val="24"/>
          <w:szCs w:val="24"/>
        </w:rPr>
        <w:t xml:space="preserve"> standards we expect </w:t>
      </w:r>
      <w:r w:rsidRPr="00D1182A">
        <w:rPr>
          <w:rFonts w:ascii="Arial" w:hAnsi="Arial" w:cs="Arial"/>
          <w:b/>
          <w:bCs/>
          <w:color w:val="000000"/>
          <w:sz w:val="24"/>
          <w:szCs w:val="24"/>
        </w:rPr>
        <w:t xml:space="preserve">of </w:t>
      </w:r>
      <w:r w:rsidR="00C21CD5" w:rsidRPr="00D1182A">
        <w:rPr>
          <w:rFonts w:ascii="Arial" w:hAnsi="Arial" w:cs="Arial"/>
          <w:b/>
          <w:bCs/>
          <w:color w:val="000000"/>
          <w:sz w:val="24"/>
          <w:szCs w:val="24"/>
        </w:rPr>
        <w:t>providers</w:t>
      </w:r>
      <w:r w:rsidRPr="00D1182A">
        <w:rPr>
          <w:rFonts w:ascii="Arial" w:hAnsi="Arial" w:cs="Arial"/>
          <w:b/>
          <w:bCs/>
          <w:color w:val="000000"/>
          <w:sz w:val="24"/>
          <w:szCs w:val="24"/>
        </w:rPr>
        <w:t xml:space="preserve">, </w:t>
      </w:r>
      <w:r w:rsidR="00C21CD5" w:rsidRPr="00D1182A">
        <w:rPr>
          <w:rFonts w:ascii="Arial" w:hAnsi="Arial" w:cs="Arial"/>
          <w:b/>
          <w:bCs/>
          <w:color w:val="000000"/>
          <w:sz w:val="24"/>
          <w:szCs w:val="24"/>
        </w:rPr>
        <w:t xml:space="preserve">assured through </w:t>
      </w:r>
      <w:r w:rsidRPr="00D1182A">
        <w:rPr>
          <w:rFonts w:ascii="Arial" w:hAnsi="Arial" w:cs="Arial"/>
          <w:b/>
          <w:bCs/>
          <w:color w:val="000000"/>
          <w:sz w:val="24"/>
          <w:szCs w:val="24"/>
        </w:rPr>
        <w:t>the broader</w:t>
      </w:r>
      <w:r w:rsidR="00C21CD5" w:rsidRPr="00D1182A">
        <w:rPr>
          <w:rFonts w:ascii="Arial" w:hAnsi="Arial" w:cs="Arial"/>
          <w:b/>
          <w:bCs/>
          <w:color w:val="000000"/>
          <w:sz w:val="24"/>
          <w:szCs w:val="24"/>
        </w:rPr>
        <w:t xml:space="preserve"> quality</w:t>
      </w:r>
      <w:r w:rsidRPr="00D1182A">
        <w:rPr>
          <w:rFonts w:ascii="Arial" w:hAnsi="Arial" w:cs="Arial"/>
          <w:b/>
          <w:bCs/>
          <w:color w:val="000000"/>
          <w:sz w:val="24"/>
          <w:szCs w:val="24"/>
        </w:rPr>
        <w:t xml:space="preserve"> assurance system</w:t>
      </w:r>
      <w:r w:rsidR="0095636B" w:rsidRPr="00D1182A">
        <w:rPr>
          <w:rFonts w:ascii="Arial" w:hAnsi="Arial" w:cs="Arial"/>
          <w:b/>
          <w:bCs/>
          <w:color w:val="000000"/>
          <w:sz w:val="24"/>
          <w:szCs w:val="24"/>
        </w:rPr>
        <w:t xml:space="preserve">, stretching </w:t>
      </w:r>
      <w:r w:rsidR="00D4286D" w:rsidRPr="00D1182A">
        <w:rPr>
          <w:rFonts w:ascii="Arial" w:hAnsi="Arial" w:cs="Arial"/>
          <w:b/>
          <w:bCs/>
          <w:color w:val="000000"/>
          <w:sz w:val="24"/>
          <w:szCs w:val="24"/>
        </w:rPr>
        <w:t xml:space="preserve">the best </w:t>
      </w:r>
      <w:r w:rsidR="000D7544" w:rsidRPr="00D1182A">
        <w:rPr>
          <w:rFonts w:ascii="Arial" w:hAnsi="Arial" w:cs="Arial"/>
          <w:b/>
          <w:bCs/>
          <w:color w:val="000000"/>
          <w:sz w:val="24"/>
          <w:szCs w:val="24"/>
        </w:rPr>
        <w:t>and</w:t>
      </w:r>
      <w:r w:rsidR="0095636B" w:rsidRPr="00D1182A">
        <w:rPr>
          <w:rFonts w:ascii="Arial" w:hAnsi="Arial" w:cs="Arial"/>
          <w:b/>
          <w:bCs/>
          <w:color w:val="000000"/>
          <w:sz w:val="24"/>
          <w:szCs w:val="24"/>
        </w:rPr>
        <w:t xml:space="preserve"> placing pressure on </w:t>
      </w:r>
      <w:r w:rsidRPr="00D1182A">
        <w:rPr>
          <w:rFonts w:ascii="Arial" w:hAnsi="Arial" w:cs="Arial"/>
          <w:b/>
          <w:bCs/>
          <w:color w:val="000000"/>
          <w:sz w:val="24"/>
          <w:szCs w:val="24"/>
        </w:rPr>
        <w:t xml:space="preserve">those </w:t>
      </w:r>
      <w:r w:rsidR="00D4286D" w:rsidRPr="00D1182A">
        <w:rPr>
          <w:rFonts w:ascii="Arial" w:hAnsi="Arial" w:cs="Arial"/>
          <w:b/>
          <w:bCs/>
          <w:color w:val="000000"/>
          <w:sz w:val="24"/>
          <w:szCs w:val="24"/>
        </w:rPr>
        <w:t>with</w:t>
      </w:r>
      <w:r w:rsidR="0095636B" w:rsidRPr="00D1182A">
        <w:rPr>
          <w:rFonts w:ascii="Arial" w:hAnsi="Arial" w:cs="Arial"/>
          <w:b/>
          <w:bCs/>
          <w:color w:val="000000"/>
          <w:sz w:val="24"/>
          <w:szCs w:val="24"/>
        </w:rPr>
        <w:t xml:space="preserve"> variable quality </w:t>
      </w:r>
      <w:r w:rsidRPr="00D1182A">
        <w:rPr>
          <w:rFonts w:ascii="Arial" w:hAnsi="Arial" w:cs="Arial"/>
          <w:b/>
          <w:bCs/>
          <w:color w:val="000000"/>
          <w:sz w:val="24"/>
          <w:szCs w:val="24"/>
        </w:rPr>
        <w:t>to improve.</w:t>
      </w:r>
    </w:p>
    <w:p w14:paraId="59270A54" w14:textId="77777777" w:rsidR="00D1182A" w:rsidRPr="00D1182A" w:rsidRDefault="00D1182A" w:rsidP="00D1182A">
      <w:pPr>
        <w:pStyle w:val="ListParagraph"/>
        <w:spacing w:after="0"/>
        <w:ind w:left="0"/>
        <w:rPr>
          <w:rFonts w:ascii="Arial" w:hAnsi="Arial" w:cs="Arial"/>
          <w:b/>
          <w:sz w:val="24"/>
          <w:szCs w:val="24"/>
        </w:rPr>
      </w:pPr>
    </w:p>
    <w:p w14:paraId="7DD44160" w14:textId="77777777" w:rsidR="00D1182A" w:rsidRPr="00D1182A" w:rsidRDefault="00F35127" w:rsidP="00AF7684">
      <w:pPr>
        <w:pStyle w:val="ListParagraph"/>
        <w:numPr>
          <w:ilvl w:val="0"/>
          <w:numId w:val="18"/>
        </w:numPr>
        <w:spacing w:after="0"/>
        <w:ind w:left="0" w:hanging="284"/>
        <w:rPr>
          <w:rFonts w:ascii="Arial" w:hAnsi="Arial" w:cs="Arial"/>
          <w:b/>
          <w:sz w:val="24"/>
          <w:szCs w:val="24"/>
        </w:rPr>
      </w:pPr>
      <w:r w:rsidRPr="00D1182A">
        <w:rPr>
          <w:rFonts w:ascii="Arial" w:hAnsi="Arial" w:cs="Arial"/>
          <w:b/>
          <w:sz w:val="24"/>
          <w:szCs w:val="24"/>
        </w:rPr>
        <w:t>The TEF will help to drive UK productivity by ensuring a better match of graduate skills with the needs of employers and the economy.</w:t>
      </w:r>
      <w:r w:rsidR="000D7544" w:rsidRPr="00D1182A">
        <w:rPr>
          <w:rFonts w:ascii="Arial" w:hAnsi="Arial" w:cs="Arial"/>
          <w:b/>
          <w:sz w:val="24"/>
          <w:szCs w:val="24"/>
        </w:rPr>
        <w:t xml:space="preserve"> It will </w:t>
      </w:r>
      <w:r w:rsidRPr="00D1182A">
        <w:rPr>
          <w:rFonts w:ascii="Arial" w:hAnsi="Arial" w:cs="Arial"/>
          <w:b/>
          <w:sz w:val="24"/>
          <w:szCs w:val="24"/>
        </w:rPr>
        <w:t xml:space="preserve">ensure better outcomes for all students, including those from disadvantaged backgrounds. </w:t>
      </w:r>
    </w:p>
    <w:p w14:paraId="02B7D842" w14:textId="77777777" w:rsidR="00D1182A" w:rsidRPr="00D1182A" w:rsidRDefault="00D1182A" w:rsidP="00D1182A">
      <w:pPr>
        <w:pStyle w:val="ListParagraph"/>
        <w:spacing w:after="0"/>
        <w:ind w:left="0"/>
        <w:rPr>
          <w:rFonts w:ascii="Arial" w:hAnsi="Arial" w:cs="Arial"/>
          <w:b/>
          <w:sz w:val="24"/>
          <w:szCs w:val="24"/>
        </w:rPr>
      </w:pPr>
    </w:p>
    <w:p w14:paraId="5FAC5F87" w14:textId="77777777" w:rsidR="00D1182A" w:rsidRPr="00D1182A" w:rsidRDefault="009D1DEA" w:rsidP="00AF7684">
      <w:pPr>
        <w:pStyle w:val="ListParagraph"/>
        <w:numPr>
          <w:ilvl w:val="0"/>
          <w:numId w:val="18"/>
        </w:numPr>
        <w:spacing w:after="0"/>
        <w:ind w:left="0" w:hanging="284"/>
        <w:rPr>
          <w:rFonts w:ascii="Arial" w:hAnsi="Arial" w:cs="Arial"/>
          <w:b/>
          <w:sz w:val="24"/>
          <w:szCs w:val="24"/>
        </w:rPr>
      </w:pPr>
      <w:r w:rsidRPr="00D1182A">
        <w:rPr>
          <w:rFonts w:ascii="Arial" w:hAnsi="Arial" w:cs="Arial"/>
          <w:b/>
          <w:bCs/>
          <w:color w:val="000000"/>
          <w:sz w:val="24"/>
          <w:szCs w:val="24"/>
        </w:rPr>
        <w:t xml:space="preserve">This document is a technical consultation, to be read alongside the White Paper, </w:t>
      </w:r>
      <w:r w:rsidR="00CC75C7" w:rsidRPr="00D1182A">
        <w:rPr>
          <w:rFonts w:ascii="Arial" w:hAnsi="Arial" w:cs="Arial"/>
          <w:b/>
          <w:bCs/>
          <w:color w:val="000000"/>
          <w:sz w:val="24"/>
          <w:szCs w:val="24"/>
        </w:rPr>
        <w:t xml:space="preserve">and </w:t>
      </w:r>
      <w:r w:rsidRPr="00D1182A">
        <w:rPr>
          <w:rFonts w:ascii="Arial" w:hAnsi="Arial" w:cs="Arial"/>
          <w:b/>
          <w:bCs/>
          <w:color w:val="000000"/>
          <w:sz w:val="24"/>
          <w:szCs w:val="24"/>
        </w:rPr>
        <w:t xml:space="preserve">puts forward detailed proposals for how the </w:t>
      </w:r>
      <w:r w:rsidR="00A06E68" w:rsidRPr="00D1182A">
        <w:rPr>
          <w:rFonts w:ascii="Arial" w:hAnsi="Arial" w:cs="Arial"/>
          <w:b/>
          <w:bCs/>
          <w:color w:val="000000"/>
          <w:sz w:val="24"/>
          <w:szCs w:val="24"/>
        </w:rPr>
        <w:t>TEF</w:t>
      </w:r>
      <w:r w:rsidRPr="00D1182A">
        <w:rPr>
          <w:rFonts w:ascii="Arial" w:hAnsi="Arial" w:cs="Arial"/>
          <w:b/>
          <w:bCs/>
          <w:color w:val="000000"/>
          <w:sz w:val="24"/>
          <w:szCs w:val="24"/>
        </w:rPr>
        <w:t xml:space="preserve"> will operate in Year </w:t>
      </w:r>
      <w:r w:rsidR="000D32D7" w:rsidRPr="00D1182A">
        <w:rPr>
          <w:rFonts w:ascii="Arial" w:hAnsi="Arial" w:cs="Arial"/>
          <w:b/>
          <w:bCs/>
          <w:color w:val="000000"/>
          <w:sz w:val="24"/>
          <w:szCs w:val="24"/>
        </w:rPr>
        <w:t>Two</w:t>
      </w:r>
      <w:r w:rsidRPr="00D1182A">
        <w:rPr>
          <w:rFonts w:ascii="Arial" w:hAnsi="Arial" w:cs="Arial"/>
          <w:b/>
          <w:bCs/>
          <w:color w:val="000000"/>
          <w:sz w:val="24"/>
          <w:szCs w:val="24"/>
        </w:rPr>
        <w:t>.</w:t>
      </w:r>
    </w:p>
    <w:p w14:paraId="22BE1297" w14:textId="77777777" w:rsidR="00D1182A" w:rsidRPr="00D1182A" w:rsidRDefault="00D1182A" w:rsidP="00D1182A">
      <w:pPr>
        <w:pStyle w:val="ListParagraph"/>
        <w:spacing w:after="0"/>
        <w:ind w:left="0"/>
        <w:rPr>
          <w:rFonts w:ascii="Arial" w:hAnsi="Arial" w:cs="Arial"/>
          <w:b/>
          <w:sz w:val="24"/>
          <w:szCs w:val="24"/>
        </w:rPr>
      </w:pPr>
    </w:p>
    <w:p w14:paraId="338F75C7" w14:textId="77777777" w:rsidR="00D1182A" w:rsidRPr="00D1182A" w:rsidRDefault="002E4F61" w:rsidP="00AF7684">
      <w:pPr>
        <w:pStyle w:val="ListParagraph"/>
        <w:numPr>
          <w:ilvl w:val="0"/>
          <w:numId w:val="18"/>
        </w:numPr>
        <w:spacing w:after="0"/>
        <w:ind w:left="0" w:hanging="284"/>
        <w:rPr>
          <w:rFonts w:ascii="Arial" w:hAnsi="Arial" w:cs="Arial"/>
          <w:b/>
          <w:sz w:val="24"/>
          <w:szCs w:val="24"/>
        </w:rPr>
      </w:pPr>
      <w:r w:rsidRPr="00D1182A">
        <w:rPr>
          <w:rFonts w:ascii="Arial" w:hAnsi="Arial" w:cs="Arial"/>
          <w:sz w:val="24"/>
          <w:szCs w:val="24"/>
        </w:rPr>
        <w:t>Broader arrangements for quality assurance in England will, as</w:t>
      </w:r>
      <w:r w:rsidR="008001C2" w:rsidRPr="00D1182A">
        <w:rPr>
          <w:rFonts w:ascii="Arial" w:hAnsi="Arial" w:cs="Arial"/>
          <w:sz w:val="24"/>
          <w:szCs w:val="24"/>
        </w:rPr>
        <w:t xml:space="preserve"> currently, continue to offer </w:t>
      </w:r>
      <w:r w:rsidRPr="00D1182A">
        <w:rPr>
          <w:rFonts w:ascii="Arial" w:hAnsi="Arial" w:cs="Arial"/>
          <w:sz w:val="24"/>
          <w:szCs w:val="24"/>
        </w:rPr>
        <w:t>verification</w:t>
      </w:r>
      <w:r w:rsidRPr="00D1182A">
        <w:rPr>
          <w:rFonts w:ascii="Arial" w:hAnsi="Arial" w:cs="Arial"/>
          <w:color w:val="FF0000"/>
          <w:sz w:val="24"/>
          <w:szCs w:val="24"/>
        </w:rPr>
        <w:t xml:space="preserve"> </w:t>
      </w:r>
      <w:r w:rsidRPr="00D1182A">
        <w:rPr>
          <w:rFonts w:ascii="Arial" w:hAnsi="Arial" w:cs="Arial"/>
          <w:sz w:val="24"/>
          <w:szCs w:val="24"/>
        </w:rPr>
        <w:t>that academic quality and standards meet</w:t>
      </w:r>
      <w:r w:rsidR="00E22501" w:rsidRPr="00D1182A">
        <w:rPr>
          <w:rFonts w:ascii="Arial" w:hAnsi="Arial" w:cs="Arial"/>
          <w:sz w:val="24"/>
          <w:szCs w:val="24"/>
        </w:rPr>
        <w:t xml:space="preserve"> </w:t>
      </w:r>
      <w:r w:rsidR="00D35F30" w:rsidRPr="00D1182A">
        <w:rPr>
          <w:rFonts w:ascii="Arial" w:hAnsi="Arial" w:cs="Arial"/>
          <w:sz w:val="24"/>
          <w:szCs w:val="24"/>
        </w:rPr>
        <w:t>national</w:t>
      </w:r>
      <w:r w:rsidR="00E22501" w:rsidRPr="00D1182A">
        <w:rPr>
          <w:rFonts w:ascii="Arial" w:hAnsi="Arial" w:cs="Arial"/>
          <w:sz w:val="24"/>
          <w:szCs w:val="24"/>
        </w:rPr>
        <w:t xml:space="preserve"> expectations, </w:t>
      </w:r>
      <w:r w:rsidRPr="00D1182A">
        <w:rPr>
          <w:rFonts w:ascii="Arial" w:hAnsi="Arial" w:cs="Arial"/>
          <w:sz w:val="24"/>
          <w:szCs w:val="24"/>
        </w:rPr>
        <w:t>while the TEF will provide an added incentive for a provider to demonstrate its excellence in teaching</w:t>
      </w:r>
      <w:r w:rsidR="00E22501" w:rsidRPr="00D1182A">
        <w:rPr>
          <w:rFonts w:ascii="Arial" w:hAnsi="Arial" w:cs="Arial"/>
          <w:sz w:val="24"/>
          <w:szCs w:val="24"/>
        </w:rPr>
        <w:t xml:space="preserve"> above the baseline.</w:t>
      </w:r>
      <w:r w:rsidRPr="00D1182A">
        <w:rPr>
          <w:rFonts w:ascii="Arial" w:hAnsi="Arial" w:cs="Arial"/>
          <w:sz w:val="24"/>
          <w:szCs w:val="24"/>
        </w:rPr>
        <w:t xml:space="preserve"> </w:t>
      </w:r>
    </w:p>
    <w:p w14:paraId="7D6956AD" w14:textId="77777777" w:rsidR="00D1182A" w:rsidRPr="00D1182A" w:rsidRDefault="00D1182A" w:rsidP="00D1182A">
      <w:pPr>
        <w:pStyle w:val="ListParagraph"/>
        <w:spacing w:after="0"/>
        <w:ind w:left="0"/>
        <w:rPr>
          <w:rFonts w:ascii="Arial" w:hAnsi="Arial" w:cs="Arial"/>
          <w:b/>
          <w:sz w:val="24"/>
          <w:szCs w:val="24"/>
        </w:rPr>
      </w:pPr>
    </w:p>
    <w:p w14:paraId="117E0011" w14:textId="21A621BF" w:rsidR="00E463CD" w:rsidRPr="00D1182A" w:rsidRDefault="00D35F30" w:rsidP="00AF7684">
      <w:pPr>
        <w:pStyle w:val="ListParagraph"/>
        <w:numPr>
          <w:ilvl w:val="0"/>
          <w:numId w:val="18"/>
        </w:numPr>
        <w:spacing w:after="0"/>
        <w:ind w:left="0" w:hanging="284"/>
        <w:rPr>
          <w:rFonts w:ascii="Arial" w:hAnsi="Arial" w:cs="Arial"/>
          <w:b/>
          <w:sz w:val="24"/>
          <w:szCs w:val="24"/>
        </w:rPr>
      </w:pPr>
      <w:r w:rsidRPr="00D1182A">
        <w:rPr>
          <w:rFonts w:ascii="Arial" w:hAnsi="Arial" w:cs="Arial"/>
          <w:sz w:val="24"/>
          <w:szCs w:val="24"/>
        </w:rPr>
        <w:t xml:space="preserve">The </w:t>
      </w:r>
      <w:r w:rsidR="002E22FF" w:rsidRPr="00D1182A">
        <w:rPr>
          <w:rFonts w:ascii="Arial" w:hAnsi="Arial" w:cs="Arial"/>
          <w:sz w:val="24"/>
          <w:szCs w:val="24"/>
        </w:rPr>
        <w:t xml:space="preserve">proposals </w:t>
      </w:r>
      <w:r w:rsidRPr="00D1182A">
        <w:rPr>
          <w:rFonts w:ascii="Arial" w:hAnsi="Arial" w:cs="Arial"/>
          <w:sz w:val="24"/>
          <w:szCs w:val="24"/>
        </w:rPr>
        <w:t xml:space="preserve">have been developed </w:t>
      </w:r>
      <w:r w:rsidR="002E22FF" w:rsidRPr="00D1182A">
        <w:rPr>
          <w:rFonts w:ascii="Arial" w:hAnsi="Arial" w:cs="Arial"/>
          <w:sz w:val="24"/>
          <w:szCs w:val="24"/>
        </w:rPr>
        <w:t>with</w:t>
      </w:r>
      <w:r w:rsidR="000678D6" w:rsidRPr="00D1182A">
        <w:rPr>
          <w:rFonts w:ascii="Arial" w:hAnsi="Arial" w:cs="Arial"/>
          <w:sz w:val="24"/>
          <w:szCs w:val="24"/>
        </w:rPr>
        <w:t xml:space="preserve"> a series of principles in mind, which </w:t>
      </w:r>
      <w:r w:rsidR="00E22501" w:rsidRPr="00D1182A">
        <w:rPr>
          <w:rFonts w:ascii="Arial" w:hAnsi="Arial" w:cs="Arial"/>
          <w:sz w:val="24"/>
          <w:szCs w:val="24"/>
        </w:rPr>
        <w:t xml:space="preserve">underpin </w:t>
      </w:r>
      <w:r w:rsidR="000678D6" w:rsidRPr="00D1182A">
        <w:rPr>
          <w:rFonts w:ascii="Arial" w:hAnsi="Arial" w:cs="Arial"/>
          <w:sz w:val="24"/>
          <w:szCs w:val="24"/>
        </w:rPr>
        <w:t>the current and future development of the TEF.</w:t>
      </w:r>
      <w:r w:rsidRPr="00D1182A">
        <w:rPr>
          <w:rFonts w:ascii="Arial" w:hAnsi="Arial" w:cs="Arial"/>
          <w:sz w:val="24"/>
          <w:szCs w:val="24"/>
        </w:rPr>
        <w:t xml:space="preserve"> Th</w:t>
      </w:r>
      <w:r w:rsidR="00D52442" w:rsidRPr="00D1182A">
        <w:rPr>
          <w:rFonts w:ascii="Arial" w:hAnsi="Arial" w:cs="Arial"/>
          <w:sz w:val="24"/>
          <w:szCs w:val="24"/>
        </w:rPr>
        <w:t>ese are that the TEF will</w:t>
      </w:r>
      <w:r w:rsidR="00E463CD" w:rsidRPr="00D1182A">
        <w:rPr>
          <w:rFonts w:ascii="Arial" w:hAnsi="Arial" w:cs="Arial"/>
          <w:sz w:val="24"/>
          <w:szCs w:val="24"/>
        </w:rPr>
        <w:t>:</w:t>
      </w:r>
    </w:p>
    <w:p w14:paraId="29D53E9B" w14:textId="59F32F2E" w:rsidR="0030335A" w:rsidRPr="00D1182A" w:rsidRDefault="002E22FF" w:rsidP="00AF7684">
      <w:pPr>
        <w:pStyle w:val="ListParagraph"/>
        <w:numPr>
          <w:ilvl w:val="0"/>
          <w:numId w:val="19"/>
        </w:numPr>
        <w:spacing w:after="0"/>
        <w:ind w:left="284" w:hanging="284"/>
        <w:rPr>
          <w:rFonts w:ascii="Arial" w:hAnsi="Arial" w:cs="Arial"/>
          <w:sz w:val="24"/>
          <w:szCs w:val="24"/>
        </w:rPr>
      </w:pPr>
      <w:r w:rsidRPr="00D1182A">
        <w:rPr>
          <w:rFonts w:ascii="Arial" w:hAnsi="Arial" w:cs="Arial"/>
          <w:sz w:val="24"/>
          <w:szCs w:val="24"/>
        </w:rPr>
        <w:t>keep bureaucracy and burden to a minimum</w:t>
      </w:r>
    </w:p>
    <w:p w14:paraId="74CF7D26" w14:textId="77777777" w:rsidR="006318AC" w:rsidRPr="00D1182A" w:rsidRDefault="006318AC" w:rsidP="00AF7684">
      <w:pPr>
        <w:pStyle w:val="ListParagraph"/>
        <w:numPr>
          <w:ilvl w:val="0"/>
          <w:numId w:val="19"/>
        </w:numPr>
        <w:spacing w:after="0"/>
        <w:ind w:left="284" w:hanging="284"/>
        <w:rPr>
          <w:rFonts w:ascii="Arial" w:hAnsi="Arial" w:cs="Arial"/>
          <w:sz w:val="24"/>
          <w:szCs w:val="24"/>
        </w:rPr>
      </w:pPr>
      <w:r w:rsidRPr="00D1182A">
        <w:rPr>
          <w:rFonts w:ascii="Arial" w:hAnsi="Arial" w:cs="Arial"/>
          <w:sz w:val="24"/>
          <w:szCs w:val="24"/>
        </w:rPr>
        <w:t>be voluntary, allowing providers to consider the benefits and costs of applying before deciding whether or not they wish to</w:t>
      </w:r>
    </w:p>
    <w:p w14:paraId="57010786" w14:textId="3CC1B6E3" w:rsidR="00CC6C8C" w:rsidRPr="00D1182A" w:rsidRDefault="00CC6C8C" w:rsidP="00AF7684">
      <w:pPr>
        <w:pStyle w:val="ListParagraph"/>
        <w:numPr>
          <w:ilvl w:val="0"/>
          <w:numId w:val="19"/>
        </w:numPr>
        <w:spacing w:after="0"/>
        <w:ind w:left="284" w:hanging="284"/>
        <w:rPr>
          <w:rFonts w:ascii="Arial" w:hAnsi="Arial" w:cs="Arial"/>
          <w:sz w:val="24"/>
          <w:szCs w:val="24"/>
        </w:rPr>
      </w:pPr>
      <w:r w:rsidRPr="00D1182A">
        <w:rPr>
          <w:rFonts w:ascii="Arial" w:hAnsi="Arial" w:cs="Arial"/>
          <w:sz w:val="24"/>
          <w:szCs w:val="24"/>
        </w:rPr>
        <w:t xml:space="preserve">allow for diverse forms of excellence to be identified and recognised </w:t>
      </w:r>
    </w:p>
    <w:p w14:paraId="5D8A8F19" w14:textId="3252998D" w:rsidR="00CC6C8C" w:rsidRPr="00D1182A" w:rsidRDefault="00CC6C8C" w:rsidP="00AF7684">
      <w:pPr>
        <w:pStyle w:val="ListParagraph"/>
        <w:numPr>
          <w:ilvl w:val="0"/>
          <w:numId w:val="19"/>
        </w:numPr>
        <w:spacing w:after="0"/>
        <w:ind w:left="284" w:hanging="284"/>
        <w:rPr>
          <w:rFonts w:ascii="Arial" w:hAnsi="Arial" w:cs="Arial"/>
          <w:sz w:val="24"/>
          <w:szCs w:val="24"/>
        </w:rPr>
      </w:pPr>
      <w:r w:rsidRPr="00D1182A">
        <w:rPr>
          <w:rFonts w:ascii="Arial" w:hAnsi="Arial" w:cs="Arial"/>
          <w:sz w:val="24"/>
          <w:szCs w:val="24"/>
        </w:rPr>
        <w:t>support rather than constrain creativity and innovation</w:t>
      </w:r>
    </w:p>
    <w:p w14:paraId="27A08FBF" w14:textId="26864563" w:rsidR="00CC6C8C" w:rsidRPr="00D1182A" w:rsidRDefault="00CC6C8C" w:rsidP="00AF7684">
      <w:pPr>
        <w:pStyle w:val="ListParagraph"/>
        <w:numPr>
          <w:ilvl w:val="0"/>
          <w:numId w:val="19"/>
        </w:numPr>
        <w:spacing w:after="0"/>
        <w:ind w:left="284" w:hanging="284"/>
        <w:rPr>
          <w:rFonts w:ascii="Arial" w:hAnsi="Arial" w:cs="Arial"/>
          <w:sz w:val="24"/>
          <w:szCs w:val="24"/>
        </w:rPr>
      </w:pPr>
      <w:r w:rsidRPr="00D1182A">
        <w:rPr>
          <w:rFonts w:ascii="Arial" w:hAnsi="Arial" w:cs="Arial"/>
          <w:sz w:val="24"/>
          <w:szCs w:val="24"/>
        </w:rPr>
        <w:t xml:space="preserve">respect institutional autonomy </w:t>
      </w:r>
    </w:p>
    <w:p w14:paraId="55B747CF" w14:textId="7E693FD6" w:rsidR="00CC6C8C" w:rsidRPr="00D1182A" w:rsidRDefault="00CC6C8C" w:rsidP="00AF7684">
      <w:pPr>
        <w:pStyle w:val="ListParagraph"/>
        <w:numPr>
          <w:ilvl w:val="0"/>
          <w:numId w:val="19"/>
        </w:numPr>
        <w:spacing w:after="0"/>
        <w:ind w:left="284" w:hanging="284"/>
        <w:rPr>
          <w:rFonts w:ascii="Arial" w:hAnsi="Arial" w:cs="Arial"/>
          <w:sz w:val="24"/>
          <w:szCs w:val="24"/>
        </w:rPr>
      </w:pPr>
      <w:r w:rsidRPr="00D1182A">
        <w:rPr>
          <w:rFonts w:ascii="Arial" w:hAnsi="Arial" w:cs="Arial"/>
          <w:sz w:val="24"/>
          <w:szCs w:val="24"/>
        </w:rPr>
        <w:t>be based on peer assessment</w:t>
      </w:r>
    </w:p>
    <w:p w14:paraId="734ABD97" w14:textId="70EACB82" w:rsidR="00CC6C8C" w:rsidRPr="00D1182A" w:rsidRDefault="00CC6C8C" w:rsidP="00AF7684">
      <w:pPr>
        <w:pStyle w:val="ListParagraph"/>
        <w:numPr>
          <w:ilvl w:val="0"/>
          <w:numId w:val="19"/>
        </w:numPr>
        <w:spacing w:after="0"/>
        <w:ind w:left="284" w:hanging="284"/>
        <w:rPr>
          <w:rFonts w:ascii="Arial" w:hAnsi="Arial" w:cs="Arial"/>
          <w:sz w:val="24"/>
          <w:szCs w:val="24"/>
        </w:rPr>
      </w:pPr>
      <w:r w:rsidRPr="00D1182A">
        <w:rPr>
          <w:rFonts w:ascii="Arial" w:hAnsi="Arial" w:cs="Arial"/>
          <w:sz w:val="24"/>
          <w:szCs w:val="24"/>
        </w:rPr>
        <w:t>be</w:t>
      </w:r>
      <w:r w:rsidR="00496803" w:rsidRPr="00D1182A">
        <w:rPr>
          <w:rFonts w:ascii="Arial" w:hAnsi="Arial" w:cs="Arial"/>
          <w:sz w:val="24"/>
          <w:szCs w:val="24"/>
        </w:rPr>
        <w:t xml:space="preserve"> </w:t>
      </w:r>
      <w:r w:rsidRPr="00D1182A">
        <w:rPr>
          <w:rFonts w:ascii="Arial" w:hAnsi="Arial" w:cs="Arial"/>
          <w:sz w:val="24"/>
          <w:szCs w:val="24"/>
        </w:rPr>
        <w:t>robust and transparent</w:t>
      </w:r>
    </w:p>
    <w:p w14:paraId="1558518E" w14:textId="131F1FD6" w:rsidR="00CC6C8C" w:rsidRPr="00D1182A" w:rsidRDefault="00CC6C8C" w:rsidP="00AF7684">
      <w:pPr>
        <w:pStyle w:val="ListParagraph"/>
        <w:numPr>
          <w:ilvl w:val="0"/>
          <w:numId w:val="19"/>
        </w:numPr>
        <w:spacing w:after="0"/>
        <w:ind w:left="284" w:hanging="284"/>
        <w:rPr>
          <w:rFonts w:ascii="Arial" w:hAnsi="Arial" w:cs="Arial"/>
          <w:sz w:val="24"/>
          <w:szCs w:val="24"/>
        </w:rPr>
      </w:pPr>
      <w:r w:rsidRPr="00D1182A">
        <w:rPr>
          <w:rFonts w:ascii="Arial" w:hAnsi="Arial" w:cs="Arial"/>
          <w:sz w:val="24"/>
          <w:szCs w:val="24"/>
        </w:rPr>
        <w:t>result in clear judgements about excellence for students, employers and other stakeholders</w:t>
      </w:r>
    </w:p>
    <w:p w14:paraId="783D6643" w14:textId="65CD9FC2" w:rsidR="00CC6C8C" w:rsidRPr="00D1182A" w:rsidRDefault="00CC6C8C" w:rsidP="00AF7684">
      <w:pPr>
        <w:pStyle w:val="ListParagraph"/>
        <w:numPr>
          <w:ilvl w:val="0"/>
          <w:numId w:val="19"/>
        </w:numPr>
        <w:spacing w:after="0"/>
        <w:ind w:left="284" w:hanging="284"/>
        <w:rPr>
          <w:rFonts w:ascii="Arial" w:hAnsi="Arial" w:cs="Arial"/>
          <w:sz w:val="24"/>
          <w:szCs w:val="24"/>
        </w:rPr>
      </w:pPr>
      <w:r w:rsidRPr="00D1182A">
        <w:rPr>
          <w:rFonts w:ascii="Arial" w:hAnsi="Arial" w:cs="Arial"/>
          <w:sz w:val="24"/>
          <w:szCs w:val="24"/>
        </w:rPr>
        <w:t>avoid driving perverse or unintended behaviours in the pursuit of demonstrating excellence</w:t>
      </w:r>
    </w:p>
    <w:p w14:paraId="66890296" w14:textId="151D55AA" w:rsidR="0095636B" w:rsidRPr="00D1182A" w:rsidRDefault="00CC6C8C" w:rsidP="00AF7684">
      <w:pPr>
        <w:pStyle w:val="ListParagraph"/>
        <w:numPr>
          <w:ilvl w:val="0"/>
          <w:numId w:val="19"/>
        </w:numPr>
        <w:spacing w:after="0"/>
        <w:ind w:left="284" w:hanging="284"/>
        <w:rPr>
          <w:rFonts w:ascii="Arial" w:hAnsi="Arial" w:cs="Arial"/>
          <w:sz w:val="24"/>
          <w:szCs w:val="24"/>
        </w:rPr>
      </w:pPr>
      <w:proofErr w:type="gramStart"/>
      <w:r w:rsidRPr="00D1182A">
        <w:rPr>
          <w:rFonts w:ascii="Arial" w:hAnsi="Arial" w:cs="Arial"/>
          <w:sz w:val="24"/>
          <w:szCs w:val="24"/>
        </w:rPr>
        <w:t>be</w:t>
      </w:r>
      <w:proofErr w:type="gramEnd"/>
      <w:r w:rsidRPr="00D1182A">
        <w:rPr>
          <w:rFonts w:ascii="Arial" w:hAnsi="Arial" w:cs="Arial"/>
          <w:sz w:val="24"/>
          <w:szCs w:val="24"/>
        </w:rPr>
        <w:t xml:space="preserve"> sufficiently flexible to allow for further development as the TEF evolves</w:t>
      </w:r>
      <w:r w:rsidR="00D20D0C" w:rsidRPr="00D1182A">
        <w:rPr>
          <w:rFonts w:ascii="Arial" w:hAnsi="Arial" w:cs="Arial"/>
          <w:sz w:val="24"/>
          <w:szCs w:val="24"/>
        </w:rPr>
        <w:t>.</w:t>
      </w:r>
    </w:p>
    <w:p w14:paraId="31352436" w14:textId="77777777" w:rsidR="00C018DD" w:rsidRDefault="00C018DD" w:rsidP="006E38F3">
      <w:pPr>
        <w:spacing w:after="0"/>
        <w:rPr>
          <w:rFonts w:cs="Arial"/>
        </w:rPr>
      </w:pPr>
    </w:p>
    <w:p w14:paraId="5EBAFEC9" w14:textId="77777777" w:rsidR="00B465C1" w:rsidRPr="00B465C1" w:rsidRDefault="00C018DD" w:rsidP="00FD0E93">
      <w:pPr>
        <w:pStyle w:val="Heading3"/>
        <w:spacing w:after="0"/>
        <w:ind w:hanging="284"/>
      </w:pPr>
      <w:bookmarkStart w:id="7" w:name="_Toc450147969"/>
      <w:bookmarkStart w:id="8" w:name="_Toc450886539"/>
      <w:r>
        <w:t>Widening Participation and the TEF</w:t>
      </w:r>
      <w:bookmarkEnd w:id="7"/>
      <w:bookmarkEnd w:id="8"/>
      <w:r w:rsidR="003D5C4B">
        <w:t xml:space="preserve"> </w:t>
      </w:r>
    </w:p>
    <w:p w14:paraId="46CD56B0" w14:textId="77777777" w:rsidR="00BF6E4A" w:rsidRPr="00D1182A" w:rsidRDefault="00BF6E4A" w:rsidP="00AF7684">
      <w:pPr>
        <w:pStyle w:val="ListParagraph"/>
        <w:numPr>
          <w:ilvl w:val="0"/>
          <w:numId w:val="18"/>
        </w:numPr>
        <w:spacing w:after="0"/>
        <w:ind w:left="0" w:hanging="284"/>
        <w:rPr>
          <w:rFonts w:ascii="Arial" w:hAnsi="Arial" w:cs="Arial"/>
          <w:sz w:val="24"/>
          <w:szCs w:val="24"/>
        </w:rPr>
      </w:pPr>
      <w:r w:rsidRPr="00D1182A">
        <w:rPr>
          <w:rFonts w:ascii="Arial" w:hAnsi="Arial" w:cs="Arial"/>
          <w:sz w:val="24"/>
          <w:szCs w:val="24"/>
        </w:rPr>
        <w:t xml:space="preserve">The White Paper sets out how we are ensuring that our commitment to widening participation is embedded throughout the TEF. In </w:t>
      </w:r>
      <w:r w:rsidR="00AA36F1" w:rsidRPr="00D1182A">
        <w:rPr>
          <w:rFonts w:ascii="Arial" w:hAnsi="Arial" w:cs="Arial"/>
          <w:sz w:val="24"/>
          <w:szCs w:val="24"/>
        </w:rPr>
        <w:t xml:space="preserve">Year </w:t>
      </w:r>
      <w:r w:rsidR="000D32D7" w:rsidRPr="00D1182A">
        <w:rPr>
          <w:rFonts w:ascii="Arial" w:hAnsi="Arial" w:cs="Arial"/>
          <w:sz w:val="24"/>
          <w:szCs w:val="24"/>
        </w:rPr>
        <w:t>Two</w:t>
      </w:r>
      <w:r w:rsidR="00AA36F1" w:rsidRPr="00D1182A">
        <w:rPr>
          <w:rFonts w:ascii="Arial" w:hAnsi="Arial" w:cs="Arial"/>
          <w:sz w:val="24"/>
          <w:szCs w:val="24"/>
        </w:rPr>
        <w:t xml:space="preserve">, </w:t>
      </w:r>
      <w:r w:rsidRPr="00D1182A">
        <w:rPr>
          <w:rFonts w:ascii="Arial" w:hAnsi="Arial" w:cs="Arial"/>
          <w:sz w:val="24"/>
          <w:szCs w:val="24"/>
        </w:rPr>
        <w:t>the principal ways in which this will be done are as follows:</w:t>
      </w:r>
    </w:p>
    <w:p w14:paraId="4E836678" w14:textId="77777777" w:rsidR="00BF6E4A" w:rsidRPr="00D1182A" w:rsidRDefault="00BF6E4A" w:rsidP="00D1182A">
      <w:pPr>
        <w:pStyle w:val="ListParagraph"/>
        <w:spacing w:after="0"/>
        <w:ind w:left="0"/>
        <w:rPr>
          <w:rFonts w:ascii="Arial" w:hAnsi="Arial" w:cs="Arial"/>
          <w:sz w:val="24"/>
          <w:szCs w:val="24"/>
        </w:rPr>
      </w:pPr>
    </w:p>
    <w:p w14:paraId="21FEDCD7" w14:textId="77777777" w:rsidR="00686E31" w:rsidRPr="00686E31" w:rsidRDefault="00BF6E4A" w:rsidP="00AF7684">
      <w:pPr>
        <w:pStyle w:val="ListParagraph"/>
        <w:numPr>
          <w:ilvl w:val="0"/>
          <w:numId w:val="20"/>
        </w:numPr>
        <w:spacing w:after="0"/>
        <w:ind w:left="284" w:hanging="284"/>
        <w:rPr>
          <w:rFonts w:ascii="Arial" w:hAnsi="Arial" w:cs="Arial"/>
          <w:sz w:val="24"/>
          <w:szCs w:val="24"/>
        </w:rPr>
      </w:pPr>
      <w:r w:rsidRPr="00686E31">
        <w:rPr>
          <w:rFonts w:ascii="Arial" w:hAnsi="Arial" w:cs="Arial"/>
          <w:sz w:val="24"/>
          <w:szCs w:val="24"/>
        </w:rPr>
        <w:lastRenderedPageBreak/>
        <w:t>P</w:t>
      </w:r>
      <w:r w:rsidR="00B465C1" w:rsidRPr="00686E31">
        <w:rPr>
          <w:rFonts w:ascii="Arial" w:hAnsi="Arial" w:cs="Arial"/>
          <w:sz w:val="24"/>
          <w:szCs w:val="24"/>
        </w:rPr>
        <w:t xml:space="preserve">roviders wishing to apply for </w:t>
      </w:r>
      <w:r w:rsidR="00A06E68">
        <w:rPr>
          <w:rFonts w:ascii="Arial" w:hAnsi="Arial" w:cs="Arial"/>
          <w:sz w:val="24"/>
          <w:szCs w:val="24"/>
        </w:rPr>
        <w:t xml:space="preserve">the </w:t>
      </w:r>
      <w:r w:rsidR="00B465C1" w:rsidRPr="00686E31">
        <w:rPr>
          <w:rFonts w:ascii="Arial" w:hAnsi="Arial" w:cs="Arial"/>
          <w:sz w:val="24"/>
          <w:szCs w:val="24"/>
        </w:rPr>
        <w:t>TEF will be required to demonstrate their commitment to widening participation and fair access</w:t>
      </w:r>
      <w:r w:rsidRPr="00686E31">
        <w:rPr>
          <w:rFonts w:ascii="Arial" w:hAnsi="Arial" w:cs="Arial"/>
          <w:sz w:val="24"/>
          <w:szCs w:val="24"/>
        </w:rPr>
        <w:t xml:space="preserve"> either through an A</w:t>
      </w:r>
      <w:r w:rsidR="00A06E68">
        <w:rPr>
          <w:rFonts w:ascii="Arial" w:hAnsi="Arial" w:cs="Arial"/>
          <w:sz w:val="24"/>
          <w:szCs w:val="24"/>
        </w:rPr>
        <w:t>ccess Agreement or other means (</w:t>
      </w:r>
      <w:r w:rsidR="00496803" w:rsidRPr="00686E31">
        <w:rPr>
          <w:rFonts w:ascii="Arial" w:hAnsi="Arial" w:cs="Arial"/>
          <w:sz w:val="24"/>
          <w:szCs w:val="24"/>
        </w:rPr>
        <w:t xml:space="preserve">see </w:t>
      </w:r>
      <w:r w:rsidRPr="003355C3">
        <w:rPr>
          <w:rFonts w:ascii="Arial" w:hAnsi="Arial" w:cs="Arial"/>
          <w:b/>
          <w:sz w:val="24"/>
          <w:szCs w:val="24"/>
        </w:rPr>
        <w:t xml:space="preserve">Chapter 2: </w:t>
      </w:r>
      <w:r w:rsidR="00496803" w:rsidRPr="003355C3">
        <w:rPr>
          <w:rFonts w:ascii="Arial" w:hAnsi="Arial" w:cs="Arial"/>
          <w:b/>
          <w:sz w:val="24"/>
          <w:szCs w:val="24"/>
        </w:rPr>
        <w:t>Eligibility and Pre-requisites</w:t>
      </w:r>
      <w:r w:rsidR="00A06E68">
        <w:rPr>
          <w:rFonts w:ascii="Arial" w:hAnsi="Arial" w:cs="Arial"/>
          <w:sz w:val="24"/>
          <w:szCs w:val="24"/>
        </w:rPr>
        <w:t>);</w:t>
      </w:r>
    </w:p>
    <w:p w14:paraId="496AF660" w14:textId="77777777" w:rsidR="00686E31" w:rsidRPr="00686E31" w:rsidRDefault="00B465C1" w:rsidP="00AF7684">
      <w:pPr>
        <w:pStyle w:val="ListParagraph"/>
        <w:numPr>
          <w:ilvl w:val="0"/>
          <w:numId w:val="20"/>
        </w:numPr>
        <w:spacing w:after="0"/>
        <w:ind w:left="284" w:hanging="284"/>
        <w:rPr>
          <w:rFonts w:ascii="Arial" w:hAnsi="Arial" w:cs="Arial"/>
          <w:sz w:val="24"/>
          <w:szCs w:val="24"/>
        </w:rPr>
      </w:pPr>
      <w:r w:rsidRPr="00686E31">
        <w:rPr>
          <w:rFonts w:ascii="Arial" w:hAnsi="Arial" w:cs="Arial"/>
          <w:sz w:val="24"/>
          <w:szCs w:val="24"/>
        </w:rPr>
        <w:t>T</w:t>
      </w:r>
      <w:r w:rsidR="00AA36F1" w:rsidRPr="00686E31">
        <w:rPr>
          <w:rFonts w:ascii="Arial" w:hAnsi="Arial" w:cs="Arial"/>
          <w:sz w:val="24"/>
          <w:szCs w:val="24"/>
        </w:rPr>
        <w:t xml:space="preserve">he core </w:t>
      </w:r>
      <w:r w:rsidRPr="00686E31">
        <w:rPr>
          <w:rFonts w:ascii="Arial" w:hAnsi="Arial" w:cs="Arial"/>
          <w:sz w:val="24"/>
          <w:szCs w:val="24"/>
        </w:rPr>
        <w:t xml:space="preserve">metrics that will </w:t>
      </w:r>
      <w:r w:rsidR="00BF6E4A" w:rsidRPr="00686E31">
        <w:rPr>
          <w:rFonts w:ascii="Arial" w:hAnsi="Arial" w:cs="Arial"/>
          <w:sz w:val="24"/>
          <w:szCs w:val="24"/>
        </w:rPr>
        <w:t>inform TEF assessments will be appropriately benchmarked and also r</w:t>
      </w:r>
      <w:r w:rsidRPr="00686E31">
        <w:rPr>
          <w:rFonts w:ascii="Arial" w:hAnsi="Arial" w:cs="Arial"/>
          <w:sz w:val="24"/>
          <w:szCs w:val="24"/>
        </w:rPr>
        <w:t xml:space="preserve">eported on separately for students from different backgrounds </w:t>
      </w:r>
      <w:r w:rsidR="00AA36F1" w:rsidRPr="00686E31">
        <w:rPr>
          <w:rFonts w:ascii="Arial" w:hAnsi="Arial" w:cs="Arial"/>
          <w:sz w:val="24"/>
          <w:szCs w:val="24"/>
        </w:rPr>
        <w:t>(se</w:t>
      </w:r>
      <w:r w:rsidR="006B16C8" w:rsidRPr="00686E31">
        <w:rPr>
          <w:rFonts w:ascii="Arial" w:hAnsi="Arial" w:cs="Arial"/>
          <w:sz w:val="24"/>
          <w:szCs w:val="24"/>
        </w:rPr>
        <w:t xml:space="preserve">e </w:t>
      </w:r>
      <w:r w:rsidR="00BF6E4A" w:rsidRPr="003355C3">
        <w:rPr>
          <w:rFonts w:ascii="Arial" w:hAnsi="Arial" w:cs="Arial"/>
          <w:b/>
          <w:sz w:val="24"/>
          <w:szCs w:val="24"/>
        </w:rPr>
        <w:t xml:space="preserve">Chapter 3a: </w:t>
      </w:r>
      <w:r w:rsidR="006B16C8" w:rsidRPr="003355C3">
        <w:rPr>
          <w:rFonts w:ascii="Arial" w:hAnsi="Arial" w:cs="Arial"/>
          <w:b/>
          <w:sz w:val="24"/>
          <w:szCs w:val="24"/>
        </w:rPr>
        <w:t>Evidence</w:t>
      </w:r>
      <w:r w:rsidR="00D20D0C" w:rsidRPr="003355C3">
        <w:rPr>
          <w:rFonts w:ascii="Arial" w:hAnsi="Arial" w:cs="Arial"/>
          <w:b/>
          <w:sz w:val="24"/>
          <w:szCs w:val="24"/>
        </w:rPr>
        <w:t xml:space="preserve"> - Metrics</w:t>
      </w:r>
      <w:r w:rsidR="00AA36F1" w:rsidRPr="00686E31">
        <w:rPr>
          <w:rFonts w:ascii="Arial" w:hAnsi="Arial" w:cs="Arial"/>
          <w:sz w:val="24"/>
          <w:szCs w:val="24"/>
        </w:rPr>
        <w:t xml:space="preserve">), </w:t>
      </w:r>
      <w:r w:rsidRPr="00686E31">
        <w:rPr>
          <w:rFonts w:ascii="Arial" w:hAnsi="Arial" w:cs="Arial"/>
          <w:sz w:val="24"/>
          <w:szCs w:val="24"/>
        </w:rPr>
        <w:t xml:space="preserve">allowing assessors </w:t>
      </w:r>
      <w:r w:rsidR="00AA36F1" w:rsidRPr="00686E31">
        <w:rPr>
          <w:rFonts w:ascii="Arial" w:hAnsi="Arial" w:cs="Arial"/>
          <w:sz w:val="24"/>
          <w:szCs w:val="24"/>
        </w:rPr>
        <w:t>to take full account of how a provider</w:t>
      </w:r>
      <w:r w:rsidRPr="00686E31">
        <w:rPr>
          <w:rFonts w:ascii="Arial" w:hAnsi="Arial" w:cs="Arial"/>
          <w:sz w:val="24"/>
          <w:szCs w:val="24"/>
        </w:rPr>
        <w:t xml:space="preserve"> is performing with respect to disadvantaged students;</w:t>
      </w:r>
    </w:p>
    <w:p w14:paraId="277AABA6" w14:textId="77777777" w:rsidR="00686E31" w:rsidRPr="00686E31" w:rsidRDefault="00B465C1" w:rsidP="00AF7684">
      <w:pPr>
        <w:pStyle w:val="ListParagraph"/>
        <w:numPr>
          <w:ilvl w:val="0"/>
          <w:numId w:val="20"/>
        </w:numPr>
        <w:spacing w:after="0"/>
        <w:ind w:left="284" w:hanging="284"/>
        <w:rPr>
          <w:rFonts w:ascii="Arial" w:hAnsi="Arial" w:cs="Arial"/>
          <w:sz w:val="24"/>
          <w:szCs w:val="24"/>
        </w:rPr>
      </w:pPr>
      <w:r w:rsidRPr="00686E31">
        <w:rPr>
          <w:rFonts w:ascii="Arial" w:hAnsi="Arial" w:cs="Arial"/>
          <w:sz w:val="24"/>
          <w:szCs w:val="24"/>
        </w:rPr>
        <w:t xml:space="preserve">The </w:t>
      </w:r>
      <w:r w:rsidR="00A06E68">
        <w:rPr>
          <w:rFonts w:ascii="Arial" w:hAnsi="Arial" w:cs="Arial"/>
          <w:sz w:val="24"/>
          <w:szCs w:val="24"/>
        </w:rPr>
        <w:t xml:space="preserve">contextual information, which </w:t>
      </w:r>
      <w:r w:rsidR="005D664C">
        <w:rPr>
          <w:rFonts w:ascii="Arial" w:hAnsi="Arial" w:cs="Arial"/>
          <w:sz w:val="24"/>
          <w:szCs w:val="24"/>
        </w:rPr>
        <w:t>we propose should</w:t>
      </w:r>
      <w:r w:rsidRPr="00686E31">
        <w:rPr>
          <w:rFonts w:ascii="Arial" w:hAnsi="Arial" w:cs="Arial"/>
          <w:sz w:val="24"/>
          <w:szCs w:val="24"/>
        </w:rPr>
        <w:t xml:space="preserve"> include information on stude</w:t>
      </w:r>
      <w:r w:rsidR="00A06E68">
        <w:rPr>
          <w:rFonts w:ascii="Arial" w:hAnsi="Arial" w:cs="Arial"/>
          <w:sz w:val="24"/>
          <w:szCs w:val="24"/>
        </w:rPr>
        <w:t xml:space="preserve">nt population, </w:t>
      </w:r>
      <w:r w:rsidR="005D664C">
        <w:rPr>
          <w:rFonts w:ascii="Arial" w:hAnsi="Arial" w:cs="Arial"/>
          <w:sz w:val="24"/>
          <w:szCs w:val="24"/>
        </w:rPr>
        <w:t xml:space="preserve">should </w:t>
      </w:r>
      <w:r w:rsidR="00A06E68">
        <w:rPr>
          <w:rFonts w:ascii="Arial" w:hAnsi="Arial" w:cs="Arial"/>
          <w:sz w:val="24"/>
          <w:szCs w:val="24"/>
        </w:rPr>
        <w:t>enable the TEF P</w:t>
      </w:r>
      <w:r w:rsidRPr="00686E31">
        <w:rPr>
          <w:rFonts w:ascii="Arial" w:hAnsi="Arial" w:cs="Arial"/>
          <w:sz w:val="24"/>
          <w:szCs w:val="24"/>
        </w:rPr>
        <w:t xml:space="preserve">anel to appreciate the makeup </w:t>
      </w:r>
      <w:r w:rsidR="00AA36F1" w:rsidRPr="00686E31">
        <w:rPr>
          <w:rFonts w:ascii="Arial" w:hAnsi="Arial" w:cs="Arial"/>
          <w:sz w:val="24"/>
          <w:szCs w:val="24"/>
        </w:rPr>
        <w:t xml:space="preserve">of the student population </w:t>
      </w:r>
      <w:r w:rsidRPr="00686E31">
        <w:rPr>
          <w:rFonts w:ascii="Arial" w:hAnsi="Arial" w:cs="Arial"/>
          <w:sz w:val="24"/>
          <w:szCs w:val="24"/>
        </w:rPr>
        <w:t xml:space="preserve">at </w:t>
      </w:r>
      <w:r w:rsidR="00AA36F1" w:rsidRPr="00686E31">
        <w:rPr>
          <w:rFonts w:ascii="Arial" w:hAnsi="Arial" w:cs="Arial"/>
          <w:sz w:val="24"/>
          <w:szCs w:val="24"/>
        </w:rPr>
        <w:t>an individual</w:t>
      </w:r>
      <w:r w:rsidRPr="00686E31">
        <w:rPr>
          <w:rFonts w:ascii="Arial" w:hAnsi="Arial" w:cs="Arial"/>
          <w:sz w:val="24"/>
          <w:szCs w:val="24"/>
        </w:rPr>
        <w:t xml:space="preserve"> </w:t>
      </w:r>
      <w:r w:rsidR="00AA36F1" w:rsidRPr="00686E31">
        <w:rPr>
          <w:rFonts w:ascii="Arial" w:hAnsi="Arial" w:cs="Arial"/>
          <w:sz w:val="24"/>
          <w:szCs w:val="24"/>
        </w:rPr>
        <w:t>provider</w:t>
      </w:r>
      <w:r w:rsidRPr="00686E31">
        <w:rPr>
          <w:rFonts w:ascii="Arial" w:hAnsi="Arial" w:cs="Arial"/>
          <w:sz w:val="24"/>
          <w:szCs w:val="24"/>
        </w:rPr>
        <w:t xml:space="preserve"> when making its final judgment</w:t>
      </w:r>
      <w:r w:rsidR="00AA36F1" w:rsidRPr="00686E31">
        <w:rPr>
          <w:rFonts w:ascii="Arial" w:hAnsi="Arial" w:cs="Arial"/>
          <w:sz w:val="24"/>
          <w:szCs w:val="24"/>
        </w:rPr>
        <w:t xml:space="preserve"> (</w:t>
      </w:r>
      <w:r w:rsidR="00686E31" w:rsidRPr="00686E31">
        <w:rPr>
          <w:rFonts w:ascii="Arial" w:hAnsi="Arial" w:cs="Arial"/>
          <w:sz w:val="24"/>
          <w:szCs w:val="24"/>
        </w:rPr>
        <w:t xml:space="preserve">see </w:t>
      </w:r>
      <w:r w:rsidR="00686E31" w:rsidRPr="003355C3">
        <w:rPr>
          <w:rFonts w:ascii="Arial" w:hAnsi="Arial" w:cs="Arial"/>
          <w:b/>
          <w:sz w:val="24"/>
          <w:szCs w:val="24"/>
        </w:rPr>
        <w:t xml:space="preserve">Chapter </w:t>
      </w:r>
      <w:r w:rsidR="006B16C8" w:rsidRPr="003355C3">
        <w:rPr>
          <w:rFonts w:ascii="Arial" w:hAnsi="Arial" w:cs="Arial"/>
          <w:b/>
          <w:sz w:val="24"/>
          <w:szCs w:val="24"/>
        </w:rPr>
        <w:t>3</w:t>
      </w:r>
      <w:r w:rsidR="00686E31" w:rsidRPr="003355C3">
        <w:rPr>
          <w:rFonts w:ascii="Arial" w:hAnsi="Arial" w:cs="Arial"/>
          <w:b/>
          <w:sz w:val="24"/>
          <w:szCs w:val="24"/>
        </w:rPr>
        <w:t xml:space="preserve">a: </w:t>
      </w:r>
      <w:r w:rsidR="006B16C8" w:rsidRPr="003355C3">
        <w:rPr>
          <w:rFonts w:ascii="Arial" w:hAnsi="Arial" w:cs="Arial"/>
          <w:b/>
          <w:sz w:val="24"/>
          <w:szCs w:val="24"/>
        </w:rPr>
        <w:t>Evidence</w:t>
      </w:r>
      <w:r w:rsidR="00D20D0C" w:rsidRPr="003355C3">
        <w:rPr>
          <w:rFonts w:ascii="Arial" w:hAnsi="Arial" w:cs="Arial"/>
          <w:b/>
          <w:sz w:val="24"/>
          <w:szCs w:val="24"/>
        </w:rPr>
        <w:t xml:space="preserve"> - Metrics</w:t>
      </w:r>
      <w:r w:rsidR="00AA36F1" w:rsidRPr="00686E31">
        <w:rPr>
          <w:rFonts w:ascii="Arial" w:hAnsi="Arial" w:cs="Arial"/>
          <w:sz w:val="24"/>
          <w:szCs w:val="24"/>
        </w:rPr>
        <w:t>);</w:t>
      </w:r>
      <w:r w:rsidRPr="00686E31">
        <w:rPr>
          <w:rFonts w:ascii="Arial" w:hAnsi="Arial" w:cs="Arial"/>
          <w:sz w:val="24"/>
          <w:szCs w:val="24"/>
        </w:rPr>
        <w:t xml:space="preserve"> </w:t>
      </w:r>
    </w:p>
    <w:p w14:paraId="2817D2ED" w14:textId="77777777" w:rsidR="00EE403E" w:rsidRDefault="00B465C1" w:rsidP="00AF7684">
      <w:pPr>
        <w:pStyle w:val="ListParagraph"/>
        <w:numPr>
          <w:ilvl w:val="0"/>
          <w:numId w:val="20"/>
        </w:numPr>
        <w:spacing w:after="0"/>
        <w:ind w:left="284" w:hanging="284"/>
        <w:rPr>
          <w:rFonts w:ascii="Arial" w:hAnsi="Arial" w:cs="Arial"/>
          <w:sz w:val="24"/>
          <w:szCs w:val="24"/>
        </w:rPr>
      </w:pPr>
      <w:r w:rsidRPr="00686E31">
        <w:rPr>
          <w:rFonts w:ascii="Arial" w:hAnsi="Arial" w:cs="Arial"/>
          <w:sz w:val="24"/>
          <w:szCs w:val="24"/>
        </w:rPr>
        <w:t xml:space="preserve">A </w:t>
      </w:r>
      <w:r w:rsidR="00EE403E">
        <w:rPr>
          <w:rFonts w:ascii="Arial" w:hAnsi="Arial" w:cs="Arial"/>
          <w:sz w:val="24"/>
          <w:szCs w:val="24"/>
        </w:rPr>
        <w:t xml:space="preserve">proposed </w:t>
      </w:r>
      <w:r w:rsidRPr="00686E31">
        <w:rPr>
          <w:rFonts w:ascii="Arial" w:hAnsi="Arial" w:cs="Arial"/>
          <w:sz w:val="24"/>
          <w:szCs w:val="24"/>
        </w:rPr>
        <w:t xml:space="preserve">criterion </w:t>
      </w:r>
      <w:r w:rsidR="00D20D0C">
        <w:rPr>
          <w:rFonts w:ascii="Arial" w:hAnsi="Arial" w:cs="Arial"/>
          <w:sz w:val="24"/>
          <w:szCs w:val="24"/>
        </w:rPr>
        <w:t xml:space="preserve">as part of the assessment framework </w:t>
      </w:r>
      <w:r w:rsidRPr="00686E31">
        <w:rPr>
          <w:rFonts w:ascii="Arial" w:hAnsi="Arial" w:cs="Arial"/>
          <w:sz w:val="24"/>
          <w:szCs w:val="24"/>
        </w:rPr>
        <w:t>specifically about outcomes for disadv</w:t>
      </w:r>
      <w:r w:rsidR="00A06E68">
        <w:rPr>
          <w:rFonts w:ascii="Arial" w:hAnsi="Arial" w:cs="Arial"/>
          <w:sz w:val="24"/>
          <w:szCs w:val="24"/>
        </w:rPr>
        <w:t xml:space="preserve">antaged students will help the </w:t>
      </w:r>
      <w:r w:rsidR="00D20D0C">
        <w:rPr>
          <w:rFonts w:ascii="Arial" w:hAnsi="Arial" w:cs="Arial"/>
          <w:sz w:val="24"/>
          <w:szCs w:val="24"/>
        </w:rPr>
        <w:t xml:space="preserve">TEF </w:t>
      </w:r>
      <w:r w:rsidR="00A06E68">
        <w:rPr>
          <w:rFonts w:ascii="Arial" w:hAnsi="Arial" w:cs="Arial"/>
          <w:sz w:val="24"/>
          <w:szCs w:val="24"/>
        </w:rPr>
        <w:t>P</w:t>
      </w:r>
      <w:r w:rsidRPr="00686E31">
        <w:rPr>
          <w:rFonts w:ascii="Arial" w:hAnsi="Arial" w:cs="Arial"/>
          <w:sz w:val="24"/>
          <w:szCs w:val="24"/>
        </w:rPr>
        <w:t xml:space="preserve">anel </w:t>
      </w:r>
      <w:r w:rsidR="00D20D0C">
        <w:rPr>
          <w:rFonts w:ascii="Arial" w:hAnsi="Arial" w:cs="Arial"/>
          <w:sz w:val="24"/>
          <w:szCs w:val="24"/>
        </w:rPr>
        <w:t xml:space="preserve">to </w:t>
      </w:r>
      <w:r w:rsidR="00A06E68">
        <w:rPr>
          <w:rFonts w:ascii="Arial" w:hAnsi="Arial" w:cs="Arial"/>
          <w:sz w:val="24"/>
          <w:szCs w:val="24"/>
        </w:rPr>
        <w:t>assess</w:t>
      </w:r>
      <w:r w:rsidRPr="00686E31">
        <w:rPr>
          <w:rFonts w:ascii="Arial" w:hAnsi="Arial" w:cs="Arial"/>
          <w:sz w:val="24"/>
          <w:szCs w:val="24"/>
        </w:rPr>
        <w:t xml:space="preserve"> the extent to which positive outcomes are achieved fo</w:t>
      </w:r>
      <w:r w:rsidR="00EE403E">
        <w:rPr>
          <w:rFonts w:ascii="Arial" w:hAnsi="Arial" w:cs="Arial"/>
          <w:sz w:val="24"/>
          <w:szCs w:val="24"/>
        </w:rPr>
        <w:t>r students fr</w:t>
      </w:r>
      <w:r w:rsidR="00CC75C7">
        <w:rPr>
          <w:rFonts w:ascii="Arial" w:hAnsi="Arial" w:cs="Arial"/>
          <w:sz w:val="24"/>
          <w:szCs w:val="24"/>
        </w:rPr>
        <w:t>om</w:t>
      </w:r>
      <w:r w:rsidR="00EE403E">
        <w:rPr>
          <w:rFonts w:ascii="Arial" w:hAnsi="Arial" w:cs="Arial"/>
          <w:sz w:val="24"/>
          <w:szCs w:val="24"/>
        </w:rPr>
        <w:t xml:space="preserve"> all backgrounds </w:t>
      </w:r>
      <w:r w:rsidR="00EE403E" w:rsidRPr="00686E31">
        <w:rPr>
          <w:rFonts w:ascii="Arial" w:hAnsi="Arial" w:cs="Arial"/>
          <w:sz w:val="24"/>
          <w:szCs w:val="24"/>
        </w:rPr>
        <w:t xml:space="preserve">(see </w:t>
      </w:r>
      <w:r w:rsidR="00EE403E" w:rsidRPr="003355C3">
        <w:rPr>
          <w:rFonts w:ascii="Arial" w:hAnsi="Arial" w:cs="Arial"/>
          <w:b/>
          <w:sz w:val="24"/>
          <w:szCs w:val="24"/>
        </w:rPr>
        <w:t>Chapter 1: The Assessment Framework</w:t>
      </w:r>
      <w:r w:rsidR="00EE403E" w:rsidRPr="00686E31">
        <w:rPr>
          <w:rFonts w:ascii="Arial" w:hAnsi="Arial" w:cs="Arial"/>
          <w:sz w:val="24"/>
          <w:szCs w:val="24"/>
        </w:rPr>
        <w:t xml:space="preserve">); </w:t>
      </w:r>
      <w:r w:rsidR="00EE403E">
        <w:rPr>
          <w:rFonts w:ascii="Arial" w:hAnsi="Arial" w:cs="Arial"/>
          <w:sz w:val="24"/>
          <w:szCs w:val="24"/>
        </w:rPr>
        <w:t xml:space="preserve"> </w:t>
      </w:r>
    </w:p>
    <w:p w14:paraId="35039CD9" w14:textId="5CF6264A" w:rsidR="00686E31" w:rsidRPr="00686E31" w:rsidRDefault="00EE403E" w:rsidP="00AF7684">
      <w:pPr>
        <w:pStyle w:val="ListParagraph"/>
        <w:numPr>
          <w:ilvl w:val="0"/>
          <w:numId w:val="20"/>
        </w:numPr>
        <w:spacing w:after="0"/>
        <w:ind w:left="284" w:hanging="284"/>
        <w:rPr>
          <w:rFonts w:ascii="Arial" w:hAnsi="Arial" w:cs="Arial"/>
          <w:sz w:val="24"/>
          <w:szCs w:val="24"/>
        </w:rPr>
      </w:pPr>
      <w:r>
        <w:rPr>
          <w:rFonts w:ascii="Arial" w:hAnsi="Arial" w:cs="Arial"/>
          <w:sz w:val="24"/>
          <w:szCs w:val="24"/>
        </w:rPr>
        <w:t xml:space="preserve">The extent to which </w:t>
      </w:r>
      <w:r w:rsidRPr="00D1182A">
        <w:rPr>
          <w:rFonts w:ascii="Arial" w:hAnsi="Arial" w:cs="Arial"/>
          <w:sz w:val="24"/>
          <w:szCs w:val="24"/>
        </w:rPr>
        <w:t>all</w:t>
      </w:r>
      <w:r>
        <w:rPr>
          <w:rFonts w:ascii="Arial" w:hAnsi="Arial" w:cs="Arial"/>
          <w:sz w:val="24"/>
          <w:szCs w:val="24"/>
        </w:rPr>
        <w:t xml:space="preserve"> criteria are </w:t>
      </w:r>
      <w:r w:rsidR="00D20D0C">
        <w:rPr>
          <w:rFonts w:ascii="Arial" w:hAnsi="Arial" w:cs="Arial"/>
          <w:sz w:val="24"/>
          <w:szCs w:val="24"/>
        </w:rPr>
        <w:t xml:space="preserve">met </w:t>
      </w:r>
      <w:r>
        <w:rPr>
          <w:rFonts w:ascii="Arial" w:hAnsi="Arial" w:cs="Arial"/>
          <w:sz w:val="24"/>
          <w:szCs w:val="24"/>
        </w:rPr>
        <w:t xml:space="preserve">with respect to students from diverse backgrounds, including disadvantaged students, is an embedded theme </w:t>
      </w:r>
      <w:r w:rsidR="00AA36F1" w:rsidRPr="00686E31">
        <w:rPr>
          <w:rFonts w:ascii="Arial" w:hAnsi="Arial" w:cs="Arial"/>
          <w:sz w:val="24"/>
          <w:szCs w:val="24"/>
        </w:rPr>
        <w:t>(</w:t>
      </w:r>
      <w:r w:rsidR="006B16C8" w:rsidRPr="00686E31">
        <w:rPr>
          <w:rFonts w:ascii="Arial" w:hAnsi="Arial" w:cs="Arial"/>
          <w:sz w:val="24"/>
          <w:szCs w:val="24"/>
        </w:rPr>
        <w:t xml:space="preserve">see </w:t>
      </w:r>
      <w:r w:rsidR="00686E31" w:rsidRPr="003355C3">
        <w:rPr>
          <w:rFonts w:ascii="Arial" w:hAnsi="Arial" w:cs="Arial"/>
          <w:b/>
          <w:sz w:val="24"/>
          <w:szCs w:val="24"/>
        </w:rPr>
        <w:t xml:space="preserve">Chapter </w:t>
      </w:r>
      <w:r w:rsidR="006B16C8" w:rsidRPr="003355C3">
        <w:rPr>
          <w:rFonts w:ascii="Arial" w:hAnsi="Arial" w:cs="Arial"/>
          <w:b/>
          <w:sz w:val="24"/>
          <w:szCs w:val="24"/>
        </w:rPr>
        <w:t>1</w:t>
      </w:r>
      <w:r w:rsidR="00686E31" w:rsidRPr="003355C3">
        <w:rPr>
          <w:rFonts w:ascii="Arial" w:hAnsi="Arial" w:cs="Arial"/>
          <w:b/>
          <w:sz w:val="24"/>
          <w:szCs w:val="24"/>
        </w:rPr>
        <w:t xml:space="preserve">: </w:t>
      </w:r>
      <w:r w:rsidR="006B16C8" w:rsidRPr="003355C3">
        <w:rPr>
          <w:rFonts w:ascii="Arial" w:hAnsi="Arial" w:cs="Arial"/>
          <w:b/>
          <w:sz w:val="24"/>
          <w:szCs w:val="24"/>
        </w:rPr>
        <w:t>The Assessment Framework</w:t>
      </w:r>
      <w:r w:rsidR="00AA36F1" w:rsidRPr="00686E31">
        <w:rPr>
          <w:rFonts w:ascii="Arial" w:hAnsi="Arial" w:cs="Arial"/>
          <w:sz w:val="24"/>
          <w:szCs w:val="24"/>
        </w:rPr>
        <w:t>)</w:t>
      </w:r>
      <w:r w:rsidR="00B465C1" w:rsidRPr="00686E31">
        <w:rPr>
          <w:rFonts w:ascii="Arial" w:hAnsi="Arial" w:cs="Arial"/>
          <w:sz w:val="24"/>
          <w:szCs w:val="24"/>
        </w:rPr>
        <w:t>; and finally</w:t>
      </w:r>
    </w:p>
    <w:p w14:paraId="66A506FF" w14:textId="77777777" w:rsidR="00B465C1" w:rsidRPr="00686E31" w:rsidRDefault="00B465C1" w:rsidP="00AF7684">
      <w:pPr>
        <w:pStyle w:val="ListParagraph"/>
        <w:numPr>
          <w:ilvl w:val="0"/>
          <w:numId w:val="20"/>
        </w:numPr>
        <w:spacing w:after="0"/>
        <w:ind w:left="284" w:hanging="284"/>
        <w:rPr>
          <w:rFonts w:ascii="Arial" w:hAnsi="Arial" w:cs="Arial"/>
          <w:sz w:val="24"/>
          <w:szCs w:val="24"/>
        </w:rPr>
      </w:pPr>
      <w:r w:rsidRPr="00686E31">
        <w:rPr>
          <w:rFonts w:ascii="Arial" w:hAnsi="Arial" w:cs="Arial"/>
          <w:sz w:val="24"/>
          <w:szCs w:val="24"/>
        </w:rPr>
        <w:t xml:space="preserve">A potential commendation </w:t>
      </w:r>
      <w:r w:rsidR="00F06769" w:rsidRPr="00686E31">
        <w:rPr>
          <w:rFonts w:ascii="Arial" w:hAnsi="Arial" w:cs="Arial"/>
          <w:sz w:val="24"/>
          <w:szCs w:val="24"/>
        </w:rPr>
        <w:t>for providers</w:t>
      </w:r>
      <w:r w:rsidRPr="00686E31">
        <w:rPr>
          <w:rFonts w:ascii="Arial" w:hAnsi="Arial" w:cs="Arial"/>
          <w:sz w:val="24"/>
          <w:szCs w:val="24"/>
        </w:rPr>
        <w:t xml:space="preserve"> showing outstanding success in supporting students from disadvantaged backgrounds</w:t>
      </w:r>
      <w:r w:rsidR="00F06769" w:rsidRPr="00686E31">
        <w:rPr>
          <w:rFonts w:ascii="Arial" w:hAnsi="Arial" w:cs="Arial"/>
          <w:sz w:val="24"/>
          <w:szCs w:val="24"/>
        </w:rPr>
        <w:t xml:space="preserve"> (</w:t>
      </w:r>
      <w:r w:rsidR="006B16C8" w:rsidRPr="00686E31">
        <w:rPr>
          <w:rFonts w:ascii="Arial" w:hAnsi="Arial" w:cs="Arial"/>
          <w:sz w:val="24"/>
          <w:szCs w:val="24"/>
        </w:rPr>
        <w:t>see</w:t>
      </w:r>
      <w:r w:rsidR="00686E31" w:rsidRPr="00686E31">
        <w:rPr>
          <w:rFonts w:ascii="Arial" w:hAnsi="Arial" w:cs="Arial"/>
          <w:sz w:val="24"/>
          <w:szCs w:val="24"/>
        </w:rPr>
        <w:t xml:space="preserve"> </w:t>
      </w:r>
      <w:r w:rsidR="00686E31" w:rsidRPr="003355C3">
        <w:rPr>
          <w:rFonts w:ascii="Arial" w:hAnsi="Arial" w:cs="Arial"/>
          <w:b/>
          <w:sz w:val="24"/>
          <w:szCs w:val="24"/>
        </w:rPr>
        <w:t>Chapter</w:t>
      </w:r>
      <w:r w:rsidR="006B16C8" w:rsidRPr="003355C3">
        <w:rPr>
          <w:rFonts w:ascii="Arial" w:hAnsi="Arial" w:cs="Arial"/>
          <w:b/>
          <w:sz w:val="24"/>
          <w:szCs w:val="24"/>
        </w:rPr>
        <w:t xml:space="preserve"> 4</w:t>
      </w:r>
      <w:r w:rsidR="00686E31" w:rsidRPr="003355C3">
        <w:rPr>
          <w:rFonts w:ascii="Arial" w:hAnsi="Arial" w:cs="Arial"/>
          <w:b/>
          <w:sz w:val="24"/>
          <w:szCs w:val="24"/>
        </w:rPr>
        <w:t xml:space="preserve">: </w:t>
      </w:r>
      <w:r w:rsidR="006B16C8" w:rsidRPr="003355C3">
        <w:rPr>
          <w:rFonts w:ascii="Arial" w:hAnsi="Arial" w:cs="Arial"/>
          <w:b/>
          <w:sz w:val="24"/>
          <w:szCs w:val="24"/>
        </w:rPr>
        <w:t>The Assessment Process</w:t>
      </w:r>
      <w:r w:rsidR="00F06769" w:rsidRPr="00D20D0C">
        <w:rPr>
          <w:rFonts w:ascii="Arial" w:hAnsi="Arial" w:cs="Arial"/>
          <w:sz w:val="24"/>
          <w:szCs w:val="24"/>
        </w:rPr>
        <w:t>).</w:t>
      </w:r>
    </w:p>
    <w:p w14:paraId="640A607E" w14:textId="77777777" w:rsidR="00F06769" w:rsidRDefault="00F06769" w:rsidP="00D1182A">
      <w:pPr>
        <w:pStyle w:val="ListParagraph"/>
        <w:spacing w:after="0"/>
        <w:ind w:left="0"/>
        <w:rPr>
          <w:rFonts w:ascii="Arial" w:hAnsi="Arial" w:cs="Arial"/>
          <w:sz w:val="24"/>
          <w:szCs w:val="24"/>
        </w:rPr>
      </w:pPr>
    </w:p>
    <w:p w14:paraId="7D24A546" w14:textId="77777777" w:rsidR="00F06769" w:rsidRPr="00C018DD" w:rsidRDefault="00F06769" w:rsidP="00AF7684">
      <w:pPr>
        <w:pStyle w:val="ListParagraph"/>
        <w:numPr>
          <w:ilvl w:val="0"/>
          <w:numId w:val="18"/>
        </w:numPr>
        <w:spacing w:after="0"/>
        <w:ind w:left="0" w:hanging="284"/>
        <w:rPr>
          <w:rFonts w:ascii="Arial" w:hAnsi="Arial" w:cs="Arial"/>
          <w:sz w:val="24"/>
          <w:szCs w:val="24"/>
        </w:rPr>
      </w:pPr>
      <w:r w:rsidRPr="00C018DD">
        <w:rPr>
          <w:rFonts w:ascii="Arial" w:hAnsi="Arial" w:cs="Arial"/>
          <w:sz w:val="24"/>
          <w:szCs w:val="24"/>
        </w:rPr>
        <w:t>A key characteristic of high quality teaching is that it is effective in meeting the needs of a diverse student body</w:t>
      </w:r>
      <w:r w:rsidR="00686E31">
        <w:rPr>
          <w:rFonts w:ascii="Arial" w:hAnsi="Arial" w:cs="Arial"/>
          <w:sz w:val="24"/>
          <w:szCs w:val="24"/>
        </w:rPr>
        <w:t>. T</w:t>
      </w:r>
      <w:r>
        <w:rPr>
          <w:rFonts w:ascii="Arial" w:hAnsi="Arial" w:cs="Arial"/>
          <w:sz w:val="24"/>
          <w:szCs w:val="24"/>
        </w:rPr>
        <w:t xml:space="preserve">he suite of measures included on widening participation will ensure that </w:t>
      </w:r>
      <w:r w:rsidR="00686E31">
        <w:rPr>
          <w:rFonts w:ascii="Arial" w:hAnsi="Arial" w:cs="Arial"/>
          <w:sz w:val="24"/>
          <w:szCs w:val="24"/>
        </w:rPr>
        <w:t xml:space="preserve">the </w:t>
      </w:r>
      <w:r>
        <w:rPr>
          <w:rFonts w:ascii="Arial" w:hAnsi="Arial" w:cs="Arial"/>
          <w:sz w:val="24"/>
          <w:szCs w:val="24"/>
        </w:rPr>
        <w:t xml:space="preserve">TEF </w:t>
      </w:r>
      <w:r w:rsidR="00686E31">
        <w:rPr>
          <w:rFonts w:ascii="Arial" w:hAnsi="Arial" w:cs="Arial"/>
          <w:sz w:val="24"/>
          <w:szCs w:val="24"/>
        </w:rPr>
        <w:t>considers</w:t>
      </w:r>
      <w:r>
        <w:rPr>
          <w:rFonts w:ascii="Arial" w:hAnsi="Arial" w:cs="Arial"/>
          <w:sz w:val="24"/>
          <w:szCs w:val="24"/>
        </w:rPr>
        <w:t xml:space="preserve"> </w:t>
      </w:r>
      <w:r w:rsidR="00686E31">
        <w:rPr>
          <w:rFonts w:ascii="Arial" w:hAnsi="Arial" w:cs="Arial"/>
          <w:sz w:val="24"/>
          <w:szCs w:val="24"/>
        </w:rPr>
        <w:t xml:space="preserve">evidence that </w:t>
      </w:r>
      <w:r w:rsidRPr="00C018DD">
        <w:rPr>
          <w:rFonts w:ascii="Arial" w:hAnsi="Arial" w:cs="Arial"/>
          <w:sz w:val="24"/>
          <w:szCs w:val="24"/>
        </w:rPr>
        <w:t>teaching practices and the wider environment for learning are effective in supporting</w:t>
      </w:r>
      <w:r w:rsidR="00686E31">
        <w:rPr>
          <w:rFonts w:ascii="Arial" w:hAnsi="Arial" w:cs="Arial"/>
          <w:sz w:val="24"/>
          <w:szCs w:val="24"/>
        </w:rPr>
        <w:t xml:space="preserve"> the experiences and outcomes achieved by</w:t>
      </w:r>
      <w:r w:rsidRPr="00C018DD">
        <w:rPr>
          <w:rFonts w:ascii="Arial" w:hAnsi="Arial" w:cs="Arial"/>
          <w:sz w:val="24"/>
          <w:szCs w:val="24"/>
        </w:rPr>
        <w:t xml:space="preserve"> </w:t>
      </w:r>
      <w:r>
        <w:rPr>
          <w:rFonts w:ascii="Arial" w:hAnsi="Arial" w:cs="Arial"/>
          <w:sz w:val="24"/>
          <w:szCs w:val="24"/>
        </w:rPr>
        <w:t xml:space="preserve">all </w:t>
      </w:r>
      <w:r w:rsidRPr="00C018DD">
        <w:rPr>
          <w:rFonts w:ascii="Arial" w:hAnsi="Arial" w:cs="Arial"/>
          <w:sz w:val="24"/>
          <w:szCs w:val="24"/>
        </w:rPr>
        <w:t xml:space="preserve">students, including </w:t>
      </w:r>
      <w:r>
        <w:rPr>
          <w:rFonts w:ascii="Arial" w:hAnsi="Arial" w:cs="Arial"/>
          <w:sz w:val="24"/>
          <w:szCs w:val="24"/>
        </w:rPr>
        <w:t xml:space="preserve">in particular those from disadvantaged </w:t>
      </w:r>
      <w:r w:rsidRPr="00C018DD">
        <w:rPr>
          <w:rFonts w:ascii="Arial" w:hAnsi="Arial" w:cs="Arial"/>
          <w:sz w:val="24"/>
          <w:szCs w:val="24"/>
        </w:rPr>
        <w:t>backgrounds</w:t>
      </w:r>
      <w:r w:rsidR="00686E31">
        <w:rPr>
          <w:rFonts w:ascii="Arial" w:hAnsi="Arial" w:cs="Arial"/>
          <w:sz w:val="24"/>
          <w:szCs w:val="24"/>
        </w:rPr>
        <w:t xml:space="preserve">. </w:t>
      </w:r>
    </w:p>
    <w:p w14:paraId="01E57707" w14:textId="77777777" w:rsidR="00C018DD" w:rsidRDefault="00C018DD" w:rsidP="006E38F3">
      <w:pPr>
        <w:spacing w:after="0"/>
        <w:rPr>
          <w:rFonts w:cs="Arial"/>
        </w:rPr>
      </w:pPr>
    </w:p>
    <w:p w14:paraId="5B14001D" w14:textId="77777777" w:rsidR="006E38F3" w:rsidRPr="001D6611" w:rsidRDefault="006E38F3" w:rsidP="00FD0E93">
      <w:pPr>
        <w:pStyle w:val="Heading3"/>
        <w:spacing w:after="0"/>
        <w:ind w:hanging="284"/>
      </w:pPr>
      <w:bookmarkStart w:id="9" w:name="_Toc450147970"/>
      <w:bookmarkStart w:id="10" w:name="_Toc450886540"/>
      <w:r>
        <w:t>Development of the TEF</w:t>
      </w:r>
      <w:bookmarkEnd w:id="9"/>
      <w:bookmarkEnd w:id="10"/>
    </w:p>
    <w:p w14:paraId="295537B3" w14:textId="77777777" w:rsidR="006E38F3" w:rsidRPr="00D1182A" w:rsidRDefault="00E463CD" w:rsidP="00AF7684">
      <w:pPr>
        <w:pStyle w:val="ListParagraph"/>
        <w:numPr>
          <w:ilvl w:val="0"/>
          <w:numId w:val="18"/>
        </w:numPr>
        <w:spacing w:after="0"/>
        <w:ind w:left="0" w:hanging="284"/>
        <w:rPr>
          <w:rFonts w:ascii="Arial" w:hAnsi="Arial" w:cs="Arial"/>
          <w:sz w:val="24"/>
          <w:szCs w:val="24"/>
        </w:rPr>
      </w:pPr>
      <w:r w:rsidRPr="00D1182A">
        <w:rPr>
          <w:rFonts w:ascii="Arial" w:hAnsi="Arial" w:cs="Arial"/>
          <w:sz w:val="24"/>
          <w:szCs w:val="24"/>
        </w:rPr>
        <w:t>In develop</w:t>
      </w:r>
      <w:r w:rsidR="00795C20" w:rsidRPr="00D1182A">
        <w:rPr>
          <w:rFonts w:ascii="Arial" w:hAnsi="Arial" w:cs="Arial"/>
          <w:sz w:val="24"/>
          <w:szCs w:val="24"/>
        </w:rPr>
        <w:t>ing these</w:t>
      </w:r>
      <w:r w:rsidRPr="00D1182A">
        <w:rPr>
          <w:rFonts w:ascii="Arial" w:hAnsi="Arial" w:cs="Arial"/>
          <w:sz w:val="24"/>
          <w:szCs w:val="24"/>
        </w:rPr>
        <w:t xml:space="preserve"> proposal</w:t>
      </w:r>
      <w:r w:rsidR="00795C20" w:rsidRPr="00D1182A">
        <w:rPr>
          <w:rFonts w:ascii="Arial" w:hAnsi="Arial" w:cs="Arial"/>
          <w:sz w:val="24"/>
          <w:szCs w:val="24"/>
        </w:rPr>
        <w:t>s</w:t>
      </w:r>
      <w:r w:rsidRPr="00D1182A">
        <w:rPr>
          <w:rFonts w:ascii="Arial" w:hAnsi="Arial" w:cs="Arial"/>
          <w:sz w:val="24"/>
          <w:szCs w:val="24"/>
        </w:rPr>
        <w:t xml:space="preserve"> for consultation, </w:t>
      </w:r>
      <w:r w:rsidR="006E38F3" w:rsidRPr="00D1182A">
        <w:rPr>
          <w:rFonts w:ascii="Arial" w:hAnsi="Arial" w:cs="Arial"/>
          <w:sz w:val="24"/>
          <w:szCs w:val="24"/>
        </w:rPr>
        <w:t xml:space="preserve">BIS </w:t>
      </w:r>
      <w:r w:rsidR="00D20D0C" w:rsidRPr="00D1182A">
        <w:rPr>
          <w:rFonts w:ascii="Arial" w:hAnsi="Arial" w:cs="Arial"/>
          <w:sz w:val="24"/>
          <w:szCs w:val="24"/>
        </w:rPr>
        <w:t>considered</w:t>
      </w:r>
      <w:r w:rsidR="005D664C" w:rsidRPr="00D1182A">
        <w:rPr>
          <w:rFonts w:ascii="Arial" w:hAnsi="Arial" w:cs="Arial"/>
          <w:sz w:val="24"/>
          <w:szCs w:val="24"/>
        </w:rPr>
        <w:t xml:space="preserve"> stakeholder responses to the Green Paper consultation, including responses from students, employers and higher education providers. </w:t>
      </w:r>
      <w:r w:rsidR="00D20D0C" w:rsidRPr="00D1182A">
        <w:rPr>
          <w:rFonts w:ascii="Arial" w:hAnsi="Arial" w:cs="Arial"/>
          <w:sz w:val="24"/>
          <w:szCs w:val="24"/>
        </w:rPr>
        <w:t>O</w:t>
      </w:r>
      <w:r w:rsidR="005D664C" w:rsidRPr="00D1182A">
        <w:rPr>
          <w:rFonts w:ascii="Arial" w:hAnsi="Arial" w:cs="Arial"/>
          <w:sz w:val="24"/>
          <w:szCs w:val="24"/>
        </w:rPr>
        <w:t>n the basis of that consultation</w:t>
      </w:r>
      <w:r w:rsidR="00D20D0C" w:rsidRPr="00D1182A">
        <w:rPr>
          <w:rFonts w:ascii="Arial" w:hAnsi="Arial" w:cs="Arial"/>
          <w:sz w:val="24"/>
          <w:szCs w:val="24"/>
        </w:rPr>
        <w:t>, we have</w:t>
      </w:r>
      <w:r w:rsidR="005D664C" w:rsidRPr="00D1182A">
        <w:rPr>
          <w:rFonts w:ascii="Arial" w:hAnsi="Arial" w:cs="Arial"/>
          <w:sz w:val="24"/>
          <w:szCs w:val="24"/>
        </w:rPr>
        <w:t xml:space="preserve"> sought advice from the </w:t>
      </w:r>
      <w:r w:rsidR="006E38F3" w:rsidRPr="00D1182A">
        <w:rPr>
          <w:rFonts w:ascii="Arial" w:hAnsi="Arial" w:cs="Arial"/>
          <w:sz w:val="24"/>
          <w:szCs w:val="24"/>
        </w:rPr>
        <w:t>Higher Education Funding Council for England (HEFCE), the Quality Assurance Agency for Higher Education (QAA)</w:t>
      </w:r>
      <w:r w:rsidR="00077DDA" w:rsidRPr="00D1182A">
        <w:rPr>
          <w:rFonts w:ascii="Arial" w:hAnsi="Arial" w:cs="Arial"/>
          <w:sz w:val="24"/>
          <w:szCs w:val="24"/>
        </w:rPr>
        <w:t>,</w:t>
      </w:r>
      <w:r w:rsidR="00686E31" w:rsidRPr="00D1182A">
        <w:rPr>
          <w:rFonts w:ascii="Arial" w:hAnsi="Arial" w:cs="Arial"/>
          <w:sz w:val="24"/>
          <w:szCs w:val="24"/>
        </w:rPr>
        <w:t xml:space="preserve"> the </w:t>
      </w:r>
      <w:r w:rsidR="00077DDA" w:rsidRPr="00D1182A">
        <w:rPr>
          <w:rFonts w:ascii="Arial" w:hAnsi="Arial" w:cs="Arial"/>
          <w:sz w:val="24"/>
          <w:szCs w:val="24"/>
        </w:rPr>
        <w:t>Office for Fair Access (OFFA)</w:t>
      </w:r>
      <w:r w:rsidR="006E38F3" w:rsidRPr="00D1182A">
        <w:rPr>
          <w:rFonts w:ascii="Arial" w:hAnsi="Arial" w:cs="Arial"/>
          <w:sz w:val="24"/>
          <w:szCs w:val="24"/>
        </w:rPr>
        <w:t xml:space="preserve"> and the Higher Education Academy (HEA) on the design of the TEF. The full programme of work has included:</w:t>
      </w:r>
    </w:p>
    <w:p w14:paraId="45468C5E" w14:textId="77777777" w:rsidR="006E38F3" w:rsidRPr="006A0B80" w:rsidRDefault="006E38F3" w:rsidP="00AF7684">
      <w:pPr>
        <w:pStyle w:val="ListParagraph"/>
        <w:numPr>
          <w:ilvl w:val="0"/>
          <w:numId w:val="2"/>
        </w:numPr>
        <w:autoSpaceDE w:val="0"/>
        <w:autoSpaceDN w:val="0"/>
        <w:adjustRightInd w:val="0"/>
        <w:spacing w:after="60" w:line="240" w:lineRule="auto"/>
        <w:contextualSpacing w:val="0"/>
        <w:rPr>
          <w:rFonts w:ascii="Arial" w:hAnsi="Arial" w:cs="Arial"/>
          <w:sz w:val="16"/>
          <w:szCs w:val="16"/>
        </w:rPr>
      </w:pPr>
      <w:r w:rsidRPr="00356E0C">
        <w:rPr>
          <w:rFonts w:ascii="Arial" w:hAnsi="Arial" w:cs="Arial"/>
          <w:sz w:val="24"/>
          <w:szCs w:val="24"/>
        </w:rPr>
        <w:t xml:space="preserve">analysis of responses to questions about the TEF included in the Green Paper consultation from </w:t>
      </w:r>
      <w:r w:rsidR="00B0095C">
        <w:rPr>
          <w:rFonts w:ascii="Arial" w:hAnsi="Arial" w:cs="Arial"/>
          <w:sz w:val="24"/>
          <w:szCs w:val="24"/>
        </w:rPr>
        <w:t>over 600</w:t>
      </w:r>
      <w:r w:rsidRPr="00356E0C">
        <w:rPr>
          <w:rFonts w:ascii="Arial" w:hAnsi="Arial" w:cs="Arial"/>
          <w:sz w:val="24"/>
          <w:szCs w:val="24"/>
        </w:rPr>
        <w:t xml:space="preserve"> individual respondents or responding organisations; </w:t>
      </w:r>
    </w:p>
    <w:p w14:paraId="3E83D0C9" w14:textId="77777777" w:rsidR="006E38F3" w:rsidRPr="00390179" w:rsidRDefault="006E38F3" w:rsidP="00AF7684">
      <w:pPr>
        <w:pStyle w:val="ListParagraph"/>
        <w:numPr>
          <w:ilvl w:val="0"/>
          <w:numId w:val="2"/>
        </w:numPr>
        <w:autoSpaceDE w:val="0"/>
        <w:autoSpaceDN w:val="0"/>
        <w:adjustRightInd w:val="0"/>
        <w:spacing w:after="60" w:line="240" w:lineRule="auto"/>
        <w:contextualSpacing w:val="0"/>
        <w:rPr>
          <w:rFonts w:cs="Arial"/>
          <w:sz w:val="16"/>
          <w:szCs w:val="16"/>
        </w:rPr>
      </w:pPr>
      <w:r w:rsidRPr="00356E0C">
        <w:rPr>
          <w:rFonts w:ascii="Arial" w:hAnsi="Arial" w:cs="Arial"/>
          <w:sz w:val="24"/>
          <w:szCs w:val="24"/>
        </w:rPr>
        <w:t xml:space="preserve">roundtable discussion events with stakeholders that took place during the main </w:t>
      </w:r>
      <w:r w:rsidRPr="00390179">
        <w:rPr>
          <w:rFonts w:ascii="Arial" w:hAnsi="Arial" w:cs="Arial"/>
          <w:sz w:val="24"/>
          <w:szCs w:val="24"/>
        </w:rPr>
        <w:t>consultation period;</w:t>
      </w:r>
    </w:p>
    <w:p w14:paraId="12A3BB50" w14:textId="77777777" w:rsidR="004F28DB" w:rsidRPr="004F28DB" w:rsidRDefault="00A1300D" w:rsidP="00AF7684">
      <w:pPr>
        <w:pStyle w:val="ListParagraph"/>
        <w:numPr>
          <w:ilvl w:val="0"/>
          <w:numId w:val="2"/>
        </w:numPr>
        <w:autoSpaceDE w:val="0"/>
        <w:autoSpaceDN w:val="0"/>
        <w:adjustRightInd w:val="0"/>
        <w:spacing w:after="60" w:line="240" w:lineRule="auto"/>
        <w:contextualSpacing w:val="0"/>
        <w:rPr>
          <w:rFonts w:cs="Arial"/>
          <w:sz w:val="16"/>
          <w:szCs w:val="16"/>
        </w:rPr>
      </w:pPr>
      <w:r>
        <w:rPr>
          <w:rFonts w:ascii="Arial" w:hAnsi="Arial" w:cs="Arial"/>
          <w:sz w:val="24"/>
          <w:szCs w:val="24"/>
        </w:rPr>
        <w:t>a review</w:t>
      </w:r>
      <w:r w:rsidR="006E38F3" w:rsidRPr="00390179">
        <w:rPr>
          <w:rFonts w:ascii="Arial" w:hAnsi="Arial" w:cs="Arial"/>
          <w:sz w:val="24"/>
          <w:szCs w:val="24"/>
        </w:rPr>
        <w:t xml:space="preserve"> of the </w:t>
      </w:r>
      <w:r w:rsidR="00BC7C73">
        <w:rPr>
          <w:rFonts w:ascii="Arial" w:hAnsi="Arial" w:cs="Arial"/>
          <w:sz w:val="24"/>
          <w:szCs w:val="24"/>
        </w:rPr>
        <w:t xml:space="preserve">data sources underpinning the TEF metrics to support the development of a robust assessment process </w:t>
      </w:r>
      <w:r w:rsidR="006E38F3" w:rsidRPr="00390179">
        <w:rPr>
          <w:rFonts w:ascii="Arial" w:hAnsi="Arial" w:cs="Arial"/>
          <w:sz w:val="24"/>
          <w:szCs w:val="24"/>
        </w:rPr>
        <w:t>for TEF purposes, commissioned from the Office for National Stat</w:t>
      </w:r>
      <w:r w:rsidR="00795C20" w:rsidRPr="00390179">
        <w:rPr>
          <w:rFonts w:ascii="Arial" w:hAnsi="Arial" w:cs="Arial"/>
          <w:sz w:val="24"/>
          <w:szCs w:val="24"/>
        </w:rPr>
        <w:t>istic</w:t>
      </w:r>
      <w:r w:rsidR="00BA4CC3" w:rsidRPr="00390179">
        <w:rPr>
          <w:rFonts w:ascii="Arial" w:hAnsi="Arial" w:cs="Arial"/>
          <w:sz w:val="24"/>
          <w:szCs w:val="24"/>
        </w:rPr>
        <w:t>s (ONS)</w:t>
      </w:r>
      <w:r w:rsidR="006E38F3" w:rsidRPr="00390179">
        <w:rPr>
          <w:rFonts w:ascii="Arial" w:hAnsi="Arial" w:cs="Arial"/>
          <w:sz w:val="24"/>
          <w:szCs w:val="24"/>
        </w:rPr>
        <w:t>;</w:t>
      </w:r>
    </w:p>
    <w:p w14:paraId="61ED724E" w14:textId="6288F8D1" w:rsidR="006E38F3" w:rsidRPr="004F28DB" w:rsidRDefault="00FC6B63" w:rsidP="00AF7684">
      <w:pPr>
        <w:pStyle w:val="ListParagraph"/>
        <w:numPr>
          <w:ilvl w:val="0"/>
          <w:numId w:val="2"/>
        </w:numPr>
        <w:autoSpaceDE w:val="0"/>
        <w:autoSpaceDN w:val="0"/>
        <w:adjustRightInd w:val="0"/>
        <w:spacing w:after="60" w:line="240" w:lineRule="auto"/>
        <w:contextualSpacing w:val="0"/>
        <w:rPr>
          <w:rFonts w:cs="Arial"/>
          <w:sz w:val="16"/>
          <w:szCs w:val="16"/>
        </w:rPr>
      </w:pPr>
      <w:proofErr w:type="gramStart"/>
      <w:r>
        <w:rPr>
          <w:rFonts w:ascii="Arial" w:hAnsi="Arial" w:cs="Arial"/>
          <w:sz w:val="24"/>
          <w:szCs w:val="24"/>
        </w:rPr>
        <w:lastRenderedPageBreak/>
        <w:t>r</w:t>
      </w:r>
      <w:r w:rsidR="004F28DB" w:rsidRPr="004F28DB">
        <w:rPr>
          <w:rFonts w:ascii="Arial" w:hAnsi="Arial" w:cs="Arial"/>
          <w:sz w:val="24"/>
          <w:szCs w:val="24"/>
        </w:rPr>
        <w:t>esearch</w:t>
      </w:r>
      <w:proofErr w:type="gramEnd"/>
      <w:r w:rsidR="00D02098">
        <w:rPr>
          <w:rFonts w:ascii="Arial" w:hAnsi="Arial" w:cs="Arial"/>
          <w:sz w:val="24"/>
          <w:szCs w:val="24"/>
        </w:rPr>
        <w:t xml:space="preserve"> to gather the views of applicants</w:t>
      </w:r>
      <w:r w:rsidR="004F28DB" w:rsidRPr="004F28DB">
        <w:rPr>
          <w:rFonts w:ascii="Arial" w:hAnsi="Arial" w:cs="Arial"/>
          <w:sz w:val="24"/>
          <w:szCs w:val="24"/>
        </w:rPr>
        <w:t xml:space="preserve"> and graduates on teaching quality and the availability of information to help them make informed choices</w:t>
      </w:r>
      <w:r w:rsidR="004F28DB" w:rsidRPr="004F28DB">
        <w:rPr>
          <w:rFonts w:cs="Arial"/>
        </w:rPr>
        <w:t>.</w:t>
      </w:r>
      <w:r w:rsidR="00A44F4C">
        <w:rPr>
          <w:rStyle w:val="FootnoteReference"/>
          <w:rFonts w:cs="Arial"/>
        </w:rPr>
        <w:footnoteReference w:id="4"/>
      </w:r>
      <w:r w:rsidR="004F28DB" w:rsidRPr="004F28DB">
        <w:rPr>
          <w:rFonts w:cs="Arial"/>
        </w:rPr>
        <w:t xml:space="preserve"> </w:t>
      </w:r>
      <w:r w:rsidR="006E38F3" w:rsidRPr="004F28DB">
        <w:rPr>
          <w:rFonts w:ascii="Arial" w:hAnsi="Arial" w:cs="Arial"/>
          <w:sz w:val="24"/>
          <w:szCs w:val="24"/>
        </w:rPr>
        <w:t xml:space="preserve"> </w:t>
      </w:r>
    </w:p>
    <w:p w14:paraId="6D46F885" w14:textId="25ECC929" w:rsidR="006E38F3" w:rsidRPr="00BB1FFD" w:rsidRDefault="00B0095C" w:rsidP="00AF7684">
      <w:pPr>
        <w:pStyle w:val="ListParagraph"/>
        <w:numPr>
          <w:ilvl w:val="0"/>
          <w:numId w:val="2"/>
        </w:numPr>
        <w:autoSpaceDE w:val="0"/>
        <w:autoSpaceDN w:val="0"/>
        <w:adjustRightInd w:val="0"/>
        <w:spacing w:after="60" w:line="240" w:lineRule="auto"/>
        <w:contextualSpacing w:val="0"/>
        <w:rPr>
          <w:rFonts w:ascii="Arial" w:hAnsi="Arial" w:cs="Arial"/>
          <w:sz w:val="16"/>
          <w:szCs w:val="16"/>
        </w:rPr>
      </w:pPr>
      <w:r w:rsidRPr="00BB1FFD">
        <w:rPr>
          <w:rFonts w:ascii="Arial" w:hAnsi="Arial" w:cs="Arial"/>
          <w:sz w:val="24"/>
          <w:szCs w:val="24"/>
        </w:rPr>
        <w:t>a</w:t>
      </w:r>
      <w:r w:rsidR="006E38F3" w:rsidRPr="00BB1FFD">
        <w:rPr>
          <w:rFonts w:ascii="Arial" w:hAnsi="Arial" w:cs="Arial"/>
          <w:sz w:val="24"/>
          <w:szCs w:val="24"/>
        </w:rPr>
        <w:t xml:space="preserve"> review of the literature on indicators of quality in higher ed</w:t>
      </w:r>
      <w:r w:rsidR="00BA4CC3" w:rsidRPr="00BB1FFD">
        <w:rPr>
          <w:rFonts w:ascii="Arial" w:hAnsi="Arial" w:cs="Arial"/>
          <w:sz w:val="24"/>
          <w:szCs w:val="24"/>
        </w:rPr>
        <w:t>ucation</w:t>
      </w:r>
      <w:r w:rsidR="00C3711A">
        <w:rPr>
          <w:rStyle w:val="FootnoteReference"/>
          <w:rFonts w:ascii="Arial" w:hAnsi="Arial" w:cs="Arial"/>
          <w:sz w:val="24"/>
          <w:szCs w:val="24"/>
        </w:rPr>
        <w:footnoteReference w:id="5"/>
      </w:r>
      <w:r w:rsidR="008F5313" w:rsidRPr="00BB1FFD">
        <w:rPr>
          <w:rFonts w:ascii="Arial" w:hAnsi="Arial" w:cs="Arial"/>
          <w:sz w:val="24"/>
          <w:szCs w:val="24"/>
        </w:rPr>
        <w:t>;</w:t>
      </w:r>
    </w:p>
    <w:p w14:paraId="56B8EC84" w14:textId="77777777" w:rsidR="006E38F3" w:rsidRPr="00D423CE" w:rsidRDefault="006E38F3" w:rsidP="00AF7684">
      <w:pPr>
        <w:pStyle w:val="ListParagraph"/>
        <w:numPr>
          <w:ilvl w:val="0"/>
          <w:numId w:val="2"/>
        </w:numPr>
        <w:autoSpaceDE w:val="0"/>
        <w:autoSpaceDN w:val="0"/>
        <w:adjustRightInd w:val="0"/>
        <w:spacing w:after="60" w:line="240" w:lineRule="auto"/>
        <w:contextualSpacing w:val="0"/>
        <w:rPr>
          <w:rFonts w:ascii="Arial" w:hAnsi="Arial" w:cs="Arial"/>
          <w:sz w:val="16"/>
          <w:szCs w:val="16"/>
        </w:rPr>
      </w:pPr>
      <w:r w:rsidRPr="00356E0C">
        <w:rPr>
          <w:rFonts w:ascii="Arial" w:hAnsi="Arial" w:cs="Arial"/>
          <w:sz w:val="24"/>
          <w:szCs w:val="24"/>
        </w:rPr>
        <w:t>expert advisory groups compr</w:t>
      </w:r>
      <w:r w:rsidR="00795C20">
        <w:rPr>
          <w:rFonts w:ascii="Arial" w:hAnsi="Arial" w:cs="Arial"/>
          <w:sz w:val="24"/>
          <w:szCs w:val="24"/>
        </w:rPr>
        <w:t>ised of representatives from a r</w:t>
      </w:r>
      <w:r w:rsidRPr="00356E0C">
        <w:rPr>
          <w:rFonts w:ascii="Arial" w:hAnsi="Arial" w:cs="Arial"/>
          <w:sz w:val="24"/>
          <w:szCs w:val="24"/>
        </w:rPr>
        <w:t>ange of higher education providers and support organisations to advis</w:t>
      </w:r>
      <w:r w:rsidR="00795C20">
        <w:rPr>
          <w:rFonts w:ascii="Arial" w:hAnsi="Arial" w:cs="Arial"/>
          <w:sz w:val="24"/>
          <w:szCs w:val="24"/>
        </w:rPr>
        <w:t>e on aspects of TEF development;</w:t>
      </w:r>
    </w:p>
    <w:p w14:paraId="0F567ADE" w14:textId="77777777" w:rsidR="00D423CE" w:rsidRPr="006A0B80" w:rsidRDefault="00D423CE" w:rsidP="00AF7684">
      <w:pPr>
        <w:pStyle w:val="ListParagraph"/>
        <w:numPr>
          <w:ilvl w:val="0"/>
          <w:numId w:val="2"/>
        </w:numPr>
        <w:autoSpaceDE w:val="0"/>
        <w:autoSpaceDN w:val="0"/>
        <w:adjustRightInd w:val="0"/>
        <w:spacing w:after="60" w:line="240" w:lineRule="auto"/>
        <w:contextualSpacing w:val="0"/>
        <w:rPr>
          <w:rFonts w:ascii="Arial" w:hAnsi="Arial" w:cs="Arial"/>
          <w:sz w:val="16"/>
          <w:szCs w:val="16"/>
        </w:rPr>
      </w:pPr>
      <w:r>
        <w:rPr>
          <w:rFonts w:ascii="Arial" w:hAnsi="Arial" w:cs="Arial"/>
          <w:sz w:val="24"/>
          <w:szCs w:val="24"/>
        </w:rPr>
        <w:t>input from a User Group consisting of representatives from providers, students and employers;</w:t>
      </w:r>
    </w:p>
    <w:p w14:paraId="03B4543E" w14:textId="77777777" w:rsidR="006E38F3" w:rsidRPr="006A0B80" w:rsidRDefault="006E38F3" w:rsidP="00AF7684">
      <w:pPr>
        <w:pStyle w:val="ListParagraph"/>
        <w:numPr>
          <w:ilvl w:val="0"/>
          <w:numId w:val="2"/>
        </w:numPr>
        <w:autoSpaceDE w:val="0"/>
        <w:autoSpaceDN w:val="0"/>
        <w:adjustRightInd w:val="0"/>
        <w:spacing w:after="60" w:line="240" w:lineRule="auto"/>
        <w:contextualSpacing w:val="0"/>
        <w:rPr>
          <w:rFonts w:ascii="Arial" w:hAnsi="Arial" w:cs="Arial"/>
          <w:sz w:val="16"/>
          <w:szCs w:val="16"/>
        </w:rPr>
      </w:pPr>
      <w:r w:rsidRPr="00356E0C">
        <w:rPr>
          <w:rFonts w:ascii="Arial" w:hAnsi="Arial" w:cs="Arial"/>
          <w:sz w:val="24"/>
          <w:szCs w:val="24"/>
        </w:rPr>
        <w:t xml:space="preserve">discussion with individuals from a range of providers, </w:t>
      </w:r>
      <w:r w:rsidR="00957C81">
        <w:rPr>
          <w:rFonts w:ascii="Arial" w:hAnsi="Arial" w:cs="Arial"/>
          <w:sz w:val="24"/>
          <w:szCs w:val="24"/>
        </w:rPr>
        <w:t>higher education</w:t>
      </w:r>
      <w:r w:rsidRPr="00356E0C">
        <w:rPr>
          <w:rFonts w:ascii="Arial" w:hAnsi="Arial" w:cs="Arial"/>
          <w:sz w:val="24"/>
          <w:szCs w:val="24"/>
        </w:rPr>
        <w:t xml:space="preserve"> representative bodies, academic support organisations, employer representative bodies and student representative bodies;</w:t>
      </w:r>
    </w:p>
    <w:p w14:paraId="38108DD7" w14:textId="77777777" w:rsidR="006E38F3" w:rsidRPr="006A0B80" w:rsidRDefault="006E38F3" w:rsidP="00AF7684">
      <w:pPr>
        <w:pStyle w:val="ListParagraph"/>
        <w:numPr>
          <w:ilvl w:val="0"/>
          <w:numId w:val="2"/>
        </w:numPr>
        <w:autoSpaceDE w:val="0"/>
        <w:autoSpaceDN w:val="0"/>
        <w:adjustRightInd w:val="0"/>
        <w:spacing w:after="60" w:line="240" w:lineRule="auto"/>
        <w:contextualSpacing w:val="0"/>
        <w:rPr>
          <w:rFonts w:ascii="Arial" w:hAnsi="Arial" w:cs="Arial"/>
          <w:sz w:val="16"/>
          <w:szCs w:val="16"/>
        </w:rPr>
      </w:pPr>
      <w:r w:rsidRPr="00356E0C">
        <w:rPr>
          <w:rFonts w:ascii="Arial" w:hAnsi="Arial" w:cs="Arial"/>
          <w:sz w:val="24"/>
          <w:szCs w:val="24"/>
        </w:rPr>
        <w:t>focus groups with professional, statutory and regulatory bodies (PSRBs), employers, and students;</w:t>
      </w:r>
    </w:p>
    <w:p w14:paraId="6E1E373C" w14:textId="77777777" w:rsidR="006E38F3" w:rsidRPr="00356E0C" w:rsidRDefault="006E38F3" w:rsidP="00AF7684">
      <w:pPr>
        <w:pStyle w:val="ListParagraph"/>
        <w:numPr>
          <w:ilvl w:val="0"/>
          <w:numId w:val="2"/>
        </w:numPr>
        <w:autoSpaceDE w:val="0"/>
        <w:autoSpaceDN w:val="0"/>
        <w:adjustRightInd w:val="0"/>
        <w:spacing w:after="60" w:line="240" w:lineRule="auto"/>
        <w:contextualSpacing w:val="0"/>
        <w:rPr>
          <w:rFonts w:ascii="Arial" w:hAnsi="Arial" w:cs="Arial"/>
          <w:sz w:val="24"/>
          <w:szCs w:val="24"/>
        </w:rPr>
      </w:pPr>
      <w:r w:rsidRPr="00356E0C">
        <w:rPr>
          <w:rFonts w:ascii="Arial" w:hAnsi="Arial" w:cs="Arial"/>
          <w:sz w:val="24"/>
          <w:szCs w:val="24"/>
        </w:rPr>
        <w:t>a sp</w:t>
      </w:r>
      <w:r w:rsidR="00D423CE">
        <w:rPr>
          <w:rFonts w:ascii="Arial" w:hAnsi="Arial" w:cs="Arial"/>
          <w:sz w:val="24"/>
          <w:szCs w:val="24"/>
        </w:rPr>
        <w:t>ecial meeting of the TEF working group of the HEA’s PVC N</w:t>
      </w:r>
      <w:r w:rsidRPr="00356E0C">
        <w:rPr>
          <w:rFonts w:ascii="Arial" w:hAnsi="Arial" w:cs="Arial"/>
          <w:sz w:val="24"/>
          <w:szCs w:val="24"/>
        </w:rPr>
        <w:t>etwork (composed of Pro-Vice-Chancellors and Deputy-Vice-Chancellors with responsibility for learning and teaching) wh</w:t>
      </w:r>
      <w:r w:rsidR="00EE403E">
        <w:rPr>
          <w:rFonts w:ascii="Arial" w:hAnsi="Arial" w:cs="Arial"/>
          <w:sz w:val="24"/>
          <w:szCs w:val="24"/>
        </w:rPr>
        <w:t>ich took place in February 2016.</w:t>
      </w:r>
    </w:p>
    <w:p w14:paraId="032945B7" w14:textId="77777777" w:rsidR="006E38F3" w:rsidRPr="001708F9" w:rsidRDefault="006E38F3" w:rsidP="001708F9">
      <w:pPr>
        <w:autoSpaceDE w:val="0"/>
        <w:autoSpaceDN w:val="0"/>
        <w:adjustRightInd w:val="0"/>
        <w:spacing w:after="0"/>
        <w:rPr>
          <w:rFonts w:cs="Arial"/>
        </w:rPr>
      </w:pPr>
    </w:p>
    <w:p w14:paraId="61643CDE" w14:textId="77777777" w:rsidR="006E38F3" w:rsidRPr="00D1182A" w:rsidRDefault="006E38F3" w:rsidP="00AF7684">
      <w:pPr>
        <w:pStyle w:val="ListParagraph"/>
        <w:numPr>
          <w:ilvl w:val="0"/>
          <w:numId w:val="18"/>
        </w:numPr>
        <w:spacing w:after="0"/>
        <w:ind w:left="142" w:hanging="426"/>
        <w:rPr>
          <w:rFonts w:ascii="Arial" w:hAnsi="Arial" w:cs="Arial"/>
          <w:sz w:val="24"/>
          <w:szCs w:val="24"/>
        </w:rPr>
      </w:pPr>
      <w:r w:rsidRPr="00D1182A">
        <w:rPr>
          <w:rFonts w:ascii="Arial" w:hAnsi="Arial" w:cs="Arial"/>
          <w:sz w:val="24"/>
          <w:szCs w:val="24"/>
        </w:rPr>
        <w:t xml:space="preserve">See also </w:t>
      </w:r>
      <w:r w:rsidR="00E51D2A" w:rsidRPr="00CC6134">
        <w:rPr>
          <w:rFonts w:ascii="Arial" w:hAnsi="Arial" w:cs="Arial"/>
          <w:b/>
          <w:sz w:val="24"/>
          <w:szCs w:val="24"/>
        </w:rPr>
        <w:t xml:space="preserve">Annex </w:t>
      </w:r>
      <w:r w:rsidR="002D484D" w:rsidRPr="00CC6134">
        <w:rPr>
          <w:rFonts w:ascii="Arial" w:hAnsi="Arial" w:cs="Arial"/>
          <w:b/>
          <w:sz w:val="24"/>
          <w:szCs w:val="24"/>
        </w:rPr>
        <w:t>I</w:t>
      </w:r>
      <w:r w:rsidRPr="00CC6134">
        <w:rPr>
          <w:rFonts w:ascii="Arial" w:hAnsi="Arial" w:cs="Arial"/>
          <w:b/>
          <w:sz w:val="24"/>
          <w:szCs w:val="24"/>
        </w:rPr>
        <w:t>: Acknowledgements</w:t>
      </w:r>
      <w:r w:rsidRPr="00D1182A">
        <w:rPr>
          <w:rFonts w:ascii="Arial" w:hAnsi="Arial" w:cs="Arial"/>
          <w:sz w:val="24"/>
          <w:szCs w:val="24"/>
        </w:rPr>
        <w:t xml:space="preserve">. </w:t>
      </w:r>
    </w:p>
    <w:p w14:paraId="5D80041D" w14:textId="77777777" w:rsidR="006E38F3" w:rsidRDefault="006E38F3" w:rsidP="006E38F3">
      <w:pPr>
        <w:autoSpaceDE w:val="0"/>
        <w:autoSpaceDN w:val="0"/>
        <w:adjustRightInd w:val="0"/>
        <w:spacing w:after="0"/>
        <w:rPr>
          <w:rFonts w:cs="Arial"/>
        </w:rPr>
      </w:pPr>
    </w:p>
    <w:p w14:paraId="132AB9DC" w14:textId="77777777" w:rsidR="006E38F3" w:rsidRPr="00E463CD" w:rsidRDefault="006E38F3" w:rsidP="00FD0E93">
      <w:pPr>
        <w:pStyle w:val="Heading3"/>
        <w:spacing w:after="0"/>
        <w:ind w:hanging="284"/>
      </w:pPr>
      <w:bookmarkStart w:id="11" w:name="_Toc450147971"/>
      <w:bookmarkStart w:id="12" w:name="_Toc450886541"/>
      <w:r w:rsidRPr="00C26F23">
        <w:t>Definition of terms</w:t>
      </w:r>
      <w:bookmarkEnd w:id="11"/>
      <w:bookmarkEnd w:id="12"/>
    </w:p>
    <w:p w14:paraId="6928E0EC" w14:textId="77777777" w:rsidR="006E38F3" w:rsidRPr="00D1182A" w:rsidRDefault="006E38F3" w:rsidP="00AF7684">
      <w:pPr>
        <w:pStyle w:val="ListParagraph"/>
        <w:numPr>
          <w:ilvl w:val="0"/>
          <w:numId w:val="18"/>
        </w:numPr>
        <w:tabs>
          <w:tab w:val="left" w:pos="142"/>
        </w:tabs>
        <w:spacing w:after="0"/>
        <w:ind w:left="142" w:hanging="426"/>
        <w:rPr>
          <w:rFonts w:ascii="Arial" w:hAnsi="Arial" w:cs="Arial"/>
          <w:sz w:val="24"/>
          <w:szCs w:val="24"/>
        </w:rPr>
      </w:pPr>
      <w:r w:rsidRPr="00D1182A">
        <w:rPr>
          <w:rFonts w:ascii="Arial" w:hAnsi="Arial" w:cs="Arial"/>
          <w:sz w:val="24"/>
          <w:szCs w:val="24"/>
        </w:rPr>
        <w:t>This document uses a number of technical terms which are de</w:t>
      </w:r>
      <w:r w:rsidR="00EA4D78" w:rsidRPr="00D1182A">
        <w:rPr>
          <w:rFonts w:ascii="Arial" w:hAnsi="Arial" w:cs="Arial"/>
          <w:sz w:val="24"/>
          <w:szCs w:val="24"/>
        </w:rPr>
        <w:t xml:space="preserve">fined in the glossary in </w:t>
      </w:r>
      <w:r w:rsidR="00EA4D78" w:rsidRPr="00CC6134">
        <w:rPr>
          <w:rFonts w:ascii="Arial" w:hAnsi="Arial" w:cs="Arial"/>
          <w:b/>
          <w:sz w:val="24"/>
          <w:szCs w:val="24"/>
        </w:rPr>
        <w:t>Annex A</w:t>
      </w:r>
      <w:r w:rsidRPr="00D1182A">
        <w:rPr>
          <w:rFonts w:ascii="Arial" w:hAnsi="Arial" w:cs="Arial"/>
          <w:sz w:val="24"/>
          <w:szCs w:val="24"/>
        </w:rPr>
        <w:t>.</w:t>
      </w:r>
    </w:p>
    <w:p w14:paraId="604999D2" w14:textId="77777777" w:rsidR="006E38F3" w:rsidRPr="00D1182A" w:rsidRDefault="006E38F3" w:rsidP="00D1182A">
      <w:pPr>
        <w:pStyle w:val="ListParagraph"/>
        <w:spacing w:after="0"/>
        <w:ind w:left="0"/>
        <w:rPr>
          <w:rFonts w:ascii="Arial" w:hAnsi="Arial" w:cs="Arial"/>
          <w:sz w:val="24"/>
          <w:szCs w:val="24"/>
        </w:rPr>
      </w:pPr>
    </w:p>
    <w:p w14:paraId="029EF033" w14:textId="77777777" w:rsidR="00DC42AA" w:rsidRDefault="00DC42AA" w:rsidP="00DC42AA">
      <w:pPr>
        <w:spacing w:after="0"/>
      </w:pPr>
      <w:r>
        <w:br w:type="page"/>
      </w:r>
    </w:p>
    <w:p w14:paraId="26717F03" w14:textId="77777777" w:rsidR="009407DE" w:rsidRDefault="009407DE" w:rsidP="00FD0E93">
      <w:pPr>
        <w:pStyle w:val="Heading2"/>
        <w:ind w:hanging="284"/>
      </w:pPr>
      <w:bookmarkStart w:id="13" w:name="_Toc450147972"/>
      <w:bookmarkStart w:id="14" w:name="_Toc450886542"/>
      <w:r>
        <w:lastRenderedPageBreak/>
        <w:t xml:space="preserve">Overview of the TEF in Year </w:t>
      </w:r>
      <w:r w:rsidR="000D32D7">
        <w:t>Two</w:t>
      </w:r>
      <w:bookmarkEnd w:id="13"/>
      <w:bookmarkEnd w:id="14"/>
    </w:p>
    <w:p w14:paraId="6B226F8E" w14:textId="5C2889FC" w:rsidR="009407DE" w:rsidRPr="00C877EB" w:rsidRDefault="009407DE" w:rsidP="00AF7684">
      <w:pPr>
        <w:pStyle w:val="ListParagraph"/>
        <w:numPr>
          <w:ilvl w:val="0"/>
          <w:numId w:val="18"/>
        </w:numPr>
        <w:tabs>
          <w:tab w:val="left" w:pos="142"/>
        </w:tabs>
        <w:spacing w:after="0"/>
        <w:ind w:left="142" w:hanging="426"/>
        <w:rPr>
          <w:rFonts w:ascii="Arial" w:hAnsi="Arial" w:cs="Arial"/>
          <w:sz w:val="24"/>
          <w:szCs w:val="24"/>
        </w:rPr>
      </w:pPr>
      <w:r w:rsidRPr="00C877EB">
        <w:rPr>
          <w:rFonts w:ascii="Arial" w:hAnsi="Arial" w:cs="Arial"/>
          <w:sz w:val="24"/>
          <w:szCs w:val="24"/>
        </w:rPr>
        <w:t>The White Paper outlines t</w:t>
      </w:r>
      <w:r w:rsidR="00D706C6" w:rsidRPr="00C877EB">
        <w:rPr>
          <w:rFonts w:ascii="Arial" w:hAnsi="Arial" w:cs="Arial"/>
          <w:sz w:val="24"/>
          <w:szCs w:val="24"/>
        </w:rPr>
        <w:t>he development of the TEF over Y</w:t>
      </w:r>
      <w:r w:rsidRPr="00C877EB">
        <w:rPr>
          <w:rFonts w:ascii="Arial" w:hAnsi="Arial" w:cs="Arial"/>
          <w:sz w:val="24"/>
          <w:szCs w:val="24"/>
        </w:rPr>
        <w:t xml:space="preserve">ears </w:t>
      </w:r>
      <w:r w:rsidR="001F25F1" w:rsidRPr="00C877EB">
        <w:rPr>
          <w:rFonts w:ascii="Arial" w:hAnsi="Arial" w:cs="Arial"/>
          <w:sz w:val="24"/>
          <w:szCs w:val="24"/>
        </w:rPr>
        <w:t xml:space="preserve">One to </w:t>
      </w:r>
      <w:proofErr w:type="gramStart"/>
      <w:r w:rsidR="001F25F1" w:rsidRPr="00C877EB">
        <w:rPr>
          <w:rFonts w:ascii="Arial" w:hAnsi="Arial" w:cs="Arial"/>
          <w:sz w:val="24"/>
          <w:szCs w:val="24"/>
        </w:rPr>
        <w:t>Four</w:t>
      </w:r>
      <w:proofErr w:type="gramEnd"/>
      <w:r w:rsidR="004019C1" w:rsidRPr="00C877EB">
        <w:rPr>
          <w:rFonts w:ascii="Arial" w:hAnsi="Arial" w:cs="Arial"/>
          <w:sz w:val="24"/>
          <w:szCs w:val="24"/>
        </w:rPr>
        <w:t xml:space="preserve"> and</w:t>
      </w:r>
      <w:r w:rsidR="003C3A27" w:rsidRPr="00C877EB">
        <w:rPr>
          <w:rFonts w:ascii="Arial" w:hAnsi="Arial" w:cs="Arial"/>
          <w:sz w:val="24"/>
          <w:szCs w:val="24"/>
        </w:rPr>
        <w:t xml:space="preserve"> sets out the Government’s plans for Year </w:t>
      </w:r>
      <w:r w:rsidR="001748F1" w:rsidRPr="00C877EB">
        <w:rPr>
          <w:rFonts w:ascii="Arial" w:hAnsi="Arial" w:cs="Arial"/>
          <w:sz w:val="24"/>
          <w:szCs w:val="24"/>
        </w:rPr>
        <w:t>One</w:t>
      </w:r>
      <w:r w:rsidR="003C3A27" w:rsidRPr="00C877EB">
        <w:rPr>
          <w:rFonts w:ascii="Arial" w:hAnsi="Arial" w:cs="Arial"/>
          <w:sz w:val="24"/>
          <w:szCs w:val="24"/>
        </w:rPr>
        <w:t xml:space="preserve">. </w:t>
      </w:r>
      <w:r w:rsidRPr="00C877EB">
        <w:rPr>
          <w:rFonts w:ascii="Arial" w:hAnsi="Arial" w:cs="Arial"/>
          <w:sz w:val="24"/>
          <w:szCs w:val="24"/>
        </w:rPr>
        <w:t xml:space="preserve">This </w:t>
      </w:r>
      <w:r w:rsidR="000E7DFB" w:rsidRPr="00C877EB">
        <w:rPr>
          <w:rFonts w:ascii="Arial" w:hAnsi="Arial" w:cs="Arial"/>
          <w:sz w:val="24"/>
          <w:szCs w:val="24"/>
        </w:rPr>
        <w:t>chapter</w:t>
      </w:r>
      <w:r w:rsidRPr="00C877EB">
        <w:rPr>
          <w:rFonts w:ascii="Arial" w:hAnsi="Arial" w:cs="Arial"/>
          <w:sz w:val="24"/>
          <w:szCs w:val="24"/>
        </w:rPr>
        <w:t xml:space="preserve"> </w:t>
      </w:r>
      <w:r w:rsidR="000E7DFB" w:rsidRPr="00C877EB">
        <w:rPr>
          <w:rFonts w:ascii="Arial" w:hAnsi="Arial" w:cs="Arial"/>
          <w:sz w:val="24"/>
          <w:szCs w:val="24"/>
        </w:rPr>
        <w:t>provides</w:t>
      </w:r>
      <w:r w:rsidRPr="00C877EB">
        <w:rPr>
          <w:rFonts w:ascii="Arial" w:hAnsi="Arial" w:cs="Arial"/>
          <w:sz w:val="24"/>
          <w:szCs w:val="24"/>
        </w:rPr>
        <w:t xml:space="preserve"> a brief overview of </w:t>
      </w:r>
      <w:r w:rsidR="000E7DFB" w:rsidRPr="00C877EB">
        <w:rPr>
          <w:rFonts w:ascii="Arial" w:hAnsi="Arial" w:cs="Arial"/>
          <w:sz w:val="24"/>
          <w:szCs w:val="24"/>
        </w:rPr>
        <w:t>the ke</w:t>
      </w:r>
      <w:r w:rsidR="001F25F1" w:rsidRPr="00C877EB">
        <w:rPr>
          <w:rFonts w:ascii="Arial" w:hAnsi="Arial" w:cs="Arial"/>
          <w:sz w:val="24"/>
          <w:szCs w:val="24"/>
        </w:rPr>
        <w:t>y features for Year Two</w:t>
      </w:r>
      <w:r w:rsidR="00D70EDD" w:rsidRPr="00C877EB">
        <w:rPr>
          <w:rFonts w:ascii="Arial" w:hAnsi="Arial" w:cs="Arial"/>
          <w:sz w:val="24"/>
          <w:szCs w:val="24"/>
        </w:rPr>
        <w:t>,</w:t>
      </w:r>
      <w:r w:rsidR="00EE403E" w:rsidRPr="00C877EB">
        <w:rPr>
          <w:rFonts w:ascii="Arial" w:hAnsi="Arial" w:cs="Arial"/>
          <w:sz w:val="24"/>
          <w:szCs w:val="24"/>
        </w:rPr>
        <w:t xml:space="preserve"> included in </w:t>
      </w:r>
      <w:r w:rsidR="008F34A5" w:rsidRPr="00C877EB">
        <w:rPr>
          <w:rFonts w:ascii="Arial" w:hAnsi="Arial" w:cs="Arial"/>
          <w:sz w:val="24"/>
          <w:szCs w:val="24"/>
        </w:rPr>
        <w:t>the White Paper</w:t>
      </w:r>
      <w:r w:rsidR="00D70EDD" w:rsidRPr="00C877EB">
        <w:rPr>
          <w:rFonts w:ascii="Arial" w:hAnsi="Arial" w:cs="Arial"/>
          <w:sz w:val="24"/>
          <w:szCs w:val="24"/>
        </w:rPr>
        <w:t>,</w:t>
      </w:r>
      <w:r w:rsidR="00D706C6" w:rsidRPr="00C877EB">
        <w:rPr>
          <w:rFonts w:ascii="Arial" w:hAnsi="Arial" w:cs="Arial"/>
          <w:sz w:val="24"/>
          <w:szCs w:val="24"/>
        </w:rPr>
        <w:t xml:space="preserve"> </w:t>
      </w:r>
      <w:r w:rsidR="000E7DFB" w:rsidRPr="00C877EB">
        <w:rPr>
          <w:rFonts w:ascii="Arial" w:hAnsi="Arial" w:cs="Arial"/>
          <w:sz w:val="24"/>
          <w:szCs w:val="24"/>
        </w:rPr>
        <w:t xml:space="preserve">for ease </w:t>
      </w:r>
      <w:r w:rsidR="00EE403E" w:rsidRPr="00C877EB">
        <w:rPr>
          <w:rFonts w:ascii="Arial" w:hAnsi="Arial" w:cs="Arial"/>
          <w:sz w:val="24"/>
          <w:szCs w:val="24"/>
        </w:rPr>
        <w:t>of reference. T</w:t>
      </w:r>
      <w:r w:rsidR="00D706C6" w:rsidRPr="00C877EB">
        <w:rPr>
          <w:rFonts w:ascii="Arial" w:hAnsi="Arial" w:cs="Arial"/>
          <w:sz w:val="24"/>
          <w:szCs w:val="24"/>
        </w:rPr>
        <w:t>he chapters that follow present our proposals in more detail.</w:t>
      </w:r>
      <w:r w:rsidRPr="00C877EB">
        <w:rPr>
          <w:rFonts w:ascii="Arial" w:hAnsi="Arial" w:cs="Arial"/>
          <w:sz w:val="24"/>
          <w:szCs w:val="24"/>
        </w:rPr>
        <w:t xml:space="preserve"> </w:t>
      </w:r>
    </w:p>
    <w:p w14:paraId="231E86C9" w14:textId="77777777" w:rsidR="000E7DFB" w:rsidRDefault="000E7DFB" w:rsidP="009407DE">
      <w:pPr>
        <w:spacing w:after="0"/>
        <w:rPr>
          <w:rFonts w:cs="Arial"/>
        </w:rPr>
      </w:pPr>
    </w:p>
    <w:p w14:paraId="65258B95" w14:textId="77777777" w:rsidR="00D55CF0" w:rsidRPr="00D55CF0" w:rsidRDefault="000E7DFB" w:rsidP="00FD0E93">
      <w:pPr>
        <w:pStyle w:val="Heading3"/>
        <w:spacing w:after="0"/>
        <w:ind w:hanging="284"/>
        <w:rPr>
          <w:b w:val="0"/>
          <w:color w:val="auto"/>
          <w:sz w:val="20"/>
          <w:szCs w:val="20"/>
          <w:highlight w:val="yellow"/>
        </w:rPr>
      </w:pPr>
      <w:bookmarkStart w:id="15" w:name="_Toc450147973"/>
      <w:bookmarkStart w:id="16" w:name="_Toc450886543"/>
      <w:r w:rsidRPr="00077DDA">
        <w:t xml:space="preserve">Key features of Year </w:t>
      </w:r>
      <w:r w:rsidR="001F25F1">
        <w:t>Two</w:t>
      </w:r>
      <w:bookmarkEnd w:id="15"/>
      <w:bookmarkEnd w:id="16"/>
      <w:r w:rsidR="00D55CF0">
        <w:t xml:space="preserve"> </w:t>
      </w:r>
    </w:p>
    <w:p w14:paraId="6C68C6AA" w14:textId="0EBA49DA" w:rsidR="00FA4CE8" w:rsidRPr="00C877EB" w:rsidRDefault="00FA4CE8" w:rsidP="00AF7684">
      <w:pPr>
        <w:pStyle w:val="ListParagraph"/>
        <w:numPr>
          <w:ilvl w:val="0"/>
          <w:numId w:val="18"/>
        </w:numPr>
        <w:tabs>
          <w:tab w:val="left" w:pos="142"/>
        </w:tabs>
        <w:spacing w:after="0"/>
        <w:ind w:left="142" w:hanging="426"/>
        <w:rPr>
          <w:rFonts w:ascii="Arial" w:hAnsi="Arial" w:cs="Arial"/>
          <w:sz w:val="24"/>
          <w:szCs w:val="24"/>
        </w:rPr>
      </w:pPr>
      <w:r w:rsidRPr="00C877EB">
        <w:rPr>
          <w:rFonts w:ascii="Arial" w:hAnsi="Arial" w:cs="Arial"/>
          <w:sz w:val="24"/>
          <w:szCs w:val="24"/>
        </w:rPr>
        <w:t xml:space="preserve">For providers, Year Two will </w:t>
      </w:r>
      <w:r w:rsidR="00315AB9" w:rsidRPr="00C877EB">
        <w:rPr>
          <w:rFonts w:ascii="Arial" w:hAnsi="Arial" w:cs="Arial"/>
          <w:sz w:val="24"/>
          <w:szCs w:val="24"/>
        </w:rPr>
        <w:t>be the first time that they could be</w:t>
      </w:r>
      <w:r w:rsidRPr="00C877EB">
        <w:rPr>
          <w:rFonts w:ascii="Arial" w:hAnsi="Arial" w:cs="Arial"/>
          <w:sz w:val="24"/>
          <w:szCs w:val="24"/>
        </w:rPr>
        <w:t xml:space="preserve"> assessed using the TEF framework</w:t>
      </w:r>
      <w:r w:rsidR="00216145" w:rsidRPr="00C877EB">
        <w:rPr>
          <w:rFonts w:ascii="Arial" w:hAnsi="Arial" w:cs="Arial"/>
          <w:sz w:val="24"/>
          <w:szCs w:val="24"/>
        </w:rPr>
        <w:t xml:space="preserve"> and potentially receive a rating of ‘Excellent’ or ‘</w:t>
      </w:r>
      <w:proofErr w:type="gramStart"/>
      <w:r w:rsidR="00216145" w:rsidRPr="00C877EB">
        <w:rPr>
          <w:rFonts w:ascii="Arial" w:hAnsi="Arial" w:cs="Arial"/>
          <w:sz w:val="24"/>
          <w:szCs w:val="24"/>
        </w:rPr>
        <w:t>Outstanding</w:t>
      </w:r>
      <w:proofErr w:type="gramEnd"/>
      <w:r w:rsidR="00216145" w:rsidRPr="00C877EB">
        <w:rPr>
          <w:rFonts w:ascii="Arial" w:hAnsi="Arial" w:cs="Arial"/>
          <w:sz w:val="24"/>
          <w:szCs w:val="24"/>
        </w:rPr>
        <w:t>’</w:t>
      </w:r>
      <w:r w:rsidRPr="00C877EB">
        <w:rPr>
          <w:rFonts w:ascii="Arial" w:hAnsi="Arial" w:cs="Arial"/>
          <w:sz w:val="24"/>
          <w:szCs w:val="24"/>
        </w:rPr>
        <w:t xml:space="preserve">. It will </w:t>
      </w:r>
      <w:r w:rsidR="00D93E16" w:rsidRPr="00C877EB">
        <w:rPr>
          <w:rFonts w:ascii="Arial" w:hAnsi="Arial" w:cs="Arial"/>
          <w:sz w:val="24"/>
          <w:szCs w:val="24"/>
        </w:rPr>
        <w:t xml:space="preserve">allow them to </w:t>
      </w:r>
      <w:r w:rsidRPr="00C877EB">
        <w:rPr>
          <w:rFonts w:ascii="Arial" w:hAnsi="Arial" w:cs="Arial"/>
          <w:sz w:val="24"/>
          <w:szCs w:val="24"/>
        </w:rPr>
        <w:t xml:space="preserve">give a clear </w:t>
      </w:r>
      <w:r w:rsidR="00D93E16" w:rsidRPr="00C877EB">
        <w:rPr>
          <w:rFonts w:ascii="Arial" w:hAnsi="Arial" w:cs="Arial"/>
          <w:sz w:val="24"/>
          <w:szCs w:val="24"/>
        </w:rPr>
        <w:t xml:space="preserve">signal to students and other </w:t>
      </w:r>
      <w:r w:rsidR="00B0095C" w:rsidRPr="00C877EB">
        <w:rPr>
          <w:rFonts w:ascii="Arial" w:hAnsi="Arial" w:cs="Arial"/>
          <w:sz w:val="24"/>
          <w:szCs w:val="24"/>
        </w:rPr>
        <w:t>stakeholders about the quality of their teaching. The rating they receive will also</w:t>
      </w:r>
      <w:r w:rsidR="00641D6A" w:rsidRPr="00C877EB">
        <w:rPr>
          <w:rFonts w:ascii="Arial" w:hAnsi="Arial" w:cs="Arial"/>
          <w:sz w:val="24"/>
          <w:szCs w:val="24"/>
        </w:rPr>
        <w:t>, as highlighted in the White Paper, have</w:t>
      </w:r>
      <w:r w:rsidR="00B0095C" w:rsidRPr="00C877EB">
        <w:rPr>
          <w:rFonts w:ascii="Arial" w:hAnsi="Arial" w:cs="Arial"/>
          <w:sz w:val="24"/>
          <w:szCs w:val="24"/>
        </w:rPr>
        <w:t xml:space="preserve"> financial and reputational benefits.</w:t>
      </w:r>
      <w:r w:rsidR="00D93E16" w:rsidRPr="00C877EB">
        <w:rPr>
          <w:rFonts w:ascii="Arial" w:hAnsi="Arial" w:cs="Arial"/>
          <w:sz w:val="24"/>
          <w:szCs w:val="24"/>
        </w:rPr>
        <w:t xml:space="preserve"> </w:t>
      </w:r>
      <w:r w:rsidR="004D6626" w:rsidRPr="00C877EB">
        <w:rPr>
          <w:rFonts w:ascii="Arial" w:hAnsi="Arial" w:cs="Arial"/>
          <w:sz w:val="24"/>
          <w:szCs w:val="24"/>
        </w:rPr>
        <w:t>For st</w:t>
      </w:r>
      <w:r w:rsidR="00D93E16" w:rsidRPr="00C877EB">
        <w:rPr>
          <w:rFonts w:ascii="Arial" w:hAnsi="Arial" w:cs="Arial"/>
          <w:sz w:val="24"/>
          <w:szCs w:val="24"/>
        </w:rPr>
        <w:t>udents and employers, the TEF in Year Two</w:t>
      </w:r>
      <w:r w:rsidR="004D6626" w:rsidRPr="00C877EB">
        <w:rPr>
          <w:rFonts w:ascii="Arial" w:hAnsi="Arial" w:cs="Arial"/>
          <w:sz w:val="24"/>
          <w:szCs w:val="24"/>
        </w:rPr>
        <w:t xml:space="preserve"> will be the first time they are able to see differentiated judgements of the teaching in different providers </w:t>
      </w:r>
      <w:r w:rsidR="008740BF" w:rsidRPr="00C877EB">
        <w:rPr>
          <w:rFonts w:ascii="Arial" w:hAnsi="Arial" w:cs="Arial"/>
          <w:sz w:val="24"/>
          <w:szCs w:val="24"/>
        </w:rPr>
        <w:t>and to</w:t>
      </w:r>
      <w:r w:rsidR="004D6626" w:rsidRPr="00C877EB">
        <w:rPr>
          <w:rFonts w:ascii="Arial" w:hAnsi="Arial" w:cs="Arial"/>
          <w:sz w:val="24"/>
          <w:szCs w:val="24"/>
        </w:rPr>
        <w:t xml:space="preserve"> use this information to determine where the best provision can be found. </w:t>
      </w:r>
    </w:p>
    <w:p w14:paraId="0A9A6B69" w14:textId="77777777" w:rsidR="00FA4CE8" w:rsidRPr="00C877EB" w:rsidRDefault="00FA4CE8" w:rsidP="00C877EB">
      <w:pPr>
        <w:pStyle w:val="ListParagraph"/>
        <w:tabs>
          <w:tab w:val="left" w:pos="142"/>
        </w:tabs>
        <w:spacing w:after="0"/>
        <w:ind w:left="142"/>
        <w:rPr>
          <w:rFonts w:ascii="Arial" w:hAnsi="Arial" w:cs="Arial"/>
          <w:sz w:val="24"/>
          <w:szCs w:val="24"/>
        </w:rPr>
      </w:pPr>
    </w:p>
    <w:p w14:paraId="6117542A" w14:textId="77777777" w:rsidR="000E7DFB" w:rsidRPr="00C877EB" w:rsidRDefault="00274A74" w:rsidP="00AF7684">
      <w:pPr>
        <w:pStyle w:val="ListParagraph"/>
        <w:numPr>
          <w:ilvl w:val="0"/>
          <w:numId w:val="18"/>
        </w:numPr>
        <w:tabs>
          <w:tab w:val="left" w:pos="142"/>
        </w:tabs>
        <w:spacing w:after="0"/>
        <w:ind w:left="142" w:hanging="426"/>
        <w:rPr>
          <w:rFonts w:ascii="Arial" w:hAnsi="Arial" w:cs="Arial"/>
          <w:sz w:val="24"/>
          <w:szCs w:val="24"/>
        </w:rPr>
      </w:pPr>
      <w:r w:rsidRPr="00C877EB">
        <w:rPr>
          <w:rFonts w:ascii="Arial" w:hAnsi="Arial" w:cs="Arial"/>
          <w:sz w:val="24"/>
          <w:szCs w:val="24"/>
        </w:rPr>
        <w:t>As set out in the Government’s White Paper, i</w:t>
      </w:r>
      <w:r w:rsidR="00C04268" w:rsidRPr="00C877EB">
        <w:rPr>
          <w:rFonts w:ascii="Arial" w:hAnsi="Arial" w:cs="Arial"/>
          <w:sz w:val="24"/>
          <w:szCs w:val="24"/>
        </w:rPr>
        <w:t>n response</w:t>
      </w:r>
      <w:r w:rsidR="000E7DFB" w:rsidRPr="00C877EB">
        <w:rPr>
          <w:rFonts w:ascii="Arial" w:hAnsi="Arial" w:cs="Arial"/>
          <w:sz w:val="24"/>
          <w:szCs w:val="24"/>
        </w:rPr>
        <w:t xml:space="preserve"> to the views </w:t>
      </w:r>
      <w:r w:rsidR="00C04268" w:rsidRPr="00C877EB">
        <w:rPr>
          <w:rFonts w:ascii="Arial" w:hAnsi="Arial" w:cs="Arial"/>
          <w:sz w:val="24"/>
          <w:szCs w:val="24"/>
        </w:rPr>
        <w:t>of</w:t>
      </w:r>
      <w:r w:rsidR="000E7DFB" w:rsidRPr="00C877EB">
        <w:rPr>
          <w:rFonts w:ascii="Arial" w:hAnsi="Arial" w:cs="Arial"/>
          <w:sz w:val="24"/>
          <w:szCs w:val="24"/>
        </w:rPr>
        <w:t xml:space="preserve"> stakeholders </w:t>
      </w:r>
      <w:r w:rsidR="00C04268" w:rsidRPr="00C877EB">
        <w:rPr>
          <w:rFonts w:ascii="Arial" w:hAnsi="Arial" w:cs="Arial"/>
          <w:sz w:val="24"/>
          <w:szCs w:val="24"/>
        </w:rPr>
        <w:t>expressed during the</w:t>
      </w:r>
      <w:r w:rsidR="000E7DFB" w:rsidRPr="00C877EB">
        <w:rPr>
          <w:rFonts w:ascii="Arial" w:hAnsi="Arial" w:cs="Arial"/>
          <w:sz w:val="24"/>
          <w:szCs w:val="24"/>
        </w:rPr>
        <w:t xml:space="preserve"> Green Paper </w:t>
      </w:r>
      <w:r w:rsidR="00C04268" w:rsidRPr="00C877EB">
        <w:rPr>
          <w:rFonts w:ascii="Arial" w:hAnsi="Arial" w:cs="Arial"/>
          <w:sz w:val="24"/>
          <w:szCs w:val="24"/>
        </w:rPr>
        <w:t>consultation</w:t>
      </w:r>
      <w:r w:rsidR="000E7DFB" w:rsidRPr="00C877EB">
        <w:rPr>
          <w:rFonts w:ascii="Arial" w:hAnsi="Arial" w:cs="Arial"/>
          <w:sz w:val="24"/>
          <w:szCs w:val="24"/>
        </w:rPr>
        <w:t>, including the Business, Innovation and Skills Select Committee</w:t>
      </w:r>
      <w:r w:rsidR="00C04268" w:rsidRPr="00C877EB">
        <w:rPr>
          <w:rFonts w:ascii="Arial" w:hAnsi="Arial" w:cs="Arial"/>
          <w:sz w:val="24"/>
          <w:szCs w:val="24"/>
        </w:rPr>
        <w:t>, the Government has decided</w:t>
      </w:r>
      <w:r w:rsidR="000E7DFB" w:rsidRPr="00C877EB">
        <w:rPr>
          <w:rFonts w:ascii="Arial" w:hAnsi="Arial" w:cs="Arial"/>
          <w:sz w:val="24"/>
          <w:szCs w:val="24"/>
        </w:rPr>
        <w:t xml:space="preserve"> to make TEF Year </w:t>
      </w:r>
      <w:r w:rsidR="001F25F1" w:rsidRPr="00C877EB">
        <w:rPr>
          <w:rFonts w:ascii="Arial" w:hAnsi="Arial" w:cs="Arial"/>
          <w:sz w:val="24"/>
          <w:szCs w:val="24"/>
        </w:rPr>
        <w:t>Two</w:t>
      </w:r>
      <w:r w:rsidR="000E7DFB" w:rsidRPr="00C877EB">
        <w:rPr>
          <w:rFonts w:ascii="Arial" w:hAnsi="Arial" w:cs="Arial"/>
          <w:sz w:val="24"/>
          <w:szCs w:val="24"/>
        </w:rPr>
        <w:t xml:space="preserve"> a trial year. </w:t>
      </w:r>
    </w:p>
    <w:p w14:paraId="5704B1DD" w14:textId="77777777" w:rsidR="000E7DFB" w:rsidRPr="00C877EB" w:rsidRDefault="000E7DFB" w:rsidP="00C877EB">
      <w:pPr>
        <w:pStyle w:val="ListParagraph"/>
        <w:tabs>
          <w:tab w:val="left" w:pos="142"/>
        </w:tabs>
        <w:spacing w:after="0"/>
        <w:ind w:left="142"/>
        <w:rPr>
          <w:rFonts w:ascii="Arial" w:hAnsi="Arial" w:cs="Arial"/>
          <w:sz w:val="24"/>
          <w:szCs w:val="24"/>
        </w:rPr>
      </w:pPr>
    </w:p>
    <w:p w14:paraId="6A28469F" w14:textId="77777777" w:rsidR="000E7DFB" w:rsidRPr="00C877EB" w:rsidRDefault="000E7DFB" w:rsidP="00AF7684">
      <w:pPr>
        <w:pStyle w:val="ListParagraph"/>
        <w:numPr>
          <w:ilvl w:val="0"/>
          <w:numId w:val="18"/>
        </w:numPr>
        <w:tabs>
          <w:tab w:val="left" w:pos="142"/>
        </w:tabs>
        <w:spacing w:after="0"/>
        <w:ind w:left="142" w:hanging="426"/>
        <w:rPr>
          <w:rFonts w:ascii="Arial" w:hAnsi="Arial" w:cs="Arial"/>
          <w:sz w:val="24"/>
          <w:szCs w:val="24"/>
        </w:rPr>
      </w:pPr>
      <w:r w:rsidRPr="00C877EB">
        <w:rPr>
          <w:rFonts w:ascii="Arial" w:hAnsi="Arial" w:cs="Arial"/>
          <w:sz w:val="24"/>
          <w:szCs w:val="24"/>
        </w:rPr>
        <w:t xml:space="preserve">In practice, this means that: </w:t>
      </w:r>
    </w:p>
    <w:p w14:paraId="262A2BB6" w14:textId="7CEED716" w:rsidR="000E7DFB" w:rsidRPr="00390179" w:rsidRDefault="00EE403E" w:rsidP="00AF7684">
      <w:pPr>
        <w:pStyle w:val="ListParagraph"/>
        <w:numPr>
          <w:ilvl w:val="0"/>
          <w:numId w:val="21"/>
        </w:numPr>
        <w:spacing w:after="0"/>
        <w:ind w:left="426" w:hanging="426"/>
        <w:rPr>
          <w:rFonts w:ascii="Arial" w:hAnsi="Arial" w:cs="Arial"/>
          <w:sz w:val="24"/>
          <w:szCs w:val="24"/>
        </w:rPr>
      </w:pPr>
      <w:r w:rsidRPr="00390179">
        <w:rPr>
          <w:rFonts w:ascii="Arial" w:hAnsi="Arial" w:cs="Arial"/>
          <w:sz w:val="24"/>
          <w:szCs w:val="24"/>
        </w:rPr>
        <w:t>We will trial assessments</w:t>
      </w:r>
      <w:r w:rsidR="000E7DFB" w:rsidRPr="00390179">
        <w:rPr>
          <w:rFonts w:ascii="Arial" w:hAnsi="Arial" w:cs="Arial"/>
          <w:sz w:val="24"/>
          <w:szCs w:val="24"/>
        </w:rPr>
        <w:t xml:space="preserve"> </w:t>
      </w:r>
      <w:r w:rsidR="00C04268" w:rsidRPr="00390179">
        <w:rPr>
          <w:rFonts w:ascii="Arial" w:hAnsi="Arial" w:cs="Arial"/>
          <w:sz w:val="24"/>
          <w:szCs w:val="24"/>
        </w:rPr>
        <w:t>in Year Two on a voluntary basis</w:t>
      </w:r>
      <w:r w:rsidR="000E7DFB" w:rsidRPr="00390179">
        <w:rPr>
          <w:rFonts w:ascii="Arial" w:hAnsi="Arial" w:cs="Arial"/>
          <w:sz w:val="24"/>
          <w:szCs w:val="24"/>
        </w:rPr>
        <w:t xml:space="preserve"> but any provider who opts to apply for </w:t>
      </w:r>
      <w:r w:rsidR="001748F1" w:rsidRPr="00390179">
        <w:rPr>
          <w:rFonts w:ascii="Arial" w:hAnsi="Arial" w:cs="Arial"/>
          <w:sz w:val="24"/>
          <w:szCs w:val="24"/>
        </w:rPr>
        <w:t xml:space="preserve">the </w:t>
      </w:r>
      <w:r w:rsidR="000E7DFB" w:rsidRPr="00390179">
        <w:rPr>
          <w:rFonts w:ascii="Arial" w:hAnsi="Arial" w:cs="Arial"/>
          <w:sz w:val="24"/>
          <w:szCs w:val="24"/>
        </w:rPr>
        <w:t xml:space="preserve">TEF will – provided they meet the </w:t>
      </w:r>
      <w:r w:rsidR="001748F1" w:rsidRPr="00390179">
        <w:rPr>
          <w:rFonts w:ascii="Arial" w:hAnsi="Arial" w:cs="Arial"/>
          <w:sz w:val="24"/>
          <w:szCs w:val="24"/>
        </w:rPr>
        <w:t>eligibility requirements</w:t>
      </w:r>
      <w:r w:rsidR="00D70EDD" w:rsidRPr="00390179">
        <w:rPr>
          <w:rFonts w:ascii="Arial" w:hAnsi="Arial" w:cs="Arial"/>
          <w:sz w:val="24"/>
          <w:szCs w:val="24"/>
        </w:rPr>
        <w:t xml:space="preserve"> including successfully meeting the requirements of the broader quality assurance system</w:t>
      </w:r>
      <w:r w:rsidR="000E7DFB" w:rsidRPr="00390179">
        <w:rPr>
          <w:rFonts w:ascii="Arial" w:hAnsi="Arial" w:cs="Arial"/>
          <w:sz w:val="24"/>
          <w:szCs w:val="24"/>
        </w:rPr>
        <w:t xml:space="preserve"> – be guaranteed to rece</w:t>
      </w:r>
      <w:r w:rsidR="00315AB9">
        <w:rPr>
          <w:rFonts w:ascii="Arial" w:hAnsi="Arial" w:cs="Arial"/>
          <w:sz w:val="24"/>
          <w:szCs w:val="24"/>
        </w:rPr>
        <w:t xml:space="preserve">ive at least a rating </w:t>
      </w:r>
      <w:r w:rsidR="00216145">
        <w:rPr>
          <w:rFonts w:ascii="Arial" w:hAnsi="Arial" w:cs="Arial"/>
          <w:sz w:val="24"/>
          <w:szCs w:val="24"/>
        </w:rPr>
        <w:t>of</w:t>
      </w:r>
      <w:r w:rsidR="00315AB9">
        <w:rPr>
          <w:rFonts w:ascii="Arial" w:hAnsi="Arial" w:cs="Arial"/>
          <w:sz w:val="24"/>
          <w:szCs w:val="24"/>
        </w:rPr>
        <w:t xml:space="preserve"> </w:t>
      </w:r>
      <w:r w:rsidR="00216145">
        <w:rPr>
          <w:rFonts w:ascii="Arial" w:hAnsi="Arial" w:cs="Arial"/>
          <w:sz w:val="24"/>
          <w:szCs w:val="24"/>
        </w:rPr>
        <w:t>‘</w:t>
      </w:r>
      <w:r w:rsidR="00216145" w:rsidRPr="008740BF">
        <w:rPr>
          <w:rFonts w:ascii="Arial" w:hAnsi="Arial" w:cs="Arial"/>
          <w:b/>
          <w:sz w:val="24"/>
          <w:szCs w:val="24"/>
        </w:rPr>
        <w:t>M</w:t>
      </w:r>
      <w:r w:rsidR="00315AB9" w:rsidRPr="008740BF">
        <w:rPr>
          <w:rFonts w:ascii="Arial" w:hAnsi="Arial" w:cs="Arial"/>
          <w:b/>
          <w:sz w:val="24"/>
          <w:szCs w:val="24"/>
        </w:rPr>
        <w:t>eet</w:t>
      </w:r>
      <w:r w:rsidR="00216145" w:rsidRPr="008740BF">
        <w:rPr>
          <w:rFonts w:ascii="Arial" w:hAnsi="Arial" w:cs="Arial"/>
          <w:b/>
          <w:sz w:val="24"/>
          <w:szCs w:val="24"/>
        </w:rPr>
        <w:t>s Expectations</w:t>
      </w:r>
      <w:r w:rsidR="00216145" w:rsidRPr="00281AFA">
        <w:rPr>
          <w:rFonts w:ascii="Arial" w:hAnsi="Arial" w:cs="Arial"/>
          <w:sz w:val="24"/>
          <w:szCs w:val="24"/>
        </w:rPr>
        <w:t>’</w:t>
      </w:r>
      <w:r w:rsidR="008740BF">
        <w:rPr>
          <w:rFonts w:ascii="Arial" w:hAnsi="Arial" w:cs="Arial"/>
          <w:sz w:val="24"/>
          <w:szCs w:val="24"/>
        </w:rPr>
        <w:t xml:space="preserve"> </w:t>
      </w:r>
      <w:r w:rsidR="00315AB9">
        <w:rPr>
          <w:rFonts w:ascii="Arial" w:hAnsi="Arial" w:cs="Arial"/>
          <w:sz w:val="24"/>
          <w:szCs w:val="24"/>
        </w:rPr>
        <w:t xml:space="preserve">(see </w:t>
      </w:r>
      <w:r w:rsidR="00315AB9" w:rsidRPr="00315AB9">
        <w:rPr>
          <w:rFonts w:ascii="Arial" w:hAnsi="Arial" w:cs="Arial"/>
          <w:b/>
          <w:sz w:val="24"/>
          <w:szCs w:val="24"/>
        </w:rPr>
        <w:t>Chapter 5: Communicating TEF</w:t>
      </w:r>
      <w:r w:rsidR="00315AB9">
        <w:rPr>
          <w:rFonts w:ascii="Arial" w:hAnsi="Arial" w:cs="Arial"/>
          <w:sz w:val="24"/>
          <w:szCs w:val="24"/>
        </w:rPr>
        <w:t xml:space="preserve"> which explains each of the TEF ratings)</w:t>
      </w:r>
      <w:r w:rsidR="000E7DFB" w:rsidRPr="00390179">
        <w:rPr>
          <w:rFonts w:ascii="Arial" w:hAnsi="Arial" w:cs="Arial"/>
          <w:sz w:val="24"/>
          <w:szCs w:val="24"/>
        </w:rPr>
        <w:t xml:space="preserve">. </w:t>
      </w:r>
    </w:p>
    <w:p w14:paraId="3ADBB8D0" w14:textId="113B29F3" w:rsidR="000E7DFB" w:rsidRPr="001748F1" w:rsidRDefault="000E7DFB" w:rsidP="00AF7684">
      <w:pPr>
        <w:pStyle w:val="ListParagraph"/>
        <w:numPr>
          <w:ilvl w:val="0"/>
          <w:numId w:val="21"/>
        </w:numPr>
        <w:spacing w:after="0"/>
        <w:ind w:left="426" w:hanging="426"/>
        <w:rPr>
          <w:rFonts w:ascii="Arial" w:hAnsi="Arial" w:cs="Arial"/>
          <w:sz w:val="24"/>
          <w:szCs w:val="24"/>
        </w:rPr>
      </w:pPr>
      <w:r w:rsidRPr="00C04268">
        <w:rPr>
          <w:rFonts w:ascii="Arial" w:hAnsi="Arial" w:cs="Arial"/>
          <w:sz w:val="24"/>
          <w:szCs w:val="24"/>
        </w:rPr>
        <w:t xml:space="preserve">We have responded to </w:t>
      </w:r>
      <w:r w:rsidR="00C04268">
        <w:rPr>
          <w:rFonts w:ascii="Arial" w:hAnsi="Arial" w:cs="Arial"/>
          <w:sz w:val="24"/>
          <w:szCs w:val="24"/>
        </w:rPr>
        <w:t xml:space="preserve">the </w:t>
      </w:r>
      <w:r w:rsidRPr="00C04268">
        <w:rPr>
          <w:rFonts w:ascii="Arial" w:hAnsi="Arial" w:cs="Arial"/>
          <w:sz w:val="24"/>
          <w:szCs w:val="24"/>
        </w:rPr>
        <w:t>concerns</w:t>
      </w:r>
      <w:r w:rsidR="00C04268">
        <w:rPr>
          <w:rFonts w:ascii="Arial" w:hAnsi="Arial" w:cs="Arial"/>
          <w:sz w:val="24"/>
          <w:szCs w:val="24"/>
        </w:rPr>
        <w:t xml:space="preserve"> expressed by stakeholders</w:t>
      </w:r>
      <w:r w:rsidRPr="00C04268">
        <w:rPr>
          <w:rFonts w:ascii="Arial" w:hAnsi="Arial" w:cs="Arial"/>
          <w:sz w:val="24"/>
          <w:szCs w:val="24"/>
        </w:rPr>
        <w:t xml:space="preserve">, arguing that more time is needed to phase in </w:t>
      </w:r>
      <w:r w:rsidR="00C04268">
        <w:rPr>
          <w:rFonts w:ascii="Arial" w:hAnsi="Arial" w:cs="Arial"/>
          <w:sz w:val="24"/>
          <w:szCs w:val="24"/>
        </w:rPr>
        <w:t>greater levels of differentiation. On this</w:t>
      </w:r>
      <w:r w:rsidRPr="00C04268">
        <w:rPr>
          <w:rFonts w:ascii="Arial" w:hAnsi="Arial" w:cs="Arial"/>
          <w:sz w:val="24"/>
          <w:szCs w:val="24"/>
        </w:rPr>
        <w:t xml:space="preserve"> basis, we have opted to introduce </w:t>
      </w:r>
      <w:r w:rsidR="00D70EDD" w:rsidRPr="00C04268">
        <w:rPr>
          <w:rFonts w:ascii="Arial" w:hAnsi="Arial" w:cs="Arial"/>
          <w:sz w:val="24"/>
          <w:szCs w:val="24"/>
        </w:rPr>
        <w:t>t</w:t>
      </w:r>
      <w:r w:rsidR="00D70EDD">
        <w:rPr>
          <w:rFonts w:ascii="Arial" w:hAnsi="Arial" w:cs="Arial"/>
          <w:sz w:val="24"/>
          <w:szCs w:val="24"/>
        </w:rPr>
        <w:t>wo additional</w:t>
      </w:r>
      <w:r w:rsidR="00D70EDD" w:rsidRPr="00C04268">
        <w:rPr>
          <w:rFonts w:ascii="Arial" w:hAnsi="Arial" w:cs="Arial"/>
          <w:sz w:val="24"/>
          <w:szCs w:val="24"/>
        </w:rPr>
        <w:t xml:space="preserve"> </w:t>
      </w:r>
      <w:r w:rsidR="00390179">
        <w:rPr>
          <w:rFonts w:ascii="Arial" w:hAnsi="Arial" w:cs="Arial"/>
          <w:sz w:val="24"/>
          <w:szCs w:val="24"/>
        </w:rPr>
        <w:t>TEF ratings</w:t>
      </w:r>
      <w:r w:rsidRPr="00C04268">
        <w:rPr>
          <w:rFonts w:ascii="Arial" w:hAnsi="Arial" w:cs="Arial"/>
          <w:sz w:val="24"/>
          <w:szCs w:val="24"/>
        </w:rPr>
        <w:t xml:space="preserve"> for Year </w:t>
      </w:r>
      <w:r w:rsidR="001F25F1" w:rsidRPr="00C04268">
        <w:rPr>
          <w:rFonts w:ascii="Arial" w:hAnsi="Arial" w:cs="Arial"/>
          <w:sz w:val="24"/>
          <w:szCs w:val="24"/>
        </w:rPr>
        <w:t>Two</w:t>
      </w:r>
      <w:r w:rsidR="00FA4CE8">
        <w:rPr>
          <w:rFonts w:ascii="Arial" w:hAnsi="Arial" w:cs="Arial"/>
          <w:sz w:val="24"/>
          <w:szCs w:val="24"/>
        </w:rPr>
        <w:t xml:space="preserve"> – giving three different ratings a provider could receive for the TEF</w:t>
      </w:r>
      <w:r w:rsidR="003F688A">
        <w:rPr>
          <w:rFonts w:ascii="Arial" w:hAnsi="Arial" w:cs="Arial"/>
          <w:sz w:val="24"/>
          <w:szCs w:val="24"/>
        </w:rPr>
        <w:t xml:space="preserve"> (Meets</w:t>
      </w:r>
      <w:r w:rsidR="001932B4">
        <w:rPr>
          <w:rFonts w:ascii="Arial" w:hAnsi="Arial" w:cs="Arial"/>
          <w:sz w:val="24"/>
          <w:szCs w:val="24"/>
        </w:rPr>
        <w:t xml:space="preserve"> Expectations</w:t>
      </w:r>
      <w:r w:rsidR="003F688A">
        <w:rPr>
          <w:rFonts w:ascii="Arial" w:hAnsi="Arial" w:cs="Arial"/>
          <w:sz w:val="24"/>
          <w:szCs w:val="24"/>
        </w:rPr>
        <w:t>, Excellent and Outstanding)</w:t>
      </w:r>
      <w:r w:rsidRPr="00C04268">
        <w:rPr>
          <w:rFonts w:ascii="Arial" w:hAnsi="Arial" w:cs="Arial"/>
          <w:sz w:val="24"/>
          <w:szCs w:val="24"/>
        </w:rPr>
        <w:t>, rath</w:t>
      </w:r>
      <w:r w:rsidR="00641D6A">
        <w:rPr>
          <w:rFonts w:ascii="Arial" w:hAnsi="Arial" w:cs="Arial"/>
          <w:sz w:val="24"/>
          <w:szCs w:val="24"/>
        </w:rPr>
        <w:t>er than the four we had indicated</w:t>
      </w:r>
      <w:r w:rsidRPr="00C04268">
        <w:rPr>
          <w:rFonts w:ascii="Arial" w:hAnsi="Arial" w:cs="Arial"/>
          <w:sz w:val="24"/>
          <w:szCs w:val="24"/>
        </w:rPr>
        <w:t xml:space="preserve"> in the Green Paper.</w:t>
      </w:r>
      <w:r w:rsidR="001748F1">
        <w:rPr>
          <w:rFonts w:ascii="Arial" w:hAnsi="Arial" w:cs="Arial"/>
          <w:sz w:val="24"/>
          <w:szCs w:val="24"/>
        </w:rPr>
        <w:t xml:space="preserve"> </w:t>
      </w:r>
    </w:p>
    <w:p w14:paraId="1A4DD948" w14:textId="6917923C" w:rsidR="003F688A" w:rsidRDefault="000E7DFB" w:rsidP="00AF7684">
      <w:pPr>
        <w:pStyle w:val="ListParagraph"/>
        <w:numPr>
          <w:ilvl w:val="0"/>
          <w:numId w:val="21"/>
        </w:numPr>
        <w:spacing w:after="0"/>
        <w:ind w:left="426" w:hanging="426"/>
        <w:rPr>
          <w:rFonts w:ascii="Arial" w:hAnsi="Arial" w:cs="Arial"/>
          <w:sz w:val="24"/>
          <w:szCs w:val="24"/>
        </w:rPr>
      </w:pPr>
      <w:r w:rsidRPr="00C04268">
        <w:rPr>
          <w:rFonts w:ascii="Arial" w:hAnsi="Arial" w:cs="Arial"/>
          <w:sz w:val="24"/>
          <w:szCs w:val="24"/>
        </w:rPr>
        <w:t xml:space="preserve">The financial incentive will not be differentiated according to </w:t>
      </w:r>
      <w:r w:rsidR="00D70EDD">
        <w:rPr>
          <w:rFonts w:ascii="Arial" w:hAnsi="Arial" w:cs="Arial"/>
          <w:sz w:val="24"/>
          <w:szCs w:val="24"/>
        </w:rPr>
        <w:t>higher</w:t>
      </w:r>
      <w:r w:rsidR="00D70EDD" w:rsidRPr="00C04268">
        <w:rPr>
          <w:rFonts w:ascii="Arial" w:hAnsi="Arial" w:cs="Arial"/>
          <w:sz w:val="24"/>
          <w:szCs w:val="24"/>
        </w:rPr>
        <w:t xml:space="preserve"> </w:t>
      </w:r>
      <w:r w:rsidR="00390179">
        <w:rPr>
          <w:rFonts w:ascii="Arial" w:hAnsi="Arial" w:cs="Arial"/>
          <w:sz w:val="24"/>
          <w:szCs w:val="24"/>
        </w:rPr>
        <w:t>ratings</w:t>
      </w:r>
      <w:r w:rsidR="00D70EDD">
        <w:rPr>
          <w:rFonts w:ascii="Arial" w:hAnsi="Arial" w:cs="Arial"/>
          <w:sz w:val="24"/>
          <w:szCs w:val="24"/>
        </w:rPr>
        <w:t xml:space="preserve"> </w:t>
      </w:r>
      <w:r w:rsidRPr="00C04268">
        <w:rPr>
          <w:rFonts w:ascii="Arial" w:hAnsi="Arial" w:cs="Arial"/>
          <w:sz w:val="24"/>
          <w:szCs w:val="24"/>
        </w:rPr>
        <w:t>of award</w:t>
      </w:r>
      <w:r w:rsidR="00D70EDD">
        <w:rPr>
          <w:rFonts w:ascii="Arial" w:hAnsi="Arial" w:cs="Arial"/>
          <w:sz w:val="24"/>
          <w:szCs w:val="24"/>
        </w:rPr>
        <w:t xml:space="preserve"> in Year Two</w:t>
      </w:r>
      <w:r w:rsidRPr="00C04268">
        <w:rPr>
          <w:rFonts w:ascii="Arial" w:hAnsi="Arial" w:cs="Arial"/>
          <w:sz w:val="24"/>
          <w:szCs w:val="24"/>
        </w:rPr>
        <w:t xml:space="preserve">, </w:t>
      </w:r>
      <w:r w:rsidR="00D70EDD">
        <w:rPr>
          <w:rFonts w:ascii="Arial" w:hAnsi="Arial" w:cs="Arial"/>
          <w:sz w:val="24"/>
          <w:szCs w:val="24"/>
        </w:rPr>
        <w:t>meaning</w:t>
      </w:r>
      <w:r w:rsidR="00D70EDD" w:rsidRPr="00C04268">
        <w:rPr>
          <w:rFonts w:ascii="Arial" w:hAnsi="Arial" w:cs="Arial"/>
          <w:sz w:val="24"/>
          <w:szCs w:val="24"/>
        </w:rPr>
        <w:t xml:space="preserve"> </w:t>
      </w:r>
      <w:r w:rsidRPr="00C04268">
        <w:rPr>
          <w:rFonts w:ascii="Arial" w:hAnsi="Arial" w:cs="Arial"/>
          <w:sz w:val="24"/>
          <w:szCs w:val="24"/>
        </w:rPr>
        <w:t xml:space="preserve">all providers </w:t>
      </w:r>
      <w:r w:rsidR="00B338D7">
        <w:rPr>
          <w:rFonts w:ascii="Arial" w:hAnsi="Arial" w:cs="Arial"/>
          <w:sz w:val="24"/>
          <w:szCs w:val="24"/>
        </w:rPr>
        <w:t>that</w:t>
      </w:r>
      <w:r w:rsidR="00B338D7" w:rsidRPr="00C04268">
        <w:rPr>
          <w:rFonts w:ascii="Arial" w:hAnsi="Arial" w:cs="Arial"/>
          <w:sz w:val="24"/>
          <w:szCs w:val="24"/>
        </w:rPr>
        <w:t xml:space="preserve"> </w:t>
      </w:r>
      <w:r w:rsidRPr="00C04268">
        <w:rPr>
          <w:rFonts w:ascii="Arial" w:hAnsi="Arial" w:cs="Arial"/>
          <w:sz w:val="24"/>
          <w:szCs w:val="24"/>
        </w:rPr>
        <w:t xml:space="preserve">achieve at least </w:t>
      </w:r>
      <w:r w:rsidR="001A45C3">
        <w:rPr>
          <w:rFonts w:ascii="Arial" w:hAnsi="Arial" w:cs="Arial"/>
          <w:sz w:val="24"/>
          <w:szCs w:val="24"/>
        </w:rPr>
        <w:t>a</w:t>
      </w:r>
      <w:r w:rsidR="00281AFA">
        <w:rPr>
          <w:rFonts w:ascii="Arial" w:hAnsi="Arial" w:cs="Arial"/>
          <w:sz w:val="24"/>
          <w:szCs w:val="24"/>
        </w:rPr>
        <w:t xml:space="preserve"> rating of</w:t>
      </w:r>
      <w:r w:rsidR="001A45C3">
        <w:rPr>
          <w:rFonts w:ascii="Arial" w:hAnsi="Arial" w:cs="Arial"/>
          <w:sz w:val="24"/>
          <w:szCs w:val="24"/>
        </w:rPr>
        <w:t xml:space="preserve"> </w:t>
      </w:r>
      <w:r w:rsidR="001932B4">
        <w:rPr>
          <w:rFonts w:ascii="Arial" w:hAnsi="Arial" w:cs="Arial"/>
          <w:sz w:val="24"/>
          <w:szCs w:val="24"/>
        </w:rPr>
        <w:t>M</w:t>
      </w:r>
      <w:r w:rsidR="001A45C3">
        <w:rPr>
          <w:rFonts w:ascii="Arial" w:hAnsi="Arial" w:cs="Arial"/>
          <w:sz w:val="24"/>
          <w:szCs w:val="24"/>
        </w:rPr>
        <w:t>eets</w:t>
      </w:r>
      <w:r w:rsidR="001932B4">
        <w:rPr>
          <w:rFonts w:ascii="Arial" w:hAnsi="Arial" w:cs="Arial"/>
          <w:sz w:val="24"/>
          <w:szCs w:val="24"/>
        </w:rPr>
        <w:t xml:space="preserve"> Expectations</w:t>
      </w:r>
      <w:r w:rsidRPr="00C04268">
        <w:rPr>
          <w:rFonts w:ascii="Arial" w:hAnsi="Arial" w:cs="Arial"/>
          <w:sz w:val="24"/>
          <w:szCs w:val="24"/>
        </w:rPr>
        <w:t xml:space="preserve"> </w:t>
      </w:r>
      <w:r w:rsidR="00D70EDD">
        <w:rPr>
          <w:rFonts w:ascii="Arial" w:hAnsi="Arial" w:cs="Arial"/>
          <w:sz w:val="24"/>
          <w:szCs w:val="24"/>
        </w:rPr>
        <w:t xml:space="preserve">will </w:t>
      </w:r>
      <w:r w:rsidRPr="00C04268">
        <w:rPr>
          <w:rFonts w:ascii="Arial" w:hAnsi="Arial" w:cs="Arial"/>
          <w:sz w:val="24"/>
          <w:szCs w:val="24"/>
        </w:rPr>
        <w:t>receiv</w:t>
      </w:r>
      <w:r w:rsidR="00D70EDD">
        <w:rPr>
          <w:rFonts w:ascii="Arial" w:hAnsi="Arial" w:cs="Arial"/>
          <w:sz w:val="24"/>
          <w:szCs w:val="24"/>
        </w:rPr>
        <w:t>e</w:t>
      </w:r>
      <w:r w:rsidRPr="00C04268">
        <w:rPr>
          <w:rFonts w:ascii="Arial" w:hAnsi="Arial" w:cs="Arial"/>
          <w:sz w:val="24"/>
          <w:szCs w:val="24"/>
        </w:rPr>
        <w:t xml:space="preserve"> the full inflationary uplift</w:t>
      </w:r>
      <w:r w:rsidR="00D70EDD">
        <w:rPr>
          <w:rFonts w:ascii="Arial" w:hAnsi="Arial" w:cs="Arial"/>
          <w:sz w:val="24"/>
          <w:szCs w:val="24"/>
        </w:rPr>
        <w:t xml:space="preserve"> to fees</w:t>
      </w:r>
      <w:r w:rsidRPr="00C04268">
        <w:rPr>
          <w:rFonts w:ascii="Arial" w:hAnsi="Arial" w:cs="Arial"/>
          <w:sz w:val="24"/>
          <w:szCs w:val="24"/>
        </w:rPr>
        <w:t xml:space="preserve">. </w:t>
      </w:r>
    </w:p>
    <w:p w14:paraId="7B24ADC1" w14:textId="79B7B829" w:rsidR="003F688A" w:rsidRDefault="003106AB" w:rsidP="00AF7684">
      <w:pPr>
        <w:pStyle w:val="ListParagraph"/>
        <w:numPr>
          <w:ilvl w:val="0"/>
          <w:numId w:val="21"/>
        </w:numPr>
        <w:spacing w:after="0"/>
        <w:ind w:left="426" w:hanging="426"/>
        <w:rPr>
          <w:rFonts w:ascii="Arial" w:hAnsi="Arial" w:cs="Arial"/>
          <w:sz w:val="24"/>
          <w:szCs w:val="24"/>
        </w:rPr>
      </w:pPr>
      <w:r w:rsidRPr="003F688A">
        <w:rPr>
          <w:rFonts w:ascii="Arial" w:hAnsi="Arial" w:cs="Arial"/>
          <w:sz w:val="24"/>
          <w:szCs w:val="24"/>
        </w:rPr>
        <w:t xml:space="preserve">As part of </w:t>
      </w:r>
      <w:r w:rsidR="00D93E16">
        <w:rPr>
          <w:rFonts w:ascii="Arial" w:hAnsi="Arial" w:cs="Arial"/>
          <w:sz w:val="24"/>
          <w:szCs w:val="24"/>
        </w:rPr>
        <w:t>trialling</w:t>
      </w:r>
      <w:r w:rsidRPr="003F688A">
        <w:rPr>
          <w:rFonts w:ascii="Arial" w:hAnsi="Arial" w:cs="Arial"/>
          <w:sz w:val="24"/>
          <w:szCs w:val="24"/>
        </w:rPr>
        <w:t xml:space="preserve"> </w:t>
      </w:r>
      <w:r w:rsidR="00D93E16">
        <w:rPr>
          <w:rFonts w:ascii="Arial" w:hAnsi="Arial" w:cs="Arial"/>
          <w:sz w:val="24"/>
          <w:szCs w:val="24"/>
        </w:rPr>
        <w:t xml:space="preserve">the </w:t>
      </w:r>
      <w:r w:rsidRPr="003F688A">
        <w:rPr>
          <w:rFonts w:ascii="Arial" w:hAnsi="Arial" w:cs="Arial"/>
          <w:sz w:val="24"/>
          <w:szCs w:val="24"/>
        </w:rPr>
        <w:t xml:space="preserve">TEF in Year </w:t>
      </w:r>
      <w:r w:rsidR="00D93E16">
        <w:rPr>
          <w:rFonts w:ascii="Arial" w:hAnsi="Arial" w:cs="Arial"/>
          <w:sz w:val="24"/>
          <w:szCs w:val="24"/>
        </w:rPr>
        <w:t>Two</w:t>
      </w:r>
      <w:r w:rsidRPr="003F688A">
        <w:rPr>
          <w:rFonts w:ascii="Arial" w:hAnsi="Arial" w:cs="Arial"/>
          <w:sz w:val="24"/>
          <w:szCs w:val="24"/>
        </w:rPr>
        <w:t xml:space="preserve">, </w:t>
      </w:r>
      <w:r w:rsidR="000E7DFB" w:rsidRPr="003F688A">
        <w:rPr>
          <w:rFonts w:ascii="Arial" w:hAnsi="Arial" w:cs="Arial"/>
          <w:sz w:val="24"/>
          <w:szCs w:val="24"/>
        </w:rPr>
        <w:t xml:space="preserve">we </w:t>
      </w:r>
      <w:r w:rsidRPr="003F688A">
        <w:rPr>
          <w:rFonts w:ascii="Arial" w:hAnsi="Arial" w:cs="Arial"/>
          <w:sz w:val="24"/>
          <w:szCs w:val="24"/>
        </w:rPr>
        <w:t xml:space="preserve">also </w:t>
      </w:r>
      <w:r w:rsidR="000E7DFB" w:rsidRPr="003F688A">
        <w:rPr>
          <w:rFonts w:ascii="Arial" w:hAnsi="Arial" w:cs="Arial"/>
          <w:sz w:val="24"/>
          <w:szCs w:val="24"/>
        </w:rPr>
        <w:t xml:space="preserve">plan to conduct a lessons-learned exercise </w:t>
      </w:r>
      <w:r w:rsidR="00D70EDD" w:rsidRPr="003F688A">
        <w:rPr>
          <w:rFonts w:ascii="Arial" w:hAnsi="Arial" w:cs="Arial"/>
          <w:sz w:val="24"/>
          <w:szCs w:val="24"/>
        </w:rPr>
        <w:t xml:space="preserve">at the end of </w:t>
      </w:r>
      <w:r w:rsidR="000E7DFB" w:rsidRPr="003F688A">
        <w:rPr>
          <w:rFonts w:ascii="Arial" w:hAnsi="Arial" w:cs="Arial"/>
          <w:sz w:val="24"/>
          <w:szCs w:val="24"/>
        </w:rPr>
        <w:t xml:space="preserve">Year </w:t>
      </w:r>
      <w:r w:rsidR="001F25F1" w:rsidRPr="003F688A">
        <w:rPr>
          <w:rFonts w:ascii="Arial" w:hAnsi="Arial" w:cs="Arial"/>
          <w:sz w:val="24"/>
          <w:szCs w:val="24"/>
        </w:rPr>
        <w:t>Two</w:t>
      </w:r>
      <w:r w:rsidR="000E7DFB" w:rsidRPr="003F688A">
        <w:rPr>
          <w:rFonts w:ascii="Arial" w:hAnsi="Arial" w:cs="Arial"/>
          <w:sz w:val="24"/>
          <w:szCs w:val="24"/>
        </w:rPr>
        <w:t>, feeding any</w:t>
      </w:r>
      <w:r w:rsidR="00077DDA" w:rsidRPr="003F688A">
        <w:rPr>
          <w:rFonts w:ascii="Arial" w:hAnsi="Arial" w:cs="Arial"/>
          <w:sz w:val="24"/>
          <w:szCs w:val="24"/>
        </w:rPr>
        <w:t xml:space="preserve"> </w:t>
      </w:r>
      <w:r w:rsidR="00C04268" w:rsidRPr="003F688A">
        <w:rPr>
          <w:rFonts w:ascii="Arial" w:hAnsi="Arial" w:cs="Arial"/>
          <w:sz w:val="24"/>
          <w:szCs w:val="24"/>
        </w:rPr>
        <w:t xml:space="preserve">necessary changes into </w:t>
      </w:r>
      <w:r w:rsidR="00D70EDD" w:rsidRPr="003F688A">
        <w:rPr>
          <w:rFonts w:ascii="Arial" w:hAnsi="Arial" w:cs="Arial"/>
          <w:sz w:val="24"/>
          <w:szCs w:val="24"/>
        </w:rPr>
        <w:t xml:space="preserve">the implementation of the TEF in </w:t>
      </w:r>
      <w:r w:rsidR="00C04268" w:rsidRPr="003F688A">
        <w:rPr>
          <w:rFonts w:ascii="Arial" w:hAnsi="Arial" w:cs="Arial"/>
          <w:sz w:val="24"/>
          <w:szCs w:val="24"/>
        </w:rPr>
        <w:t>Year Three.</w:t>
      </w:r>
    </w:p>
    <w:p w14:paraId="1820FE86" w14:textId="77777777" w:rsidR="00C877EB" w:rsidRPr="00C877EB" w:rsidRDefault="00C877EB" w:rsidP="00C877EB">
      <w:pPr>
        <w:pStyle w:val="ListParagraph"/>
        <w:spacing w:after="0"/>
        <w:ind w:left="426"/>
        <w:rPr>
          <w:rFonts w:ascii="Arial" w:hAnsi="Arial" w:cs="Arial"/>
          <w:sz w:val="24"/>
          <w:szCs w:val="24"/>
        </w:rPr>
      </w:pPr>
    </w:p>
    <w:p w14:paraId="492ACB76" w14:textId="77777777" w:rsidR="00AC4EA4" w:rsidRDefault="00AC4EA4" w:rsidP="00AF7684">
      <w:pPr>
        <w:pStyle w:val="ListParagraph"/>
        <w:numPr>
          <w:ilvl w:val="0"/>
          <w:numId w:val="18"/>
        </w:numPr>
        <w:tabs>
          <w:tab w:val="left" w:pos="142"/>
        </w:tabs>
        <w:spacing w:after="0"/>
        <w:ind w:left="142" w:hanging="426"/>
        <w:rPr>
          <w:rFonts w:ascii="Arial" w:hAnsi="Arial" w:cs="Arial"/>
          <w:sz w:val="24"/>
          <w:szCs w:val="24"/>
        </w:rPr>
      </w:pPr>
      <w:r w:rsidRPr="00C877EB">
        <w:rPr>
          <w:rFonts w:ascii="Arial" w:hAnsi="Arial" w:cs="Arial"/>
          <w:sz w:val="24"/>
          <w:szCs w:val="24"/>
        </w:rPr>
        <w:t>Year Two of the TEF will be delivered by HEFCE, working with the QAA, on behalf of the Government. Reference in this document to ‘delivery agencies’ should be taken to mean HEFCE and QAA</w:t>
      </w:r>
      <w:r w:rsidR="00D70EDD" w:rsidRPr="00C877EB">
        <w:rPr>
          <w:rFonts w:ascii="Arial" w:hAnsi="Arial" w:cs="Arial"/>
          <w:sz w:val="24"/>
          <w:szCs w:val="24"/>
        </w:rPr>
        <w:t>.</w:t>
      </w:r>
      <w:r w:rsidR="00F469A9" w:rsidRPr="00C877EB">
        <w:rPr>
          <w:rFonts w:ascii="Arial" w:hAnsi="Arial" w:cs="Arial"/>
          <w:sz w:val="24"/>
          <w:szCs w:val="24"/>
        </w:rPr>
        <w:t xml:space="preserve"> </w:t>
      </w:r>
    </w:p>
    <w:p w14:paraId="7E917B67" w14:textId="77777777" w:rsidR="00C877EB" w:rsidRDefault="00C877EB" w:rsidP="00C877EB">
      <w:pPr>
        <w:pStyle w:val="ListParagraph"/>
        <w:tabs>
          <w:tab w:val="left" w:pos="142"/>
        </w:tabs>
        <w:spacing w:after="0"/>
        <w:ind w:left="142"/>
        <w:rPr>
          <w:rFonts w:ascii="Arial" w:hAnsi="Arial" w:cs="Arial"/>
          <w:sz w:val="24"/>
          <w:szCs w:val="24"/>
        </w:rPr>
      </w:pPr>
    </w:p>
    <w:p w14:paraId="44D125AF" w14:textId="77777777" w:rsidR="00C877EB" w:rsidRDefault="00C877EB" w:rsidP="00C877EB">
      <w:pPr>
        <w:pStyle w:val="ListParagraph"/>
        <w:tabs>
          <w:tab w:val="left" w:pos="142"/>
        </w:tabs>
        <w:spacing w:after="0"/>
        <w:ind w:left="142"/>
        <w:rPr>
          <w:rFonts w:ascii="Arial" w:hAnsi="Arial" w:cs="Arial"/>
          <w:sz w:val="24"/>
          <w:szCs w:val="24"/>
        </w:rPr>
      </w:pPr>
    </w:p>
    <w:p w14:paraId="269F7D99" w14:textId="77777777" w:rsidR="00C877EB" w:rsidRPr="00C877EB" w:rsidRDefault="00C877EB" w:rsidP="00C877EB">
      <w:pPr>
        <w:pStyle w:val="ListParagraph"/>
        <w:tabs>
          <w:tab w:val="left" w:pos="142"/>
        </w:tabs>
        <w:spacing w:after="0"/>
        <w:ind w:left="142"/>
        <w:rPr>
          <w:rFonts w:ascii="Arial" w:hAnsi="Arial" w:cs="Arial"/>
          <w:sz w:val="24"/>
          <w:szCs w:val="24"/>
        </w:rPr>
      </w:pPr>
    </w:p>
    <w:p w14:paraId="09CC3B92" w14:textId="77777777" w:rsidR="00AC4EA4" w:rsidRPr="00C877EB" w:rsidRDefault="00AC4EA4" w:rsidP="00AF7684">
      <w:pPr>
        <w:pStyle w:val="ListParagraph"/>
        <w:numPr>
          <w:ilvl w:val="0"/>
          <w:numId w:val="18"/>
        </w:numPr>
        <w:tabs>
          <w:tab w:val="left" w:pos="142"/>
        </w:tabs>
        <w:spacing w:after="0"/>
        <w:ind w:left="142" w:hanging="426"/>
        <w:rPr>
          <w:rFonts w:ascii="Arial" w:hAnsi="Arial" w:cs="Arial"/>
          <w:sz w:val="24"/>
          <w:szCs w:val="24"/>
        </w:rPr>
      </w:pPr>
      <w:r w:rsidRPr="00C877EB">
        <w:rPr>
          <w:rFonts w:ascii="Arial" w:hAnsi="Arial" w:cs="Arial"/>
          <w:sz w:val="24"/>
          <w:szCs w:val="24"/>
        </w:rPr>
        <w:lastRenderedPageBreak/>
        <w:t xml:space="preserve">The Assessment Process for Year Two is summarised in Figure 1 below. </w:t>
      </w:r>
      <w:r w:rsidR="00977179" w:rsidRPr="00C877EB">
        <w:rPr>
          <w:rFonts w:ascii="Arial" w:hAnsi="Arial" w:cs="Arial"/>
          <w:sz w:val="24"/>
          <w:szCs w:val="24"/>
        </w:rPr>
        <w:t xml:space="preserve">The boxes along the top </w:t>
      </w:r>
      <w:r w:rsidR="00D70EDD" w:rsidRPr="00C877EB">
        <w:rPr>
          <w:rFonts w:ascii="Arial" w:hAnsi="Arial" w:cs="Arial"/>
          <w:sz w:val="24"/>
          <w:szCs w:val="24"/>
        </w:rPr>
        <w:t>outline each stage in t</w:t>
      </w:r>
      <w:r w:rsidR="00977179" w:rsidRPr="00C877EB">
        <w:rPr>
          <w:rFonts w:ascii="Arial" w:hAnsi="Arial" w:cs="Arial"/>
          <w:sz w:val="24"/>
          <w:szCs w:val="24"/>
        </w:rPr>
        <w:t xml:space="preserve">he process </w:t>
      </w:r>
      <w:r w:rsidR="00D70EDD" w:rsidRPr="00C877EB">
        <w:rPr>
          <w:rFonts w:ascii="Arial" w:hAnsi="Arial" w:cs="Arial"/>
          <w:sz w:val="24"/>
          <w:szCs w:val="24"/>
        </w:rPr>
        <w:t>and provide a reference to the</w:t>
      </w:r>
      <w:r w:rsidR="00977179" w:rsidRPr="00C877EB">
        <w:rPr>
          <w:rFonts w:ascii="Arial" w:hAnsi="Arial" w:cs="Arial"/>
          <w:sz w:val="24"/>
          <w:szCs w:val="24"/>
        </w:rPr>
        <w:t xml:space="preserve"> </w:t>
      </w:r>
      <w:r w:rsidR="00D70EDD" w:rsidRPr="00C877EB">
        <w:rPr>
          <w:rFonts w:ascii="Arial" w:hAnsi="Arial" w:cs="Arial"/>
          <w:sz w:val="24"/>
          <w:szCs w:val="24"/>
        </w:rPr>
        <w:t xml:space="preserve">relevant </w:t>
      </w:r>
      <w:r w:rsidR="00977179" w:rsidRPr="00C877EB">
        <w:rPr>
          <w:rFonts w:ascii="Arial" w:hAnsi="Arial" w:cs="Arial"/>
          <w:sz w:val="24"/>
          <w:szCs w:val="24"/>
        </w:rPr>
        <w:t xml:space="preserve">chapters of this document. The boxes along the bottom identify key actions for providers. Key dates that providers should be aware of are in </w:t>
      </w:r>
      <w:r w:rsidR="00977179" w:rsidRPr="00CC6134">
        <w:rPr>
          <w:rFonts w:ascii="Arial" w:hAnsi="Arial" w:cs="Arial"/>
          <w:b/>
          <w:sz w:val="24"/>
          <w:szCs w:val="24"/>
        </w:rPr>
        <w:t>Annex B</w:t>
      </w:r>
      <w:r w:rsidR="00977179" w:rsidRPr="00C877EB">
        <w:rPr>
          <w:rFonts w:ascii="Arial" w:hAnsi="Arial" w:cs="Arial"/>
          <w:sz w:val="24"/>
          <w:szCs w:val="24"/>
        </w:rPr>
        <w:t>.</w:t>
      </w:r>
    </w:p>
    <w:p w14:paraId="7B161160" w14:textId="77777777" w:rsidR="00D706C6" w:rsidRDefault="00D706C6" w:rsidP="009407DE">
      <w:pPr>
        <w:spacing w:after="0"/>
        <w:rPr>
          <w:rFonts w:cs="Arial"/>
        </w:rPr>
      </w:pPr>
    </w:p>
    <w:p w14:paraId="1F14495D" w14:textId="77777777" w:rsidR="00393AF2" w:rsidRDefault="00393AF2" w:rsidP="009407DE">
      <w:pPr>
        <w:spacing w:after="0"/>
        <w:rPr>
          <w:rFonts w:cs="Arial"/>
          <w:b/>
        </w:rPr>
      </w:pPr>
      <w:r w:rsidRPr="00524877">
        <w:rPr>
          <w:rFonts w:cs="Arial"/>
          <w:b/>
        </w:rPr>
        <w:t xml:space="preserve">Figure 1: </w:t>
      </w:r>
      <w:r w:rsidR="00D70EDD">
        <w:rPr>
          <w:rFonts w:cs="Arial"/>
          <w:b/>
        </w:rPr>
        <w:t>A summary of t</w:t>
      </w:r>
      <w:r w:rsidR="00904C95">
        <w:rPr>
          <w:rFonts w:cs="Arial"/>
          <w:b/>
        </w:rPr>
        <w:t xml:space="preserve">he </w:t>
      </w:r>
      <w:r w:rsidRPr="00524877">
        <w:rPr>
          <w:rFonts w:cs="Arial"/>
          <w:b/>
        </w:rPr>
        <w:t xml:space="preserve">Assessment Process </w:t>
      </w:r>
      <w:r w:rsidR="00AC4EA4">
        <w:rPr>
          <w:rFonts w:cs="Arial"/>
          <w:b/>
        </w:rPr>
        <w:t xml:space="preserve">for Year Two </w:t>
      </w:r>
    </w:p>
    <w:p w14:paraId="684F428F" w14:textId="77777777" w:rsidR="00AC4EA4" w:rsidRDefault="00AC4EA4" w:rsidP="009407DE">
      <w:pPr>
        <w:spacing w:after="0"/>
        <w:rPr>
          <w:rFonts w:cs="Arial"/>
          <w:b/>
        </w:rPr>
      </w:pPr>
    </w:p>
    <w:p w14:paraId="43B9569E" w14:textId="69D8F945" w:rsidR="0039724C" w:rsidRDefault="00E66639" w:rsidP="009407DE">
      <w:pPr>
        <w:spacing w:after="0"/>
        <w:rPr>
          <w:rFonts w:cs="Arial"/>
          <w:sz w:val="22"/>
          <w:szCs w:val="22"/>
        </w:rPr>
      </w:pPr>
      <w:r>
        <w:rPr>
          <w:rFonts w:cs="Arial"/>
          <w:noProof/>
          <w:sz w:val="22"/>
          <w:szCs w:val="22"/>
          <w:lang w:eastAsia="en-GB"/>
        </w:rPr>
        <w:drawing>
          <wp:inline distT="0" distB="0" distL="0" distR="0" wp14:anchorId="60C8BC4D" wp14:editId="0C1220CA">
            <wp:extent cx="6294474" cy="4678325"/>
            <wp:effectExtent l="0" t="0" r="0" b="8255"/>
            <wp:docPr id="37" name="Picture 37" title="A summary of the Assessment Process for Year 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94621" cy="4678434"/>
                    </a:xfrm>
                    <a:prstGeom prst="rect">
                      <a:avLst/>
                    </a:prstGeom>
                    <a:noFill/>
                    <a:ln>
                      <a:noFill/>
                    </a:ln>
                  </pic:spPr>
                </pic:pic>
              </a:graphicData>
            </a:graphic>
          </wp:inline>
        </w:drawing>
      </w:r>
    </w:p>
    <w:p w14:paraId="383CD01A" w14:textId="77777777" w:rsidR="00D55CF0" w:rsidRDefault="00D55CF0" w:rsidP="009407DE">
      <w:pPr>
        <w:spacing w:after="0"/>
        <w:rPr>
          <w:rFonts w:cs="Arial"/>
          <w:sz w:val="22"/>
          <w:szCs w:val="22"/>
        </w:rPr>
      </w:pPr>
    </w:p>
    <w:p w14:paraId="10085415" w14:textId="05F671AF" w:rsidR="00D55CF0" w:rsidRDefault="00D55CF0" w:rsidP="0030335A">
      <w:pPr>
        <w:spacing w:after="200" w:line="276" w:lineRule="auto"/>
        <w:rPr>
          <w:rFonts w:cs="Arial"/>
          <w:sz w:val="22"/>
          <w:szCs w:val="22"/>
        </w:rPr>
      </w:pPr>
      <w:r>
        <w:rPr>
          <w:rFonts w:cs="Arial"/>
          <w:sz w:val="22"/>
          <w:szCs w:val="22"/>
        </w:rPr>
        <w:br w:type="page"/>
      </w:r>
    </w:p>
    <w:p w14:paraId="2A8E6CEB" w14:textId="77777777" w:rsidR="006563D9" w:rsidRPr="006563D9" w:rsidRDefault="00313B0C" w:rsidP="00FD0E93">
      <w:pPr>
        <w:pStyle w:val="Heading2"/>
        <w:ind w:hanging="284"/>
      </w:pPr>
      <w:bookmarkStart w:id="17" w:name="_Toc450147974"/>
      <w:bookmarkStart w:id="18" w:name="_Toc450886544"/>
      <w:r>
        <w:lastRenderedPageBreak/>
        <w:t xml:space="preserve">1. </w:t>
      </w:r>
      <w:r w:rsidR="006563D9">
        <w:t>The Assessment Framework</w:t>
      </w:r>
      <w:bookmarkEnd w:id="17"/>
      <w:bookmarkEnd w:id="18"/>
    </w:p>
    <w:p w14:paraId="5CA10BE5" w14:textId="77777777" w:rsidR="00F23B30" w:rsidRPr="00772C62" w:rsidRDefault="006563D9" w:rsidP="00F23B30">
      <w:pPr>
        <w:pStyle w:val="ListParagraph"/>
        <w:numPr>
          <w:ilvl w:val="0"/>
          <w:numId w:val="18"/>
        </w:numPr>
        <w:tabs>
          <w:tab w:val="left" w:pos="142"/>
        </w:tabs>
        <w:spacing w:after="0"/>
        <w:ind w:left="142" w:hanging="426"/>
        <w:rPr>
          <w:rFonts w:ascii="Arial" w:hAnsi="Arial" w:cs="Arial"/>
          <w:b/>
          <w:sz w:val="24"/>
          <w:szCs w:val="24"/>
        </w:rPr>
      </w:pPr>
      <w:r w:rsidRPr="00772C62">
        <w:rPr>
          <w:rFonts w:ascii="Arial" w:hAnsi="Arial" w:cs="Arial"/>
          <w:b/>
          <w:sz w:val="24"/>
          <w:szCs w:val="24"/>
        </w:rPr>
        <w:t>While there may be agreement on certain aspects of what makes a high quality student academic experience, there is considerable diversity both within and between different providers. This diversity is key to ensuring the health and vitality of academic disciplines and to meeting the needs o</w:t>
      </w:r>
      <w:r w:rsidR="003F2077" w:rsidRPr="00772C62">
        <w:rPr>
          <w:rFonts w:ascii="Arial" w:hAnsi="Arial" w:cs="Arial"/>
          <w:b/>
          <w:sz w:val="24"/>
          <w:szCs w:val="24"/>
        </w:rPr>
        <w:t xml:space="preserve">f a diverse student population </w:t>
      </w:r>
      <w:r w:rsidRPr="00772C62">
        <w:rPr>
          <w:rFonts w:ascii="Arial" w:hAnsi="Arial" w:cs="Arial"/>
          <w:b/>
          <w:sz w:val="24"/>
          <w:szCs w:val="24"/>
        </w:rPr>
        <w:t>- and is to be celebrated.</w:t>
      </w:r>
    </w:p>
    <w:p w14:paraId="51009C9F" w14:textId="77777777" w:rsidR="00F23B30" w:rsidRDefault="00F23B30" w:rsidP="00F23B30">
      <w:pPr>
        <w:pStyle w:val="ListParagraph"/>
        <w:tabs>
          <w:tab w:val="left" w:pos="142"/>
        </w:tabs>
        <w:spacing w:after="0"/>
        <w:ind w:left="142"/>
        <w:rPr>
          <w:rFonts w:ascii="Arial" w:hAnsi="Arial" w:cs="Arial"/>
          <w:sz w:val="24"/>
          <w:szCs w:val="24"/>
        </w:rPr>
      </w:pPr>
    </w:p>
    <w:p w14:paraId="152D7BC8" w14:textId="77777777" w:rsidR="00F23B30" w:rsidRPr="00F23B30" w:rsidRDefault="007A3E76" w:rsidP="00F23B30">
      <w:pPr>
        <w:pStyle w:val="ListParagraph"/>
        <w:numPr>
          <w:ilvl w:val="0"/>
          <w:numId w:val="18"/>
        </w:numPr>
        <w:tabs>
          <w:tab w:val="left" w:pos="142"/>
        </w:tabs>
        <w:spacing w:after="0"/>
        <w:ind w:left="142" w:hanging="426"/>
        <w:rPr>
          <w:rFonts w:ascii="Arial" w:hAnsi="Arial" w:cs="Arial"/>
          <w:sz w:val="24"/>
          <w:szCs w:val="24"/>
        </w:rPr>
      </w:pPr>
      <w:r w:rsidRPr="00F23B30">
        <w:rPr>
          <w:rFonts w:ascii="Arial" w:hAnsi="Arial" w:cs="Arial"/>
          <w:sz w:val="24"/>
          <w:szCs w:val="24"/>
        </w:rPr>
        <w:t xml:space="preserve">As noted by respondents to the Green Paper, a narrow definition of teaching excellence would be unlikely to capture </w:t>
      </w:r>
      <w:r w:rsidR="00FC4FF0" w:rsidRPr="00F23B30">
        <w:rPr>
          <w:rFonts w:ascii="Arial" w:hAnsi="Arial" w:cs="Arial"/>
          <w:sz w:val="24"/>
          <w:szCs w:val="24"/>
        </w:rPr>
        <w:t xml:space="preserve">all </w:t>
      </w:r>
      <w:r w:rsidR="00DE4CEB" w:rsidRPr="00F23B30">
        <w:rPr>
          <w:rFonts w:ascii="Arial" w:hAnsi="Arial" w:cs="Arial"/>
          <w:sz w:val="24"/>
          <w:szCs w:val="24"/>
        </w:rPr>
        <w:t xml:space="preserve">relevant </w:t>
      </w:r>
      <w:r w:rsidRPr="00F23B30">
        <w:rPr>
          <w:rFonts w:ascii="Arial" w:hAnsi="Arial" w:cs="Arial"/>
          <w:sz w:val="24"/>
          <w:szCs w:val="24"/>
        </w:rPr>
        <w:t xml:space="preserve">aspects. </w:t>
      </w:r>
      <w:r w:rsidR="00402F86" w:rsidRPr="00F23B30">
        <w:rPr>
          <w:rFonts w:ascii="Arial" w:hAnsi="Arial" w:cs="Arial"/>
          <w:sz w:val="24"/>
          <w:szCs w:val="24"/>
        </w:rPr>
        <w:t>As such,</w:t>
      </w:r>
      <w:r w:rsidR="006563D9" w:rsidRPr="00F23B30">
        <w:rPr>
          <w:rFonts w:ascii="Arial" w:hAnsi="Arial" w:cs="Arial"/>
          <w:sz w:val="24"/>
          <w:szCs w:val="24"/>
        </w:rPr>
        <w:t xml:space="preserve"> we </w:t>
      </w:r>
      <w:r w:rsidR="0029751E" w:rsidRPr="00F23B30">
        <w:rPr>
          <w:rFonts w:ascii="Arial" w:hAnsi="Arial" w:cs="Arial"/>
          <w:sz w:val="24"/>
          <w:szCs w:val="24"/>
        </w:rPr>
        <w:t>have designed an</w:t>
      </w:r>
      <w:r w:rsidR="00402F86" w:rsidRPr="00F23B30">
        <w:rPr>
          <w:rFonts w:ascii="Arial" w:hAnsi="Arial" w:cs="Arial"/>
          <w:sz w:val="24"/>
          <w:szCs w:val="24"/>
        </w:rPr>
        <w:t xml:space="preserve"> assessment framework </w:t>
      </w:r>
      <w:r w:rsidR="0006789C" w:rsidRPr="00F23B30">
        <w:rPr>
          <w:rFonts w:ascii="Arial" w:hAnsi="Arial" w:cs="Arial"/>
          <w:sz w:val="24"/>
          <w:szCs w:val="24"/>
        </w:rPr>
        <w:t>that</w:t>
      </w:r>
      <w:r w:rsidR="0029751E" w:rsidRPr="00F23B30">
        <w:rPr>
          <w:rFonts w:ascii="Arial" w:hAnsi="Arial" w:cs="Arial"/>
          <w:sz w:val="24"/>
          <w:szCs w:val="24"/>
        </w:rPr>
        <w:t xml:space="preserve"> </w:t>
      </w:r>
      <w:r w:rsidR="00977179" w:rsidRPr="00F23B30">
        <w:rPr>
          <w:rFonts w:ascii="Arial" w:hAnsi="Arial" w:cs="Arial"/>
          <w:sz w:val="24"/>
          <w:szCs w:val="24"/>
        </w:rPr>
        <w:t xml:space="preserve">seeks to enable various forms of </w:t>
      </w:r>
      <w:r w:rsidR="00402F86" w:rsidRPr="00F23B30">
        <w:rPr>
          <w:rFonts w:ascii="Arial" w:hAnsi="Arial" w:cs="Arial"/>
          <w:sz w:val="24"/>
          <w:szCs w:val="24"/>
        </w:rPr>
        <w:t xml:space="preserve">teaching and learning excellence </w:t>
      </w:r>
      <w:r w:rsidR="00977179" w:rsidRPr="00F23B30">
        <w:rPr>
          <w:rFonts w:ascii="Arial" w:hAnsi="Arial" w:cs="Arial"/>
          <w:sz w:val="24"/>
          <w:szCs w:val="24"/>
        </w:rPr>
        <w:t>to be identified</w:t>
      </w:r>
      <w:r w:rsidR="00402F86" w:rsidRPr="00F23B30">
        <w:rPr>
          <w:rFonts w:ascii="Arial" w:hAnsi="Arial" w:cs="Arial"/>
          <w:sz w:val="24"/>
          <w:szCs w:val="24"/>
        </w:rPr>
        <w:t xml:space="preserve">. Assessment </w:t>
      </w:r>
      <w:r w:rsidR="006563D9" w:rsidRPr="00F23B30">
        <w:rPr>
          <w:rFonts w:ascii="Arial" w:hAnsi="Arial" w:cs="Arial"/>
          <w:sz w:val="24"/>
          <w:szCs w:val="24"/>
        </w:rPr>
        <w:t xml:space="preserve">will be made against a set of common criteria, </w:t>
      </w:r>
      <w:r w:rsidR="00CC75C7" w:rsidRPr="00F23B30">
        <w:rPr>
          <w:rFonts w:ascii="Arial" w:hAnsi="Arial" w:cs="Arial"/>
          <w:sz w:val="24"/>
          <w:szCs w:val="24"/>
        </w:rPr>
        <w:t xml:space="preserve">covering </w:t>
      </w:r>
      <w:r w:rsidR="006563D9" w:rsidRPr="00F23B30">
        <w:rPr>
          <w:rFonts w:ascii="Arial" w:hAnsi="Arial" w:cs="Arial"/>
          <w:sz w:val="24"/>
          <w:szCs w:val="24"/>
        </w:rPr>
        <w:t>different aspects of teaching</w:t>
      </w:r>
      <w:r w:rsidR="00CC75C7" w:rsidRPr="00F23B30">
        <w:rPr>
          <w:rFonts w:ascii="Arial" w:hAnsi="Arial" w:cs="Arial"/>
          <w:sz w:val="24"/>
          <w:szCs w:val="24"/>
        </w:rPr>
        <w:t xml:space="preserve"> and learning</w:t>
      </w:r>
      <w:r w:rsidR="00AE3081" w:rsidRPr="00F23B30">
        <w:rPr>
          <w:rFonts w:ascii="Arial" w:hAnsi="Arial" w:cs="Arial"/>
          <w:sz w:val="24"/>
          <w:szCs w:val="24"/>
        </w:rPr>
        <w:t xml:space="preserve">. </w:t>
      </w:r>
      <w:r w:rsidR="0029751E" w:rsidRPr="00F23B30">
        <w:rPr>
          <w:rFonts w:ascii="Arial" w:hAnsi="Arial" w:cs="Arial"/>
          <w:sz w:val="24"/>
          <w:szCs w:val="24"/>
        </w:rPr>
        <w:t>Assessment will be holistic</w:t>
      </w:r>
      <w:r w:rsidR="00AE3081" w:rsidRPr="00F23B30">
        <w:rPr>
          <w:rFonts w:ascii="Arial" w:hAnsi="Arial" w:cs="Arial"/>
          <w:sz w:val="24"/>
          <w:szCs w:val="24"/>
        </w:rPr>
        <w:t>, based on both core metrics and additional evidence</w:t>
      </w:r>
      <w:r w:rsidR="00F23B30" w:rsidRPr="00F23B30">
        <w:rPr>
          <w:rFonts w:ascii="Arial" w:hAnsi="Arial" w:cs="Arial"/>
          <w:sz w:val="24"/>
          <w:szCs w:val="24"/>
        </w:rPr>
        <w:t>, and carried out by peer review panels comprised of experts in teaching and learning and student representatives.</w:t>
      </w:r>
    </w:p>
    <w:p w14:paraId="4B119CD4" w14:textId="77777777" w:rsidR="00F23B30" w:rsidRPr="00F23B30" w:rsidRDefault="00F23B30" w:rsidP="00F23B30">
      <w:pPr>
        <w:pStyle w:val="ListParagraph"/>
        <w:tabs>
          <w:tab w:val="left" w:pos="142"/>
        </w:tabs>
        <w:spacing w:after="0"/>
        <w:ind w:left="142"/>
        <w:rPr>
          <w:rFonts w:ascii="Arial" w:hAnsi="Arial" w:cs="Arial"/>
          <w:sz w:val="24"/>
          <w:szCs w:val="24"/>
        </w:rPr>
      </w:pPr>
    </w:p>
    <w:p w14:paraId="1CD93FEA" w14:textId="0CF26B78" w:rsidR="006563D9" w:rsidRPr="00F23B30" w:rsidRDefault="00F23B30" w:rsidP="00F23B30">
      <w:pPr>
        <w:pStyle w:val="ListParagraph"/>
        <w:numPr>
          <w:ilvl w:val="0"/>
          <w:numId w:val="18"/>
        </w:numPr>
        <w:tabs>
          <w:tab w:val="left" w:pos="142"/>
        </w:tabs>
        <w:spacing w:after="0"/>
        <w:ind w:left="142" w:hanging="426"/>
        <w:rPr>
          <w:rFonts w:ascii="Arial" w:hAnsi="Arial" w:cs="Arial"/>
          <w:sz w:val="24"/>
          <w:szCs w:val="24"/>
        </w:rPr>
      </w:pPr>
      <w:r w:rsidRPr="00F23B30">
        <w:rPr>
          <w:rFonts w:ascii="Arial" w:hAnsi="Arial" w:cs="Arial"/>
          <w:sz w:val="24"/>
          <w:szCs w:val="24"/>
        </w:rPr>
        <w:t>Reflecting the fact that in order to enter TEF a provider must first be meeting the high baseline standards for quality in the sector, the TEF will not be looking for evidence of the fundamental quality expectations and processes that are assessed during the QA process. Panel members will carry out their assessment with the assurance that these are in place and will instead focus on identifying evidence of excellence above the baseline. This will ensure that QA and TEF work as a single system and minimise the bureaucracy for the sector.</w:t>
      </w:r>
    </w:p>
    <w:p w14:paraId="5575B199" w14:textId="77777777" w:rsidR="007A3E76" w:rsidRPr="00F23B30" w:rsidRDefault="007A3E76" w:rsidP="00F23B30">
      <w:pPr>
        <w:pStyle w:val="ListParagraph"/>
        <w:tabs>
          <w:tab w:val="left" w:pos="142"/>
        </w:tabs>
        <w:spacing w:after="0"/>
        <w:ind w:left="142"/>
        <w:rPr>
          <w:rFonts w:ascii="Arial" w:hAnsi="Arial" w:cs="Arial"/>
          <w:sz w:val="24"/>
          <w:szCs w:val="24"/>
        </w:rPr>
      </w:pPr>
    </w:p>
    <w:p w14:paraId="1F2B2043" w14:textId="77777777" w:rsidR="006563D9" w:rsidRPr="00C877EB" w:rsidRDefault="0006789C" w:rsidP="00AF7684">
      <w:pPr>
        <w:pStyle w:val="ListParagraph"/>
        <w:numPr>
          <w:ilvl w:val="0"/>
          <w:numId w:val="18"/>
        </w:numPr>
        <w:tabs>
          <w:tab w:val="left" w:pos="142"/>
        </w:tabs>
        <w:spacing w:after="0"/>
        <w:ind w:left="142" w:hanging="426"/>
        <w:rPr>
          <w:rFonts w:ascii="Arial" w:hAnsi="Arial" w:cs="Arial"/>
          <w:sz w:val="24"/>
          <w:szCs w:val="24"/>
        </w:rPr>
      </w:pPr>
      <w:r w:rsidRPr="00C877EB">
        <w:rPr>
          <w:rFonts w:ascii="Arial" w:hAnsi="Arial" w:cs="Arial"/>
          <w:sz w:val="24"/>
          <w:szCs w:val="24"/>
        </w:rPr>
        <w:t xml:space="preserve">Reflecting the diversity of the sector, the Government expects that </w:t>
      </w:r>
      <w:r w:rsidR="003F2077" w:rsidRPr="00C877EB">
        <w:rPr>
          <w:rFonts w:ascii="Arial" w:hAnsi="Arial" w:cs="Arial"/>
          <w:sz w:val="24"/>
          <w:szCs w:val="24"/>
        </w:rPr>
        <w:t xml:space="preserve">it will be possible to demonstrate excellence across a wide range of </w:t>
      </w:r>
      <w:r w:rsidRPr="00C877EB">
        <w:rPr>
          <w:rFonts w:ascii="Arial" w:hAnsi="Arial" w:cs="Arial"/>
          <w:sz w:val="24"/>
          <w:szCs w:val="24"/>
        </w:rPr>
        <w:t>teaching styles</w:t>
      </w:r>
      <w:r w:rsidR="003F2077" w:rsidRPr="00C877EB">
        <w:rPr>
          <w:rFonts w:ascii="Arial" w:hAnsi="Arial" w:cs="Arial"/>
          <w:sz w:val="24"/>
          <w:szCs w:val="24"/>
        </w:rPr>
        <w:t xml:space="preserve"> and approaches to delivery. The TEF will not constrain creativity </w:t>
      </w:r>
      <w:r w:rsidRPr="00C877EB">
        <w:rPr>
          <w:rFonts w:ascii="Arial" w:hAnsi="Arial" w:cs="Arial"/>
          <w:sz w:val="24"/>
          <w:szCs w:val="24"/>
        </w:rPr>
        <w:t xml:space="preserve">and innovation </w:t>
      </w:r>
      <w:r w:rsidR="003F2077" w:rsidRPr="00C877EB">
        <w:rPr>
          <w:rFonts w:ascii="Arial" w:hAnsi="Arial" w:cs="Arial"/>
          <w:sz w:val="24"/>
          <w:szCs w:val="24"/>
        </w:rPr>
        <w:t xml:space="preserve">by imposing a one-size-fits-all definition of teaching excellence. </w:t>
      </w:r>
    </w:p>
    <w:p w14:paraId="54817079" w14:textId="77777777" w:rsidR="00F077A3" w:rsidRPr="00C877EB" w:rsidRDefault="00F077A3" w:rsidP="00C877EB">
      <w:pPr>
        <w:pStyle w:val="ListParagraph"/>
        <w:tabs>
          <w:tab w:val="left" w:pos="142"/>
        </w:tabs>
        <w:spacing w:after="0"/>
        <w:ind w:left="142"/>
        <w:rPr>
          <w:rFonts w:ascii="Arial" w:hAnsi="Arial" w:cs="Arial"/>
          <w:sz w:val="24"/>
          <w:szCs w:val="24"/>
        </w:rPr>
      </w:pPr>
    </w:p>
    <w:p w14:paraId="04C4AC66" w14:textId="5B9346B8" w:rsidR="006563D9" w:rsidRDefault="006563D9" w:rsidP="00AF7684">
      <w:pPr>
        <w:pStyle w:val="ListParagraph"/>
        <w:numPr>
          <w:ilvl w:val="0"/>
          <w:numId w:val="18"/>
        </w:numPr>
        <w:tabs>
          <w:tab w:val="left" w:pos="142"/>
        </w:tabs>
        <w:spacing w:after="0"/>
        <w:ind w:left="142" w:hanging="426"/>
        <w:rPr>
          <w:rFonts w:ascii="Arial" w:hAnsi="Arial" w:cs="Arial"/>
          <w:sz w:val="24"/>
          <w:szCs w:val="24"/>
        </w:rPr>
      </w:pPr>
      <w:r w:rsidRPr="00C877EB">
        <w:rPr>
          <w:rFonts w:ascii="Arial" w:hAnsi="Arial" w:cs="Arial"/>
          <w:sz w:val="24"/>
          <w:szCs w:val="24"/>
        </w:rPr>
        <w:t xml:space="preserve">This chapter sets out the proposed framework, which balances the need for robust </w:t>
      </w:r>
      <w:r w:rsidR="00402F86" w:rsidRPr="00C877EB">
        <w:rPr>
          <w:rFonts w:ascii="Arial" w:hAnsi="Arial" w:cs="Arial"/>
          <w:sz w:val="24"/>
          <w:szCs w:val="24"/>
        </w:rPr>
        <w:t xml:space="preserve">and transparent </w:t>
      </w:r>
      <w:r w:rsidRPr="00C877EB">
        <w:rPr>
          <w:rFonts w:ascii="Arial" w:hAnsi="Arial" w:cs="Arial"/>
          <w:sz w:val="24"/>
          <w:szCs w:val="24"/>
        </w:rPr>
        <w:t xml:space="preserve">assessment, while at the same time avoiding introducing unnecessary burden and bureaucracy. </w:t>
      </w:r>
      <w:r w:rsidR="0029751E" w:rsidRPr="00C877EB">
        <w:rPr>
          <w:rFonts w:ascii="Arial" w:hAnsi="Arial" w:cs="Arial"/>
          <w:sz w:val="24"/>
          <w:szCs w:val="24"/>
        </w:rPr>
        <w:t xml:space="preserve">The chapters that follow outline </w:t>
      </w:r>
      <w:r w:rsidR="00542D8C" w:rsidRPr="00C877EB">
        <w:rPr>
          <w:rFonts w:ascii="Arial" w:hAnsi="Arial" w:cs="Arial"/>
          <w:sz w:val="24"/>
          <w:szCs w:val="24"/>
        </w:rPr>
        <w:t xml:space="preserve">proposals for </w:t>
      </w:r>
      <w:r w:rsidR="0029751E" w:rsidRPr="00C877EB">
        <w:rPr>
          <w:rFonts w:ascii="Arial" w:hAnsi="Arial" w:cs="Arial"/>
          <w:sz w:val="24"/>
          <w:szCs w:val="24"/>
        </w:rPr>
        <w:t>the evidence base for assessment in more detail and the assessment process itself.</w:t>
      </w:r>
    </w:p>
    <w:p w14:paraId="5A52624D" w14:textId="77777777" w:rsidR="00772C62" w:rsidRPr="00C877EB" w:rsidRDefault="00772C62" w:rsidP="00772C62">
      <w:pPr>
        <w:pStyle w:val="ListParagraph"/>
        <w:tabs>
          <w:tab w:val="left" w:pos="142"/>
        </w:tabs>
        <w:spacing w:after="0"/>
        <w:ind w:left="142"/>
        <w:rPr>
          <w:rFonts w:ascii="Arial" w:hAnsi="Arial" w:cs="Arial"/>
          <w:sz w:val="24"/>
          <w:szCs w:val="24"/>
        </w:rPr>
      </w:pPr>
    </w:p>
    <w:p w14:paraId="081681C0" w14:textId="77777777" w:rsidR="00B9769B" w:rsidRPr="00570784" w:rsidRDefault="00B9769B" w:rsidP="00093DCD">
      <w:pPr>
        <w:spacing w:after="0"/>
        <w:rPr>
          <w:rFonts w:cs="Arial"/>
          <w:sz w:val="16"/>
          <w:szCs w:val="16"/>
        </w:rPr>
      </w:pPr>
    </w:p>
    <w:p w14:paraId="6AB55860" w14:textId="10B6B847" w:rsidR="006664CA" w:rsidRPr="006664CA" w:rsidRDefault="002A5C91" w:rsidP="00FD0E93">
      <w:pPr>
        <w:pStyle w:val="Heading3"/>
        <w:spacing w:after="0"/>
        <w:ind w:left="142" w:hanging="426"/>
      </w:pPr>
      <w:bookmarkStart w:id="19" w:name="_Toc450147975"/>
      <w:bookmarkStart w:id="20" w:name="_Toc450886545"/>
      <w:r>
        <w:t>Summary of the framework</w:t>
      </w:r>
      <w:bookmarkEnd w:id="19"/>
      <w:bookmarkEnd w:id="20"/>
    </w:p>
    <w:p w14:paraId="47D84AA8" w14:textId="2D2CFB74" w:rsidR="00382917" w:rsidRDefault="001A1DFE" w:rsidP="00AF7684">
      <w:pPr>
        <w:pStyle w:val="ListParagraph"/>
        <w:numPr>
          <w:ilvl w:val="0"/>
          <w:numId w:val="18"/>
        </w:numPr>
        <w:tabs>
          <w:tab w:val="left" w:pos="142"/>
        </w:tabs>
        <w:spacing w:after="0"/>
        <w:ind w:left="142" w:hanging="426"/>
        <w:rPr>
          <w:rFonts w:ascii="Arial" w:hAnsi="Arial" w:cs="Arial"/>
          <w:sz w:val="24"/>
          <w:szCs w:val="24"/>
        </w:rPr>
      </w:pPr>
      <w:r w:rsidRPr="00772C62">
        <w:rPr>
          <w:rFonts w:ascii="Arial" w:hAnsi="Arial" w:cs="Arial"/>
          <w:b/>
          <w:sz w:val="24"/>
          <w:szCs w:val="24"/>
        </w:rPr>
        <w:t>Figure 2</w:t>
      </w:r>
      <w:r w:rsidR="00F077A3" w:rsidRPr="00382917">
        <w:rPr>
          <w:rFonts w:ascii="Arial" w:hAnsi="Arial" w:cs="Arial"/>
          <w:sz w:val="24"/>
          <w:szCs w:val="24"/>
        </w:rPr>
        <w:t xml:space="preserve"> </w:t>
      </w:r>
      <w:r w:rsidR="00977179" w:rsidRPr="00382917">
        <w:rPr>
          <w:rFonts w:ascii="Arial" w:hAnsi="Arial" w:cs="Arial"/>
          <w:sz w:val="24"/>
          <w:szCs w:val="24"/>
        </w:rPr>
        <w:t>provides a</w:t>
      </w:r>
      <w:r w:rsidRPr="00382917">
        <w:rPr>
          <w:rFonts w:ascii="Arial" w:hAnsi="Arial" w:cs="Arial"/>
          <w:sz w:val="24"/>
          <w:szCs w:val="24"/>
        </w:rPr>
        <w:t xml:space="preserve"> conceptual </w:t>
      </w:r>
      <w:r w:rsidR="00977179" w:rsidRPr="00382917">
        <w:rPr>
          <w:rFonts w:ascii="Arial" w:hAnsi="Arial" w:cs="Arial"/>
          <w:sz w:val="24"/>
          <w:szCs w:val="24"/>
        </w:rPr>
        <w:t xml:space="preserve">model of the </w:t>
      </w:r>
      <w:r w:rsidRPr="00382917">
        <w:rPr>
          <w:rFonts w:ascii="Arial" w:hAnsi="Arial" w:cs="Arial"/>
          <w:sz w:val="24"/>
          <w:szCs w:val="24"/>
        </w:rPr>
        <w:t>as</w:t>
      </w:r>
      <w:r w:rsidR="000E7DFB" w:rsidRPr="00382917">
        <w:rPr>
          <w:rFonts w:ascii="Arial" w:hAnsi="Arial" w:cs="Arial"/>
          <w:sz w:val="24"/>
          <w:szCs w:val="24"/>
        </w:rPr>
        <w:t xml:space="preserve">sessment framework. </w:t>
      </w:r>
      <w:r w:rsidR="00EB2675" w:rsidRPr="00382917">
        <w:rPr>
          <w:rFonts w:ascii="Arial" w:hAnsi="Arial" w:cs="Arial"/>
          <w:sz w:val="24"/>
          <w:szCs w:val="24"/>
        </w:rPr>
        <w:t>In the text that follows we define</w:t>
      </w:r>
      <w:r w:rsidR="00D5142D" w:rsidRPr="00382917">
        <w:rPr>
          <w:rFonts w:ascii="Arial" w:hAnsi="Arial" w:cs="Arial"/>
          <w:sz w:val="24"/>
          <w:szCs w:val="24"/>
        </w:rPr>
        <w:t xml:space="preserve"> each of the</w:t>
      </w:r>
      <w:r w:rsidR="00F077A3" w:rsidRPr="00382917">
        <w:rPr>
          <w:rFonts w:ascii="Arial" w:hAnsi="Arial" w:cs="Arial"/>
          <w:sz w:val="24"/>
          <w:szCs w:val="24"/>
        </w:rPr>
        <w:t xml:space="preserve"> </w:t>
      </w:r>
      <w:r w:rsidRPr="00382917">
        <w:rPr>
          <w:rFonts w:ascii="Arial" w:hAnsi="Arial" w:cs="Arial"/>
          <w:sz w:val="24"/>
          <w:szCs w:val="24"/>
        </w:rPr>
        <w:t xml:space="preserve">aspects </w:t>
      </w:r>
      <w:r w:rsidR="00F077A3" w:rsidRPr="00382917">
        <w:rPr>
          <w:rFonts w:ascii="Arial" w:hAnsi="Arial" w:cs="Arial"/>
          <w:sz w:val="24"/>
          <w:szCs w:val="24"/>
        </w:rPr>
        <w:t xml:space="preserve">and </w:t>
      </w:r>
      <w:r w:rsidR="00D5142D" w:rsidRPr="00382917">
        <w:rPr>
          <w:rFonts w:ascii="Arial" w:hAnsi="Arial" w:cs="Arial"/>
          <w:sz w:val="24"/>
          <w:szCs w:val="24"/>
        </w:rPr>
        <w:t xml:space="preserve">the proposed criteria. </w:t>
      </w:r>
    </w:p>
    <w:p w14:paraId="31B7575A" w14:textId="77777777" w:rsidR="00382917" w:rsidRDefault="00382917" w:rsidP="00382917">
      <w:pPr>
        <w:pStyle w:val="ListParagraph"/>
        <w:tabs>
          <w:tab w:val="left" w:pos="142"/>
        </w:tabs>
        <w:spacing w:after="0"/>
        <w:ind w:left="142"/>
        <w:rPr>
          <w:rFonts w:ascii="Arial" w:hAnsi="Arial" w:cs="Arial"/>
          <w:sz w:val="16"/>
          <w:szCs w:val="16"/>
        </w:rPr>
      </w:pPr>
    </w:p>
    <w:p w14:paraId="20A97266" w14:textId="77777777" w:rsidR="00772C62" w:rsidRDefault="00772C62" w:rsidP="00382917">
      <w:pPr>
        <w:pStyle w:val="ListParagraph"/>
        <w:tabs>
          <w:tab w:val="left" w:pos="142"/>
        </w:tabs>
        <w:spacing w:after="0"/>
        <w:ind w:left="142"/>
        <w:rPr>
          <w:rFonts w:ascii="Arial" w:hAnsi="Arial" w:cs="Arial"/>
          <w:sz w:val="16"/>
          <w:szCs w:val="16"/>
        </w:rPr>
      </w:pPr>
    </w:p>
    <w:p w14:paraId="1F967D63" w14:textId="77777777" w:rsidR="00772C62" w:rsidRDefault="00772C62" w:rsidP="00382917">
      <w:pPr>
        <w:pStyle w:val="ListParagraph"/>
        <w:tabs>
          <w:tab w:val="left" w:pos="142"/>
        </w:tabs>
        <w:spacing w:after="0"/>
        <w:ind w:left="142"/>
        <w:rPr>
          <w:rFonts w:ascii="Arial" w:hAnsi="Arial" w:cs="Arial"/>
          <w:sz w:val="16"/>
          <w:szCs w:val="16"/>
        </w:rPr>
      </w:pPr>
    </w:p>
    <w:p w14:paraId="6B54F9A2" w14:textId="77777777" w:rsidR="00772C62" w:rsidRDefault="00772C62" w:rsidP="00382917">
      <w:pPr>
        <w:pStyle w:val="ListParagraph"/>
        <w:tabs>
          <w:tab w:val="left" w:pos="142"/>
        </w:tabs>
        <w:spacing w:after="0"/>
        <w:ind w:left="142"/>
        <w:rPr>
          <w:rFonts w:ascii="Arial" w:hAnsi="Arial" w:cs="Arial"/>
          <w:sz w:val="16"/>
          <w:szCs w:val="16"/>
        </w:rPr>
      </w:pPr>
    </w:p>
    <w:p w14:paraId="35F99E4F" w14:textId="77777777" w:rsidR="00772C62" w:rsidRDefault="00772C62" w:rsidP="00382917">
      <w:pPr>
        <w:pStyle w:val="ListParagraph"/>
        <w:tabs>
          <w:tab w:val="left" w:pos="142"/>
        </w:tabs>
        <w:spacing w:after="0"/>
        <w:ind w:left="142"/>
        <w:rPr>
          <w:rFonts w:ascii="Arial" w:hAnsi="Arial" w:cs="Arial"/>
          <w:sz w:val="16"/>
          <w:szCs w:val="16"/>
        </w:rPr>
      </w:pPr>
    </w:p>
    <w:p w14:paraId="443B0A40" w14:textId="77777777" w:rsidR="00772C62" w:rsidRDefault="00772C62" w:rsidP="00382917">
      <w:pPr>
        <w:pStyle w:val="ListParagraph"/>
        <w:tabs>
          <w:tab w:val="left" w:pos="142"/>
        </w:tabs>
        <w:spacing w:after="0"/>
        <w:ind w:left="142"/>
        <w:rPr>
          <w:rFonts w:ascii="Arial" w:hAnsi="Arial" w:cs="Arial"/>
          <w:sz w:val="16"/>
          <w:szCs w:val="16"/>
        </w:rPr>
      </w:pPr>
    </w:p>
    <w:p w14:paraId="28051304" w14:textId="77777777" w:rsidR="00772C62" w:rsidRDefault="00772C62" w:rsidP="00382917">
      <w:pPr>
        <w:pStyle w:val="ListParagraph"/>
        <w:tabs>
          <w:tab w:val="left" w:pos="142"/>
        </w:tabs>
        <w:spacing w:after="0"/>
        <w:ind w:left="142"/>
        <w:rPr>
          <w:rFonts w:ascii="Arial" w:hAnsi="Arial" w:cs="Arial"/>
          <w:sz w:val="16"/>
          <w:szCs w:val="16"/>
        </w:rPr>
      </w:pPr>
    </w:p>
    <w:p w14:paraId="65B74B28" w14:textId="77777777" w:rsidR="00772C62" w:rsidRDefault="00772C62" w:rsidP="00382917">
      <w:pPr>
        <w:pStyle w:val="ListParagraph"/>
        <w:tabs>
          <w:tab w:val="left" w:pos="142"/>
        </w:tabs>
        <w:spacing w:after="0"/>
        <w:ind w:left="142"/>
        <w:rPr>
          <w:rFonts w:ascii="Arial" w:hAnsi="Arial" w:cs="Arial"/>
          <w:sz w:val="16"/>
          <w:szCs w:val="16"/>
        </w:rPr>
      </w:pPr>
    </w:p>
    <w:p w14:paraId="43CB1B0B" w14:textId="77777777" w:rsidR="00772C62" w:rsidRDefault="00772C62" w:rsidP="00382917">
      <w:pPr>
        <w:pStyle w:val="ListParagraph"/>
        <w:tabs>
          <w:tab w:val="left" w:pos="142"/>
        </w:tabs>
        <w:spacing w:after="0"/>
        <w:ind w:left="142"/>
        <w:rPr>
          <w:rFonts w:ascii="Arial" w:hAnsi="Arial" w:cs="Arial"/>
          <w:sz w:val="16"/>
          <w:szCs w:val="16"/>
        </w:rPr>
      </w:pPr>
    </w:p>
    <w:p w14:paraId="61D942D8" w14:textId="77777777" w:rsidR="00772C62" w:rsidRDefault="00772C62" w:rsidP="00382917">
      <w:pPr>
        <w:pStyle w:val="ListParagraph"/>
        <w:tabs>
          <w:tab w:val="left" w:pos="142"/>
        </w:tabs>
        <w:spacing w:after="0"/>
        <w:ind w:left="142"/>
        <w:rPr>
          <w:rFonts w:ascii="Arial" w:hAnsi="Arial" w:cs="Arial"/>
          <w:sz w:val="16"/>
          <w:szCs w:val="16"/>
        </w:rPr>
      </w:pPr>
    </w:p>
    <w:p w14:paraId="66E64E1B" w14:textId="77777777" w:rsidR="00772C62" w:rsidRDefault="00772C62" w:rsidP="00382917">
      <w:pPr>
        <w:pStyle w:val="ListParagraph"/>
        <w:tabs>
          <w:tab w:val="left" w:pos="142"/>
        </w:tabs>
        <w:spacing w:after="0"/>
        <w:ind w:left="142"/>
        <w:rPr>
          <w:rFonts w:ascii="Arial" w:hAnsi="Arial" w:cs="Arial"/>
          <w:sz w:val="16"/>
          <w:szCs w:val="16"/>
        </w:rPr>
      </w:pPr>
    </w:p>
    <w:p w14:paraId="2C4F4265" w14:textId="77777777" w:rsidR="00772C62" w:rsidRDefault="00772C62" w:rsidP="00382917">
      <w:pPr>
        <w:pStyle w:val="ListParagraph"/>
        <w:tabs>
          <w:tab w:val="left" w:pos="142"/>
        </w:tabs>
        <w:spacing w:after="0"/>
        <w:ind w:left="142"/>
        <w:rPr>
          <w:rFonts w:ascii="Arial" w:hAnsi="Arial" w:cs="Arial"/>
          <w:sz w:val="16"/>
          <w:szCs w:val="16"/>
        </w:rPr>
      </w:pPr>
    </w:p>
    <w:p w14:paraId="77B2D556" w14:textId="77777777" w:rsidR="00772C62" w:rsidRDefault="00772C62" w:rsidP="00382917">
      <w:pPr>
        <w:pStyle w:val="ListParagraph"/>
        <w:tabs>
          <w:tab w:val="left" w:pos="142"/>
        </w:tabs>
        <w:spacing w:after="0"/>
        <w:ind w:left="142"/>
        <w:rPr>
          <w:rFonts w:ascii="Arial" w:hAnsi="Arial" w:cs="Arial"/>
          <w:sz w:val="16"/>
          <w:szCs w:val="16"/>
        </w:rPr>
      </w:pPr>
    </w:p>
    <w:p w14:paraId="22AF2A5F" w14:textId="77777777" w:rsidR="00772C62" w:rsidRDefault="00772C62" w:rsidP="00382917">
      <w:pPr>
        <w:pStyle w:val="ListParagraph"/>
        <w:tabs>
          <w:tab w:val="left" w:pos="142"/>
        </w:tabs>
        <w:spacing w:after="0"/>
        <w:ind w:left="142"/>
        <w:rPr>
          <w:rFonts w:ascii="Arial" w:hAnsi="Arial" w:cs="Arial"/>
          <w:sz w:val="16"/>
          <w:szCs w:val="16"/>
        </w:rPr>
      </w:pPr>
    </w:p>
    <w:p w14:paraId="34F9482B" w14:textId="77777777" w:rsidR="00772C62" w:rsidRPr="00570784" w:rsidRDefault="00772C62" w:rsidP="00382917">
      <w:pPr>
        <w:pStyle w:val="ListParagraph"/>
        <w:tabs>
          <w:tab w:val="left" w:pos="142"/>
        </w:tabs>
        <w:spacing w:after="0"/>
        <w:ind w:left="142"/>
        <w:rPr>
          <w:rFonts w:ascii="Arial" w:hAnsi="Arial" w:cs="Arial"/>
          <w:sz w:val="16"/>
          <w:szCs w:val="16"/>
        </w:rPr>
      </w:pPr>
    </w:p>
    <w:p w14:paraId="5A8A5F32" w14:textId="77777777" w:rsidR="00F077A3" w:rsidRPr="00382917" w:rsidRDefault="001A1DFE" w:rsidP="00AF7684">
      <w:pPr>
        <w:pStyle w:val="ListParagraph"/>
        <w:numPr>
          <w:ilvl w:val="0"/>
          <w:numId w:val="18"/>
        </w:numPr>
        <w:tabs>
          <w:tab w:val="left" w:pos="142"/>
        </w:tabs>
        <w:spacing w:after="0"/>
        <w:ind w:left="142" w:hanging="426"/>
        <w:rPr>
          <w:rFonts w:ascii="Arial" w:hAnsi="Arial" w:cs="Arial"/>
          <w:b/>
          <w:sz w:val="24"/>
          <w:szCs w:val="24"/>
        </w:rPr>
      </w:pPr>
      <w:r w:rsidRPr="00382917">
        <w:rPr>
          <w:rFonts w:ascii="Arial" w:hAnsi="Arial" w:cs="Arial"/>
          <w:b/>
          <w:sz w:val="24"/>
          <w:szCs w:val="24"/>
        </w:rPr>
        <w:t xml:space="preserve">Figure 2: </w:t>
      </w:r>
      <w:r w:rsidR="00904C95" w:rsidRPr="00382917">
        <w:rPr>
          <w:rFonts w:ascii="Arial" w:hAnsi="Arial" w:cs="Arial"/>
          <w:b/>
          <w:sz w:val="24"/>
          <w:szCs w:val="24"/>
        </w:rPr>
        <w:t>The assessment framework – conceptual model</w:t>
      </w:r>
    </w:p>
    <w:tbl>
      <w:tblPr>
        <w:tblStyle w:val="Table-bluegrid"/>
        <w:tblW w:w="10314" w:type="dxa"/>
        <w:tblLayout w:type="fixed"/>
        <w:tblLook w:val="04A0" w:firstRow="1" w:lastRow="0" w:firstColumn="1" w:lastColumn="0" w:noHBand="0" w:noVBand="1"/>
      </w:tblPr>
      <w:tblGrid>
        <w:gridCol w:w="3085"/>
        <w:gridCol w:w="2410"/>
        <w:gridCol w:w="2410"/>
        <w:gridCol w:w="2409"/>
      </w:tblGrid>
      <w:tr w:rsidR="001A1DFE" w:rsidRPr="003F2077" w14:paraId="0F1B2D90" w14:textId="77777777" w:rsidTr="002F06B8">
        <w:trPr>
          <w:cnfStyle w:val="100000000000" w:firstRow="1" w:lastRow="0" w:firstColumn="0" w:lastColumn="0" w:oddVBand="0" w:evenVBand="0" w:oddHBand="0" w:evenHBand="0" w:firstRowFirstColumn="0" w:firstRowLastColumn="0" w:lastRowFirstColumn="0" w:lastRowLastColumn="0"/>
        </w:trPr>
        <w:tc>
          <w:tcPr>
            <w:tcW w:w="3085" w:type="dxa"/>
            <w:shd w:val="clear" w:color="auto" w:fill="FFFFFF" w:themeFill="background1"/>
          </w:tcPr>
          <w:p w14:paraId="0972E81F" w14:textId="77777777" w:rsidR="001A1DFE" w:rsidRPr="0030335A" w:rsidRDefault="001A1DFE" w:rsidP="00570784">
            <w:pPr>
              <w:spacing w:after="0" w:line="280" w:lineRule="exact"/>
              <w:rPr>
                <w:rFonts w:cs="Arial"/>
                <w:b/>
                <w:sz w:val="20"/>
                <w:szCs w:val="20"/>
              </w:rPr>
            </w:pPr>
            <w:r w:rsidRPr="0030335A">
              <w:rPr>
                <w:rFonts w:cs="Arial"/>
                <w:b/>
                <w:sz w:val="20"/>
                <w:szCs w:val="20"/>
              </w:rPr>
              <w:t xml:space="preserve">Aspect of </w:t>
            </w:r>
            <w:r w:rsidR="003F2077" w:rsidRPr="0030335A">
              <w:rPr>
                <w:rFonts w:cs="Arial"/>
                <w:b/>
                <w:sz w:val="20"/>
                <w:szCs w:val="20"/>
              </w:rPr>
              <w:t>quality</w:t>
            </w:r>
          </w:p>
          <w:p w14:paraId="183F9068" w14:textId="77777777" w:rsidR="00FB17AD" w:rsidRPr="001F29A1" w:rsidRDefault="00FB17AD" w:rsidP="00570784">
            <w:pPr>
              <w:spacing w:after="0" w:line="280" w:lineRule="exact"/>
              <w:rPr>
                <w:rFonts w:cs="Arial"/>
                <w:i/>
                <w:sz w:val="16"/>
                <w:szCs w:val="16"/>
              </w:rPr>
            </w:pPr>
            <w:r w:rsidRPr="001F29A1">
              <w:rPr>
                <w:rFonts w:cs="Arial"/>
                <w:i/>
                <w:sz w:val="16"/>
                <w:szCs w:val="16"/>
              </w:rPr>
              <w:t>Areas of teaching and learning quality</w:t>
            </w:r>
          </w:p>
        </w:tc>
        <w:tc>
          <w:tcPr>
            <w:tcW w:w="2410" w:type="dxa"/>
            <w:shd w:val="clear" w:color="auto" w:fill="4F81BD" w:themeFill="accent1"/>
          </w:tcPr>
          <w:p w14:paraId="5993A086" w14:textId="099467EE" w:rsidR="001A1DFE" w:rsidRPr="0030335A" w:rsidRDefault="001A1DFE" w:rsidP="002F06B8">
            <w:pPr>
              <w:spacing w:after="0" w:line="280" w:lineRule="exact"/>
              <w:jc w:val="center"/>
              <w:rPr>
                <w:rFonts w:cs="Arial"/>
                <w:b/>
                <w:sz w:val="20"/>
                <w:szCs w:val="20"/>
              </w:rPr>
            </w:pPr>
            <w:r w:rsidRPr="0030335A">
              <w:rPr>
                <w:rFonts w:cs="Arial"/>
                <w:b/>
                <w:color w:val="FFFFFF" w:themeColor="background1"/>
                <w:sz w:val="20"/>
                <w:szCs w:val="20"/>
              </w:rPr>
              <w:t>Teaching Quality</w:t>
            </w:r>
          </w:p>
        </w:tc>
        <w:tc>
          <w:tcPr>
            <w:tcW w:w="2410" w:type="dxa"/>
            <w:shd w:val="clear" w:color="auto" w:fill="8064A2" w:themeFill="accent4"/>
          </w:tcPr>
          <w:p w14:paraId="0F821E1B" w14:textId="23405550" w:rsidR="001A1DFE" w:rsidRPr="0030335A" w:rsidRDefault="001A1DFE" w:rsidP="002F06B8">
            <w:pPr>
              <w:spacing w:after="0" w:line="280" w:lineRule="exact"/>
              <w:jc w:val="center"/>
              <w:rPr>
                <w:rFonts w:cs="Arial"/>
                <w:b/>
                <w:sz w:val="20"/>
                <w:szCs w:val="20"/>
              </w:rPr>
            </w:pPr>
            <w:r w:rsidRPr="0030335A">
              <w:rPr>
                <w:rFonts w:cs="Arial"/>
                <w:b/>
                <w:color w:val="FFFFFF" w:themeColor="background1"/>
                <w:sz w:val="20"/>
                <w:szCs w:val="20"/>
              </w:rPr>
              <w:t>Learning Environment</w:t>
            </w:r>
          </w:p>
        </w:tc>
        <w:tc>
          <w:tcPr>
            <w:tcW w:w="2409" w:type="dxa"/>
            <w:shd w:val="clear" w:color="auto" w:fill="4BACC6" w:themeFill="accent5"/>
          </w:tcPr>
          <w:p w14:paraId="0DC9BB18" w14:textId="77777777" w:rsidR="001A1DFE" w:rsidRPr="0030335A" w:rsidRDefault="001A1DFE" w:rsidP="00570784">
            <w:pPr>
              <w:spacing w:after="0" w:line="280" w:lineRule="exact"/>
              <w:rPr>
                <w:rFonts w:cs="Arial"/>
                <w:b/>
                <w:sz w:val="20"/>
                <w:szCs w:val="20"/>
              </w:rPr>
            </w:pPr>
            <w:r w:rsidRPr="0030335A">
              <w:rPr>
                <w:rFonts w:cs="Arial"/>
                <w:b/>
                <w:color w:val="FFFFFF" w:themeColor="background1"/>
                <w:sz w:val="20"/>
                <w:szCs w:val="20"/>
              </w:rPr>
              <w:t>Student Outcomes and Learning Gain</w:t>
            </w:r>
          </w:p>
        </w:tc>
      </w:tr>
      <w:tr w:rsidR="001A1DFE" w:rsidRPr="003F2077" w14:paraId="3C4B8681" w14:textId="77777777" w:rsidTr="002F06B8">
        <w:trPr>
          <w:trHeight w:val="808"/>
        </w:trPr>
        <w:tc>
          <w:tcPr>
            <w:tcW w:w="3085" w:type="dxa"/>
          </w:tcPr>
          <w:p w14:paraId="20AF9660" w14:textId="77777777" w:rsidR="001A1DFE" w:rsidRPr="0030335A" w:rsidRDefault="001A1DFE" w:rsidP="00570784">
            <w:pPr>
              <w:spacing w:after="0" w:line="280" w:lineRule="exact"/>
              <w:rPr>
                <w:rFonts w:cs="Arial"/>
                <w:b/>
                <w:sz w:val="20"/>
                <w:szCs w:val="20"/>
              </w:rPr>
            </w:pPr>
            <w:r w:rsidRPr="0030335A">
              <w:rPr>
                <w:rFonts w:cs="Arial"/>
                <w:b/>
                <w:sz w:val="20"/>
                <w:szCs w:val="20"/>
              </w:rPr>
              <w:t>Criteria</w:t>
            </w:r>
          </w:p>
          <w:p w14:paraId="31E96EAD" w14:textId="6FABD9E3" w:rsidR="001A1DFE" w:rsidRPr="00382917" w:rsidRDefault="00FB17AD" w:rsidP="00570784">
            <w:pPr>
              <w:spacing w:after="0"/>
              <w:rPr>
                <w:rFonts w:cs="Arial"/>
                <w:i/>
                <w:sz w:val="16"/>
                <w:szCs w:val="16"/>
              </w:rPr>
            </w:pPr>
            <w:r w:rsidRPr="001F29A1">
              <w:rPr>
                <w:rFonts w:cs="Arial"/>
                <w:i/>
                <w:sz w:val="16"/>
                <w:szCs w:val="16"/>
              </w:rPr>
              <w:t>Statements that identify what assessors will be looking for</w:t>
            </w:r>
          </w:p>
        </w:tc>
        <w:tc>
          <w:tcPr>
            <w:tcW w:w="2410" w:type="dxa"/>
            <w:shd w:val="clear" w:color="auto" w:fill="C6D9F1" w:themeFill="text2" w:themeFillTint="33"/>
          </w:tcPr>
          <w:p w14:paraId="6347A35C" w14:textId="77777777" w:rsidR="001A1DFE" w:rsidRPr="0030335A" w:rsidRDefault="001A1DFE" w:rsidP="00570784">
            <w:pPr>
              <w:spacing w:after="0" w:line="280" w:lineRule="exact"/>
              <w:rPr>
                <w:rFonts w:cs="Arial"/>
                <w:sz w:val="20"/>
                <w:szCs w:val="20"/>
              </w:rPr>
            </w:pPr>
            <w:r w:rsidRPr="0030335A">
              <w:rPr>
                <w:rFonts w:cs="Arial"/>
                <w:sz w:val="20"/>
                <w:szCs w:val="20"/>
              </w:rPr>
              <w:t>Teaching Quality criteria</w:t>
            </w:r>
            <w:r w:rsidR="003F2077" w:rsidRPr="0030335A">
              <w:rPr>
                <w:rFonts w:cs="Arial"/>
                <w:sz w:val="20"/>
                <w:szCs w:val="20"/>
              </w:rPr>
              <w:t xml:space="preserve"> </w:t>
            </w:r>
          </w:p>
        </w:tc>
        <w:tc>
          <w:tcPr>
            <w:tcW w:w="2410" w:type="dxa"/>
            <w:shd w:val="clear" w:color="auto" w:fill="E5DFEC" w:themeFill="accent4" w:themeFillTint="33"/>
          </w:tcPr>
          <w:p w14:paraId="4E52E952" w14:textId="77777777" w:rsidR="001A1DFE" w:rsidRPr="0030335A" w:rsidRDefault="001A1DFE" w:rsidP="00570784">
            <w:pPr>
              <w:spacing w:after="0" w:line="280" w:lineRule="exact"/>
              <w:rPr>
                <w:rFonts w:cs="Arial"/>
                <w:sz w:val="20"/>
                <w:szCs w:val="20"/>
              </w:rPr>
            </w:pPr>
            <w:r w:rsidRPr="0030335A">
              <w:rPr>
                <w:rFonts w:cs="Arial"/>
                <w:sz w:val="20"/>
                <w:szCs w:val="20"/>
              </w:rPr>
              <w:t>Learning Environment criteria</w:t>
            </w:r>
            <w:r w:rsidR="003F2077" w:rsidRPr="0030335A">
              <w:rPr>
                <w:rFonts w:cs="Arial"/>
                <w:sz w:val="20"/>
                <w:szCs w:val="20"/>
              </w:rPr>
              <w:t xml:space="preserve"> </w:t>
            </w:r>
          </w:p>
        </w:tc>
        <w:tc>
          <w:tcPr>
            <w:tcW w:w="2409" w:type="dxa"/>
            <w:shd w:val="clear" w:color="auto" w:fill="DAEEF3" w:themeFill="accent5" w:themeFillTint="33"/>
          </w:tcPr>
          <w:p w14:paraId="5DCDD404" w14:textId="77777777" w:rsidR="001A1DFE" w:rsidRPr="0030335A" w:rsidRDefault="001A1DFE" w:rsidP="00570784">
            <w:pPr>
              <w:spacing w:after="0" w:line="280" w:lineRule="exact"/>
              <w:rPr>
                <w:rFonts w:cs="Arial"/>
                <w:sz w:val="20"/>
                <w:szCs w:val="20"/>
              </w:rPr>
            </w:pPr>
            <w:r w:rsidRPr="0030335A">
              <w:rPr>
                <w:rFonts w:cs="Arial"/>
                <w:sz w:val="20"/>
                <w:szCs w:val="20"/>
              </w:rPr>
              <w:t>Student Outcomes and Learning Gain criteria</w:t>
            </w:r>
            <w:r w:rsidR="003F2077" w:rsidRPr="0030335A">
              <w:rPr>
                <w:rFonts w:cs="Arial"/>
                <w:sz w:val="20"/>
                <w:szCs w:val="20"/>
              </w:rPr>
              <w:t xml:space="preserve"> </w:t>
            </w:r>
          </w:p>
        </w:tc>
      </w:tr>
      <w:tr w:rsidR="00FB17AD" w:rsidRPr="003F2077" w14:paraId="23E58799" w14:textId="77777777" w:rsidTr="002F06B8">
        <w:trPr>
          <w:trHeight w:val="326"/>
        </w:trPr>
        <w:tc>
          <w:tcPr>
            <w:tcW w:w="3085" w:type="dxa"/>
            <w:vMerge w:val="restart"/>
          </w:tcPr>
          <w:p w14:paraId="3873CFAA" w14:textId="77777777" w:rsidR="00FB17AD" w:rsidRPr="0030335A" w:rsidRDefault="00FB17AD" w:rsidP="00570784">
            <w:pPr>
              <w:spacing w:after="0" w:line="280" w:lineRule="exact"/>
              <w:rPr>
                <w:rFonts w:cs="Arial"/>
                <w:b/>
                <w:sz w:val="20"/>
                <w:szCs w:val="20"/>
              </w:rPr>
            </w:pPr>
            <w:r w:rsidRPr="0030335A">
              <w:rPr>
                <w:rFonts w:cs="Arial"/>
                <w:b/>
                <w:sz w:val="20"/>
                <w:szCs w:val="20"/>
              </w:rPr>
              <w:t>Evidence</w:t>
            </w:r>
          </w:p>
          <w:p w14:paraId="4DF28D91" w14:textId="77777777" w:rsidR="00FB17AD" w:rsidRPr="001F29A1" w:rsidRDefault="00FB17AD" w:rsidP="00570784">
            <w:pPr>
              <w:spacing w:after="0" w:line="280" w:lineRule="exact"/>
              <w:rPr>
                <w:rFonts w:cs="Arial"/>
                <w:i/>
                <w:sz w:val="16"/>
                <w:szCs w:val="16"/>
              </w:rPr>
            </w:pPr>
            <w:r w:rsidRPr="001F29A1">
              <w:rPr>
                <w:rFonts w:cs="Arial"/>
                <w:i/>
                <w:sz w:val="16"/>
                <w:szCs w:val="16"/>
              </w:rPr>
              <w:t>The evidence base that will be used to form a judgement against the criteria, made up of core metrics and additional evidence</w:t>
            </w:r>
          </w:p>
          <w:p w14:paraId="6D2DC139" w14:textId="77777777" w:rsidR="00FB17AD" w:rsidRPr="0030335A" w:rsidRDefault="00FB17AD" w:rsidP="00570784">
            <w:pPr>
              <w:spacing w:after="0" w:line="280" w:lineRule="exact"/>
              <w:rPr>
                <w:rFonts w:cs="Arial"/>
                <w:b/>
                <w:sz w:val="20"/>
                <w:szCs w:val="20"/>
              </w:rPr>
            </w:pPr>
          </w:p>
        </w:tc>
        <w:tc>
          <w:tcPr>
            <w:tcW w:w="7229" w:type="dxa"/>
            <w:gridSpan w:val="3"/>
          </w:tcPr>
          <w:p w14:paraId="0F5AA7D6" w14:textId="77777777" w:rsidR="00FB17AD" w:rsidRPr="0030335A" w:rsidRDefault="00FB17AD" w:rsidP="00570784">
            <w:pPr>
              <w:autoSpaceDE w:val="0"/>
              <w:autoSpaceDN w:val="0"/>
              <w:adjustRightInd w:val="0"/>
              <w:spacing w:after="0" w:line="280" w:lineRule="exact"/>
              <w:jc w:val="center"/>
              <w:rPr>
                <w:rFonts w:cs="Arial"/>
                <w:b/>
                <w:color w:val="000000"/>
                <w:sz w:val="20"/>
                <w:szCs w:val="20"/>
              </w:rPr>
            </w:pPr>
            <w:r w:rsidRPr="0030335A">
              <w:rPr>
                <w:rFonts w:cs="Arial"/>
                <w:b/>
                <w:color w:val="000000"/>
                <w:sz w:val="20"/>
                <w:szCs w:val="20"/>
              </w:rPr>
              <w:t>Core metrics</w:t>
            </w:r>
          </w:p>
        </w:tc>
      </w:tr>
      <w:tr w:rsidR="00FB17AD" w:rsidRPr="003F2077" w14:paraId="1801F8C5" w14:textId="77777777" w:rsidTr="002F06B8">
        <w:trPr>
          <w:trHeight w:val="1577"/>
        </w:trPr>
        <w:tc>
          <w:tcPr>
            <w:tcW w:w="3085" w:type="dxa"/>
            <w:vMerge/>
          </w:tcPr>
          <w:p w14:paraId="378FBDAB" w14:textId="77777777" w:rsidR="00FB17AD" w:rsidRPr="0030335A" w:rsidRDefault="00FB17AD" w:rsidP="00570784">
            <w:pPr>
              <w:spacing w:after="0" w:line="280" w:lineRule="exact"/>
              <w:rPr>
                <w:rFonts w:cs="Arial"/>
                <w:b/>
                <w:sz w:val="20"/>
                <w:szCs w:val="20"/>
              </w:rPr>
            </w:pPr>
          </w:p>
        </w:tc>
        <w:tc>
          <w:tcPr>
            <w:tcW w:w="2410" w:type="dxa"/>
            <w:shd w:val="clear" w:color="auto" w:fill="C6D9F1" w:themeFill="text2" w:themeFillTint="33"/>
          </w:tcPr>
          <w:p w14:paraId="206C0EBB" w14:textId="77777777" w:rsidR="00FB17AD" w:rsidRPr="0030335A" w:rsidRDefault="00FB17AD" w:rsidP="00570784">
            <w:pPr>
              <w:spacing w:after="0" w:line="280" w:lineRule="exact"/>
              <w:rPr>
                <w:rFonts w:cs="Arial"/>
                <w:sz w:val="20"/>
                <w:szCs w:val="20"/>
                <w:highlight w:val="yellow"/>
              </w:rPr>
            </w:pPr>
            <w:r w:rsidRPr="0030335A">
              <w:rPr>
                <w:rFonts w:cs="Arial"/>
                <w:sz w:val="20"/>
                <w:szCs w:val="20"/>
              </w:rPr>
              <w:t>National Student Survey (Q 1-4  – teaching on course; Q 5-9  – assessment and feedback)</w:t>
            </w:r>
          </w:p>
        </w:tc>
        <w:tc>
          <w:tcPr>
            <w:tcW w:w="2410" w:type="dxa"/>
            <w:shd w:val="clear" w:color="auto" w:fill="E5DFEC" w:themeFill="accent4" w:themeFillTint="33"/>
          </w:tcPr>
          <w:p w14:paraId="6C7DEBF4" w14:textId="77777777" w:rsidR="00FB17AD" w:rsidRPr="0030335A" w:rsidRDefault="00FB17AD" w:rsidP="00570784">
            <w:pPr>
              <w:spacing w:after="0" w:line="280" w:lineRule="exact"/>
              <w:rPr>
                <w:rFonts w:cs="Arial"/>
                <w:color w:val="000000"/>
                <w:sz w:val="20"/>
                <w:szCs w:val="20"/>
              </w:rPr>
            </w:pPr>
            <w:r w:rsidRPr="0030335A">
              <w:rPr>
                <w:rFonts w:cs="Arial"/>
                <w:color w:val="000000"/>
                <w:sz w:val="20"/>
                <w:szCs w:val="20"/>
              </w:rPr>
              <w:t xml:space="preserve">National Student Survey (Q 10-12 – </w:t>
            </w:r>
            <w:r w:rsidRPr="0030335A">
              <w:rPr>
                <w:rFonts w:cs="Arial"/>
                <w:sz w:val="20"/>
                <w:szCs w:val="20"/>
              </w:rPr>
              <w:t>academic support</w:t>
            </w:r>
            <w:r w:rsidRPr="0030335A">
              <w:rPr>
                <w:rFonts w:cs="Arial"/>
                <w:color w:val="000000"/>
                <w:sz w:val="20"/>
                <w:szCs w:val="20"/>
              </w:rPr>
              <w:t>)</w:t>
            </w:r>
          </w:p>
          <w:p w14:paraId="51DF83BB" w14:textId="42FBEE79" w:rsidR="001F29A1" w:rsidRPr="001F29A1" w:rsidRDefault="00E52196" w:rsidP="00570784">
            <w:pPr>
              <w:spacing w:after="0" w:line="280" w:lineRule="exact"/>
              <w:rPr>
                <w:rFonts w:cs="Arial"/>
                <w:color w:val="000000"/>
                <w:sz w:val="20"/>
                <w:szCs w:val="20"/>
              </w:rPr>
            </w:pPr>
            <w:r>
              <w:rPr>
                <w:rFonts w:cs="Arial"/>
                <w:color w:val="000000"/>
                <w:sz w:val="20"/>
                <w:szCs w:val="20"/>
              </w:rPr>
              <w:t>N</w:t>
            </w:r>
            <w:r w:rsidR="00772C62">
              <w:rPr>
                <w:rFonts w:cs="Arial"/>
                <w:color w:val="000000"/>
                <w:sz w:val="20"/>
                <w:szCs w:val="20"/>
              </w:rPr>
              <w:t>on-</w:t>
            </w:r>
            <w:r w:rsidR="00FB17AD" w:rsidRPr="0030335A">
              <w:rPr>
                <w:rFonts w:cs="Arial"/>
                <w:color w:val="000000"/>
                <w:sz w:val="20"/>
                <w:szCs w:val="20"/>
              </w:rPr>
              <w:t>continuation (HESA)</w:t>
            </w:r>
          </w:p>
        </w:tc>
        <w:tc>
          <w:tcPr>
            <w:tcW w:w="2409" w:type="dxa"/>
            <w:shd w:val="clear" w:color="auto" w:fill="DAEEF3" w:themeFill="accent5" w:themeFillTint="33"/>
          </w:tcPr>
          <w:p w14:paraId="06CD8DC8" w14:textId="77777777" w:rsidR="00FB17AD" w:rsidRPr="0030335A" w:rsidRDefault="00FB17AD" w:rsidP="00570784">
            <w:pPr>
              <w:autoSpaceDE w:val="0"/>
              <w:autoSpaceDN w:val="0"/>
              <w:adjustRightInd w:val="0"/>
              <w:spacing w:after="0" w:line="280" w:lineRule="exact"/>
              <w:rPr>
                <w:rFonts w:cs="Arial"/>
                <w:color w:val="000000"/>
                <w:sz w:val="20"/>
                <w:szCs w:val="20"/>
              </w:rPr>
            </w:pPr>
            <w:r w:rsidRPr="0030335A">
              <w:rPr>
                <w:rFonts w:cs="Arial"/>
                <w:color w:val="000000"/>
                <w:sz w:val="20"/>
                <w:szCs w:val="20"/>
              </w:rPr>
              <w:t>Employment/destination (DLHE)</w:t>
            </w:r>
          </w:p>
          <w:p w14:paraId="16C4D3E7" w14:textId="77777777" w:rsidR="00FB17AD" w:rsidRPr="0030335A" w:rsidRDefault="00FB17AD" w:rsidP="00570784">
            <w:pPr>
              <w:autoSpaceDE w:val="0"/>
              <w:autoSpaceDN w:val="0"/>
              <w:adjustRightInd w:val="0"/>
              <w:spacing w:after="0" w:line="280" w:lineRule="exact"/>
              <w:rPr>
                <w:rFonts w:cs="Arial"/>
                <w:color w:val="000000"/>
                <w:sz w:val="20"/>
                <w:szCs w:val="20"/>
              </w:rPr>
            </w:pPr>
            <w:r w:rsidRPr="00B53A16">
              <w:rPr>
                <w:rFonts w:cs="Arial"/>
                <w:color w:val="000000"/>
                <w:sz w:val="20"/>
                <w:szCs w:val="20"/>
              </w:rPr>
              <w:t xml:space="preserve">Potential </w:t>
            </w:r>
            <w:r w:rsidR="007106ED">
              <w:rPr>
                <w:rFonts w:cs="Arial"/>
                <w:color w:val="000000"/>
                <w:sz w:val="20"/>
                <w:szCs w:val="20"/>
              </w:rPr>
              <w:t>highly-skilled j</w:t>
            </w:r>
            <w:r w:rsidRPr="00B53A16">
              <w:rPr>
                <w:rFonts w:cs="Arial"/>
                <w:color w:val="000000"/>
                <w:sz w:val="20"/>
                <w:szCs w:val="20"/>
              </w:rPr>
              <w:t>obs metric</w:t>
            </w:r>
          </w:p>
        </w:tc>
      </w:tr>
      <w:tr w:rsidR="001A1DFE" w:rsidRPr="003F2077" w14:paraId="6D3E650A" w14:textId="77777777" w:rsidTr="002F06B8">
        <w:trPr>
          <w:trHeight w:val="409"/>
        </w:trPr>
        <w:tc>
          <w:tcPr>
            <w:tcW w:w="3085" w:type="dxa"/>
            <w:vMerge/>
          </w:tcPr>
          <w:p w14:paraId="1EB16BB8" w14:textId="77777777" w:rsidR="001A1DFE" w:rsidRPr="0030335A" w:rsidRDefault="001A1DFE" w:rsidP="00570784">
            <w:pPr>
              <w:spacing w:after="0" w:line="280" w:lineRule="exact"/>
              <w:rPr>
                <w:rFonts w:cs="Arial"/>
                <w:b/>
                <w:sz w:val="20"/>
                <w:szCs w:val="20"/>
              </w:rPr>
            </w:pPr>
          </w:p>
        </w:tc>
        <w:tc>
          <w:tcPr>
            <w:tcW w:w="7229" w:type="dxa"/>
            <w:gridSpan w:val="3"/>
          </w:tcPr>
          <w:p w14:paraId="5D24F100" w14:textId="0B383A23" w:rsidR="001F29A1" w:rsidRPr="0030335A" w:rsidRDefault="00FB17AD" w:rsidP="00570784">
            <w:pPr>
              <w:spacing w:after="0" w:line="280" w:lineRule="exact"/>
              <w:jc w:val="center"/>
              <w:rPr>
                <w:rFonts w:cs="Arial"/>
                <w:b/>
                <w:sz w:val="20"/>
                <w:szCs w:val="20"/>
              </w:rPr>
            </w:pPr>
            <w:r w:rsidRPr="0030335A">
              <w:rPr>
                <w:rFonts w:cs="Arial"/>
                <w:b/>
                <w:sz w:val="20"/>
                <w:szCs w:val="20"/>
              </w:rPr>
              <w:t>Additiona</w:t>
            </w:r>
            <w:r w:rsidR="001F29A1">
              <w:rPr>
                <w:rFonts w:cs="Arial"/>
                <w:b/>
                <w:sz w:val="20"/>
                <w:szCs w:val="20"/>
              </w:rPr>
              <w:t>l evidence (provider submission)</w:t>
            </w:r>
          </w:p>
        </w:tc>
      </w:tr>
      <w:tr w:rsidR="001A1DFE" w:rsidRPr="003F2077" w14:paraId="4F7C6E46" w14:textId="77777777" w:rsidTr="002F06B8">
        <w:tc>
          <w:tcPr>
            <w:tcW w:w="3085" w:type="dxa"/>
            <w:vMerge w:val="restart"/>
          </w:tcPr>
          <w:p w14:paraId="0DB71AE2" w14:textId="77777777" w:rsidR="001A1DFE" w:rsidRPr="0030335A" w:rsidRDefault="00524877" w:rsidP="00570784">
            <w:pPr>
              <w:spacing w:after="0" w:line="280" w:lineRule="exact"/>
              <w:rPr>
                <w:rFonts w:cs="Arial"/>
                <w:b/>
                <w:sz w:val="20"/>
                <w:szCs w:val="20"/>
              </w:rPr>
            </w:pPr>
            <w:r w:rsidRPr="0030335A">
              <w:rPr>
                <w:rFonts w:cs="Arial"/>
                <w:b/>
                <w:sz w:val="20"/>
                <w:szCs w:val="20"/>
              </w:rPr>
              <w:t>Statement of findings</w:t>
            </w:r>
          </w:p>
          <w:p w14:paraId="448F1975" w14:textId="77777777" w:rsidR="001A1DFE" w:rsidRPr="001F29A1" w:rsidRDefault="00FB17AD" w:rsidP="00570784">
            <w:pPr>
              <w:spacing w:after="0" w:line="280" w:lineRule="exact"/>
              <w:rPr>
                <w:rFonts w:cs="Arial"/>
                <w:i/>
                <w:sz w:val="16"/>
                <w:szCs w:val="16"/>
              </w:rPr>
            </w:pPr>
            <w:r w:rsidRPr="001F29A1">
              <w:rPr>
                <w:rFonts w:cs="Arial"/>
                <w:i/>
                <w:sz w:val="16"/>
                <w:szCs w:val="16"/>
              </w:rPr>
              <w:t xml:space="preserve">Description of </w:t>
            </w:r>
            <w:r w:rsidR="003F2077" w:rsidRPr="001F29A1">
              <w:rPr>
                <w:rFonts w:cs="Arial"/>
                <w:i/>
                <w:sz w:val="16"/>
                <w:szCs w:val="16"/>
              </w:rPr>
              <w:t>performance in each aspect</w:t>
            </w:r>
          </w:p>
        </w:tc>
        <w:tc>
          <w:tcPr>
            <w:tcW w:w="2410" w:type="dxa"/>
            <w:shd w:val="clear" w:color="auto" w:fill="C6D9F1" w:themeFill="text2" w:themeFillTint="33"/>
          </w:tcPr>
          <w:p w14:paraId="40D070AD" w14:textId="77777777" w:rsidR="001A1DFE" w:rsidRPr="0030335A" w:rsidRDefault="001A1DFE" w:rsidP="00570784">
            <w:pPr>
              <w:spacing w:after="0" w:line="280" w:lineRule="exact"/>
              <w:rPr>
                <w:rFonts w:cs="Arial"/>
                <w:b/>
                <w:sz w:val="20"/>
                <w:szCs w:val="20"/>
              </w:rPr>
            </w:pPr>
            <w:r w:rsidRPr="0030335A">
              <w:rPr>
                <w:rFonts w:cs="Arial"/>
                <w:b/>
                <w:sz w:val="20"/>
                <w:szCs w:val="20"/>
              </w:rPr>
              <w:t xml:space="preserve">Teaching Quality </w:t>
            </w:r>
            <w:r w:rsidR="003F2077" w:rsidRPr="0030335A">
              <w:rPr>
                <w:rFonts w:cs="Arial"/>
                <w:b/>
                <w:sz w:val="20"/>
                <w:szCs w:val="20"/>
              </w:rPr>
              <w:t>statement of findings</w:t>
            </w:r>
          </w:p>
        </w:tc>
        <w:tc>
          <w:tcPr>
            <w:tcW w:w="2410" w:type="dxa"/>
            <w:shd w:val="clear" w:color="auto" w:fill="E5DFEC" w:themeFill="accent4" w:themeFillTint="33"/>
          </w:tcPr>
          <w:p w14:paraId="177F6827" w14:textId="77777777" w:rsidR="001A1DFE" w:rsidRPr="0030335A" w:rsidRDefault="001A1DFE" w:rsidP="00570784">
            <w:pPr>
              <w:spacing w:after="0" w:line="280" w:lineRule="exact"/>
              <w:rPr>
                <w:rFonts w:cs="Arial"/>
                <w:b/>
                <w:sz w:val="20"/>
                <w:szCs w:val="20"/>
              </w:rPr>
            </w:pPr>
            <w:r w:rsidRPr="0030335A">
              <w:rPr>
                <w:rFonts w:cs="Arial"/>
                <w:b/>
                <w:sz w:val="20"/>
                <w:szCs w:val="20"/>
              </w:rPr>
              <w:t xml:space="preserve">Learning Environment </w:t>
            </w:r>
            <w:r w:rsidR="003F2077" w:rsidRPr="0030335A">
              <w:rPr>
                <w:rFonts w:cs="Arial"/>
                <w:b/>
                <w:sz w:val="20"/>
                <w:szCs w:val="20"/>
              </w:rPr>
              <w:t>statement of findings</w:t>
            </w:r>
          </w:p>
        </w:tc>
        <w:tc>
          <w:tcPr>
            <w:tcW w:w="2409" w:type="dxa"/>
            <w:shd w:val="clear" w:color="auto" w:fill="DAEEF3" w:themeFill="accent5" w:themeFillTint="33"/>
          </w:tcPr>
          <w:p w14:paraId="0DCB68B4" w14:textId="77777777" w:rsidR="001A1DFE" w:rsidRPr="0030335A" w:rsidRDefault="003F2077" w:rsidP="00570784">
            <w:pPr>
              <w:spacing w:after="0" w:line="280" w:lineRule="exact"/>
              <w:rPr>
                <w:rFonts w:cs="Arial"/>
                <w:b/>
                <w:sz w:val="20"/>
                <w:szCs w:val="20"/>
              </w:rPr>
            </w:pPr>
            <w:r w:rsidRPr="0030335A">
              <w:rPr>
                <w:rFonts w:cs="Arial"/>
                <w:b/>
                <w:sz w:val="20"/>
                <w:szCs w:val="20"/>
              </w:rPr>
              <w:t>Student Outcomes and Learning Gain statement of findings</w:t>
            </w:r>
          </w:p>
        </w:tc>
      </w:tr>
      <w:tr w:rsidR="001A1DFE" w:rsidRPr="003F2077" w14:paraId="37A7622B" w14:textId="77777777" w:rsidTr="002F06B8">
        <w:tc>
          <w:tcPr>
            <w:tcW w:w="3085" w:type="dxa"/>
            <w:vMerge/>
          </w:tcPr>
          <w:p w14:paraId="739F45B3" w14:textId="77777777" w:rsidR="001A1DFE" w:rsidRPr="0030335A" w:rsidRDefault="001A1DFE" w:rsidP="00570784">
            <w:pPr>
              <w:spacing w:after="0" w:line="280" w:lineRule="exact"/>
              <w:rPr>
                <w:rFonts w:cs="Arial"/>
                <w:b/>
                <w:sz w:val="20"/>
                <w:szCs w:val="20"/>
              </w:rPr>
            </w:pPr>
          </w:p>
        </w:tc>
        <w:tc>
          <w:tcPr>
            <w:tcW w:w="7229" w:type="dxa"/>
            <w:gridSpan w:val="3"/>
          </w:tcPr>
          <w:p w14:paraId="4041CECD" w14:textId="77777777" w:rsidR="003F2077" w:rsidRPr="0030335A" w:rsidRDefault="003F2077" w:rsidP="00570784">
            <w:pPr>
              <w:spacing w:after="0" w:line="280" w:lineRule="exact"/>
              <w:jc w:val="center"/>
              <w:rPr>
                <w:rFonts w:cs="Arial"/>
                <w:b/>
                <w:sz w:val="20"/>
                <w:szCs w:val="20"/>
              </w:rPr>
            </w:pPr>
            <w:r w:rsidRPr="0030335A">
              <w:rPr>
                <w:rFonts w:cs="Arial"/>
                <w:b/>
                <w:sz w:val="20"/>
                <w:szCs w:val="20"/>
              </w:rPr>
              <w:t xml:space="preserve">Possible </w:t>
            </w:r>
            <w:r w:rsidR="001A1DFE" w:rsidRPr="0030335A">
              <w:rPr>
                <w:rFonts w:cs="Arial"/>
                <w:b/>
                <w:sz w:val="20"/>
                <w:szCs w:val="20"/>
              </w:rPr>
              <w:t>Commendations</w:t>
            </w:r>
            <w:r w:rsidRPr="0030335A">
              <w:rPr>
                <w:rFonts w:cs="Arial"/>
                <w:b/>
                <w:sz w:val="20"/>
                <w:szCs w:val="20"/>
              </w:rPr>
              <w:t xml:space="preserve"> </w:t>
            </w:r>
          </w:p>
        </w:tc>
      </w:tr>
      <w:tr w:rsidR="001A1DFE" w:rsidRPr="003F2077" w14:paraId="7D73ABC0" w14:textId="77777777" w:rsidTr="002F06B8">
        <w:trPr>
          <w:trHeight w:val="561"/>
        </w:trPr>
        <w:tc>
          <w:tcPr>
            <w:tcW w:w="3085" w:type="dxa"/>
          </w:tcPr>
          <w:p w14:paraId="2B6DE157" w14:textId="77777777" w:rsidR="001A1DFE" w:rsidRPr="0030335A" w:rsidRDefault="001A1DFE" w:rsidP="00570784">
            <w:pPr>
              <w:spacing w:after="0" w:line="280" w:lineRule="exact"/>
              <w:rPr>
                <w:rFonts w:cs="Arial"/>
                <w:b/>
                <w:sz w:val="20"/>
                <w:szCs w:val="20"/>
              </w:rPr>
            </w:pPr>
            <w:r w:rsidRPr="0030335A">
              <w:rPr>
                <w:rFonts w:cs="Arial"/>
                <w:b/>
                <w:sz w:val="20"/>
                <w:szCs w:val="20"/>
              </w:rPr>
              <w:t xml:space="preserve">Overall </w:t>
            </w:r>
            <w:r w:rsidR="00FB17AD" w:rsidRPr="0030335A">
              <w:rPr>
                <w:rFonts w:cs="Arial"/>
                <w:b/>
                <w:sz w:val="20"/>
                <w:szCs w:val="20"/>
              </w:rPr>
              <w:t>outcome</w:t>
            </w:r>
          </w:p>
          <w:p w14:paraId="316A98A7" w14:textId="02E9C37E" w:rsidR="00FB17AD" w:rsidRPr="001F29A1" w:rsidRDefault="00F64535" w:rsidP="00570784">
            <w:pPr>
              <w:spacing w:after="0" w:line="280" w:lineRule="exact"/>
              <w:rPr>
                <w:rFonts w:cs="Arial"/>
                <w:i/>
                <w:sz w:val="16"/>
                <w:szCs w:val="16"/>
              </w:rPr>
            </w:pPr>
            <w:r>
              <w:rPr>
                <w:rFonts w:cs="Arial"/>
                <w:i/>
                <w:sz w:val="16"/>
                <w:szCs w:val="16"/>
              </w:rPr>
              <w:t>TEF rating</w:t>
            </w:r>
          </w:p>
        </w:tc>
        <w:tc>
          <w:tcPr>
            <w:tcW w:w="7229" w:type="dxa"/>
            <w:gridSpan w:val="3"/>
          </w:tcPr>
          <w:p w14:paraId="616F1489" w14:textId="5CFD697A" w:rsidR="003F2077" w:rsidRPr="0030335A" w:rsidRDefault="001A1DFE" w:rsidP="00570784">
            <w:pPr>
              <w:spacing w:after="0" w:line="280" w:lineRule="exact"/>
              <w:jc w:val="center"/>
              <w:rPr>
                <w:rFonts w:cs="Arial"/>
                <w:b/>
                <w:sz w:val="20"/>
                <w:szCs w:val="20"/>
              </w:rPr>
            </w:pPr>
            <w:r w:rsidRPr="0030335A">
              <w:rPr>
                <w:rFonts w:cs="Arial"/>
                <w:b/>
                <w:sz w:val="20"/>
                <w:szCs w:val="20"/>
              </w:rPr>
              <w:t xml:space="preserve">TEF </w:t>
            </w:r>
            <w:r w:rsidR="00F64535">
              <w:rPr>
                <w:rFonts w:cs="Arial"/>
                <w:b/>
                <w:sz w:val="20"/>
                <w:szCs w:val="20"/>
              </w:rPr>
              <w:t>Rating</w:t>
            </w:r>
          </w:p>
        </w:tc>
      </w:tr>
    </w:tbl>
    <w:p w14:paraId="5990D8BD" w14:textId="77777777" w:rsidR="00727518" w:rsidRDefault="00727518" w:rsidP="00727518">
      <w:pPr>
        <w:spacing w:after="0"/>
        <w:rPr>
          <w:rFonts w:cs="Arial"/>
          <w:b/>
        </w:rPr>
      </w:pPr>
    </w:p>
    <w:p w14:paraId="24D7AB65" w14:textId="77777777" w:rsidR="00F221CB" w:rsidRPr="004E448E" w:rsidRDefault="00F221CB" w:rsidP="00FD0E93">
      <w:pPr>
        <w:pStyle w:val="Heading3"/>
        <w:spacing w:after="0"/>
        <w:ind w:left="142" w:hanging="426"/>
      </w:pPr>
      <w:bookmarkStart w:id="21" w:name="_Toc450147976"/>
      <w:bookmarkStart w:id="22" w:name="_Toc450886546"/>
      <w:r>
        <w:t>A</w:t>
      </w:r>
      <w:r w:rsidRPr="00FC4FCD">
        <w:t>spects of quality</w:t>
      </w:r>
      <w:bookmarkEnd w:id="21"/>
      <w:bookmarkEnd w:id="22"/>
    </w:p>
    <w:p w14:paraId="00D70847" w14:textId="169371D1" w:rsidR="00F221CB" w:rsidRPr="00570784" w:rsidRDefault="00F221CB" w:rsidP="00AF7684">
      <w:pPr>
        <w:pStyle w:val="ListParagraph"/>
        <w:numPr>
          <w:ilvl w:val="0"/>
          <w:numId w:val="18"/>
        </w:numPr>
        <w:tabs>
          <w:tab w:val="left" w:pos="0"/>
        </w:tabs>
        <w:spacing w:after="0"/>
        <w:ind w:left="142" w:hanging="426"/>
        <w:rPr>
          <w:rFonts w:ascii="Arial" w:hAnsi="Arial" w:cs="Arial"/>
          <w:sz w:val="24"/>
          <w:szCs w:val="24"/>
        </w:rPr>
      </w:pPr>
      <w:r w:rsidRPr="00570784">
        <w:rPr>
          <w:rFonts w:ascii="Arial" w:hAnsi="Arial" w:cs="Arial"/>
          <w:sz w:val="24"/>
          <w:szCs w:val="24"/>
        </w:rPr>
        <w:t>Teaching</w:t>
      </w:r>
      <w:r w:rsidR="004D6626" w:rsidRPr="00570784">
        <w:rPr>
          <w:rFonts w:ascii="Arial" w:hAnsi="Arial" w:cs="Arial"/>
          <w:sz w:val="24"/>
          <w:szCs w:val="24"/>
        </w:rPr>
        <w:t xml:space="preserve"> quality is best considered </w:t>
      </w:r>
      <w:r w:rsidR="00E52196" w:rsidRPr="00570784">
        <w:rPr>
          <w:rFonts w:ascii="Arial" w:hAnsi="Arial" w:cs="Arial"/>
          <w:sz w:val="24"/>
          <w:szCs w:val="24"/>
        </w:rPr>
        <w:t>in the context of</w:t>
      </w:r>
      <w:r w:rsidR="004D6626" w:rsidRPr="00570784">
        <w:rPr>
          <w:rFonts w:ascii="Arial" w:hAnsi="Arial" w:cs="Arial"/>
          <w:sz w:val="24"/>
          <w:szCs w:val="24"/>
        </w:rPr>
        <w:t xml:space="preserve"> student</w:t>
      </w:r>
      <w:r w:rsidR="00896D7E" w:rsidRPr="00570784">
        <w:rPr>
          <w:rFonts w:ascii="Arial" w:hAnsi="Arial" w:cs="Arial"/>
          <w:sz w:val="24"/>
          <w:szCs w:val="24"/>
        </w:rPr>
        <w:t>’</w:t>
      </w:r>
      <w:r w:rsidR="004D6626" w:rsidRPr="00570784">
        <w:rPr>
          <w:rFonts w:ascii="Arial" w:hAnsi="Arial" w:cs="Arial"/>
          <w:sz w:val="24"/>
          <w:szCs w:val="24"/>
        </w:rPr>
        <w:t xml:space="preserve">s </w:t>
      </w:r>
      <w:r w:rsidR="00E52196" w:rsidRPr="00570784">
        <w:rPr>
          <w:rFonts w:ascii="Arial" w:hAnsi="Arial" w:cs="Arial"/>
          <w:sz w:val="24"/>
          <w:szCs w:val="24"/>
        </w:rPr>
        <w:t>learning</w:t>
      </w:r>
      <w:r w:rsidR="004D6626" w:rsidRPr="00570784">
        <w:rPr>
          <w:rFonts w:ascii="Arial" w:hAnsi="Arial" w:cs="Arial"/>
          <w:sz w:val="24"/>
          <w:szCs w:val="24"/>
        </w:rPr>
        <w:t>. The outcomes of a student</w:t>
      </w:r>
      <w:r w:rsidR="00896D7E" w:rsidRPr="00570784">
        <w:rPr>
          <w:rFonts w:ascii="Arial" w:hAnsi="Arial" w:cs="Arial"/>
          <w:sz w:val="24"/>
          <w:szCs w:val="24"/>
        </w:rPr>
        <w:t>’</w:t>
      </w:r>
      <w:r w:rsidR="004D6626" w:rsidRPr="00570784">
        <w:rPr>
          <w:rFonts w:ascii="Arial" w:hAnsi="Arial" w:cs="Arial"/>
          <w:sz w:val="24"/>
          <w:szCs w:val="24"/>
        </w:rPr>
        <w:t>s</w:t>
      </w:r>
      <w:r w:rsidRPr="00570784">
        <w:rPr>
          <w:rFonts w:ascii="Arial" w:hAnsi="Arial" w:cs="Arial"/>
          <w:sz w:val="24"/>
          <w:szCs w:val="24"/>
        </w:rPr>
        <w:t xml:space="preserve"> learning are determined not only by the quality of teaching </w:t>
      </w:r>
      <w:r w:rsidR="00896D7E" w:rsidRPr="00570784">
        <w:rPr>
          <w:rFonts w:ascii="Arial" w:hAnsi="Arial" w:cs="Arial"/>
          <w:sz w:val="24"/>
          <w:szCs w:val="24"/>
        </w:rPr>
        <w:t>they</w:t>
      </w:r>
      <w:r w:rsidRPr="00570784">
        <w:rPr>
          <w:rFonts w:ascii="Arial" w:hAnsi="Arial" w:cs="Arial"/>
          <w:sz w:val="24"/>
          <w:szCs w:val="24"/>
        </w:rPr>
        <w:t xml:space="preserve"> experience but also by the additional support for learning that is available and what </w:t>
      </w:r>
      <w:r w:rsidR="00896D7E" w:rsidRPr="00570784">
        <w:rPr>
          <w:rFonts w:ascii="Arial" w:hAnsi="Arial" w:cs="Arial"/>
          <w:sz w:val="24"/>
          <w:szCs w:val="24"/>
        </w:rPr>
        <w:t>the</w:t>
      </w:r>
      <w:r w:rsidRPr="00570784">
        <w:rPr>
          <w:rFonts w:ascii="Arial" w:hAnsi="Arial" w:cs="Arial"/>
          <w:sz w:val="24"/>
          <w:szCs w:val="24"/>
        </w:rPr>
        <w:t xml:space="preserve"> student</w:t>
      </w:r>
      <w:r w:rsidR="001A3234" w:rsidRPr="00570784">
        <w:rPr>
          <w:rFonts w:ascii="Arial" w:hAnsi="Arial" w:cs="Arial"/>
          <w:sz w:val="24"/>
          <w:szCs w:val="24"/>
        </w:rPr>
        <w:t>s</w:t>
      </w:r>
      <w:r w:rsidRPr="00570784">
        <w:rPr>
          <w:rFonts w:ascii="Arial" w:hAnsi="Arial" w:cs="Arial"/>
          <w:sz w:val="24"/>
          <w:szCs w:val="24"/>
        </w:rPr>
        <w:t xml:space="preserve"> </w:t>
      </w:r>
      <w:r w:rsidR="001A3234" w:rsidRPr="00570784">
        <w:rPr>
          <w:rFonts w:ascii="Arial" w:hAnsi="Arial" w:cs="Arial"/>
          <w:sz w:val="24"/>
          <w:szCs w:val="24"/>
        </w:rPr>
        <w:t>themselves</w:t>
      </w:r>
      <w:r w:rsidRPr="00570784">
        <w:rPr>
          <w:rFonts w:ascii="Arial" w:hAnsi="Arial" w:cs="Arial"/>
          <w:sz w:val="24"/>
          <w:szCs w:val="24"/>
        </w:rPr>
        <w:t xml:space="preserve"> put into their studies, sup</w:t>
      </w:r>
      <w:r w:rsidR="00880B78" w:rsidRPr="00570784">
        <w:rPr>
          <w:rFonts w:ascii="Arial" w:hAnsi="Arial" w:cs="Arial"/>
          <w:sz w:val="24"/>
          <w:szCs w:val="24"/>
        </w:rPr>
        <w:t>ported and facilitated by the provider</w:t>
      </w:r>
      <w:r w:rsidRPr="00570784">
        <w:rPr>
          <w:rFonts w:ascii="Arial" w:hAnsi="Arial" w:cs="Arial"/>
          <w:sz w:val="24"/>
          <w:szCs w:val="24"/>
        </w:rPr>
        <w:t xml:space="preserve">. </w:t>
      </w:r>
    </w:p>
    <w:p w14:paraId="54654350" w14:textId="77777777" w:rsidR="00F221CB" w:rsidRPr="00570784" w:rsidRDefault="00F221CB" w:rsidP="00570784">
      <w:pPr>
        <w:pStyle w:val="ListParagraph"/>
        <w:tabs>
          <w:tab w:val="left" w:pos="0"/>
        </w:tabs>
        <w:spacing w:after="0"/>
        <w:ind w:left="142"/>
        <w:rPr>
          <w:rFonts w:ascii="Arial" w:hAnsi="Arial" w:cs="Arial"/>
          <w:sz w:val="24"/>
          <w:szCs w:val="24"/>
        </w:rPr>
      </w:pPr>
    </w:p>
    <w:p w14:paraId="4BD444C1" w14:textId="77777777" w:rsidR="00880B78" w:rsidRPr="00570784" w:rsidRDefault="00F221CB" w:rsidP="00AF7684">
      <w:pPr>
        <w:pStyle w:val="ListParagraph"/>
        <w:numPr>
          <w:ilvl w:val="0"/>
          <w:numId w:val="18"/>
        </w:numPr>
        <w:tabs>
          <w:tab w:val="left" w:pos="0"/>
        </w:tabs>
        <w:spacing w:after="0"/>
        <w:ind w:left="142" w:hanging="426"/>
        <w:rPr>
          <w:rFonts w:ascii="Arial" w:hAnsi="Arial" w:cs="Arial"/>
          <w:sz w:val="24"/>
          <w:szCs w:val="24"/>
        </w:rPr>
      </w:pPr>
      <w:r w:rsidRPr="00570784">
        <w:rPr>
          <w:rFonts w:ascii="Arial" w:hAnsi="Arial" w:cs="Arial"/>
          <w:sz w:val="24"/>
          <w:szCs w:val="24"/>
        </w:rPr>
        <w:t>The Green Paper proposed that the TEF would consider teaching and learning excellence across three main aspects: Teaching Quality, Learning Environment, and Student Outcomes and Learning Gain. These three aspects met with broad support and form the starting point for the assessment framework presented in this chapter (</w:t>
      </w:r>
      <w:r w:rsidR="00C274BF" w:rsidRPr="00570784">
        <w:rPr>
          <w:rFonts w:ascii="Arial" w:hAnsi="Arial" w:cs="Arial"/>
          <w:sz w:val="24"/>
          <w:szCs w:val="24"/>
        </w:rPr>
        <w:t>Figure 2 above</w:t>
      </w:r>
      <w:r w:rsidRPr="00570784">
        <w:rPr>
          <w:rFonts w:ascii="Arial" w:hAnsi="Arial" w:cs="Arial"/>
          <w:sz w:val="24"/>
          <w:szCs w:val="24"/>
        </w:rPr>
        <w:t>).</w:t>
      </w:r>
    </w:p>
    <w:p w14:paraId="295E8C9C" w14:textId="77777777" w:rsidR="00880B78" w:rsidRPr="00570784" w:rsidRDefault="00880B78" w:rsidP="00570784">
      <w:pPr>
        <w:pStyle w:val="ListParagraph"/>
        <w:tabs>
          <w:tab w:val="left" w:pos="0"/>
        </w:tabs>
        <w:spacing w:after="0"/>
        <w:ind w:left="142"/>
        <w:rPr>
          <w:rFonts w:ascii="Arial" w:hAnsi="Arial" w:cs="Arial"/>
          <w:sz w:val="24"/>
          <w:szCs w:val="24"/>
        </w:rPr>
      </w:pPr>
    </w:p>
    <w:p w14:paraId="239226CD" w14:textId="77777777" w:rsidR="00570784" w:rsidRDefault="00880B78" w:rsidP="00AF7684">
      <w:pPr>
        <w:pStyle w:val="ListParagraph"/>
        <w:numPr>
          <w:ilvl w:val="0"/>
          <w:numId w:val="18"/>
        </w:numPr>
        <w:tabs>
          <w:tab w:val="left" w:pos="0"/>
        </w:tabs>
        <w:spacing w:after="0"/>
        <w:ind w:left="142" w:hanging="426"/>
        <w:rPr>
          <w:rFonts w:ascii="Arial" w:hAnsi="Arial" w:cs="Arial"/>
          <w:sz w:val="24"/>
          <w:szCs w:val="24"/>
        </w:rPr>
      </w:pPr>
      <w:r w:rsidRPr="00570784">
        <w:rPr>
          <w:rFonts w:ascii="Arial" w:hAnsi="Arial" w:cs="Arial"/>
          <w:sz w:val="24"/>
          <w:szCs w:val="24"/>
        </w:rPr>
        <w:t>The aspects are defined in Figure 3 and further expanded in the text.</w:t>
      </w:r>
      <w:r w:rsidR="00FC3276" w:rsidRPr="00570784">
        <w:rPr>
          <w:rFonts w:ascii="Arial" w:hAnsi="Arial" w:cs="Arial"/>
          <w:sz w:val="24"/>
          <w:szCs w:val="24"/>
        </w:rPr>
        <w:t xml:space="preserve"> </w:t>
      </w:r>
    </w:p>
    <w:p w14:paraId="46AA5713" w14:textId="77777777" w:rsidR="00C01FE7" w:rsidRDefault="00C01FE7" w:rsidP="00C01FE7">
      <w:pPr>
        <w:tabs>
          <w:tab w:val="left" w:pos="0"/>
        </w:tabs>
        <w:spacing w:after="0"/>
        <w:rPr>
          <w:rFonts w:cs="Arial"/>
        </w:rPr>
      </w:pPr>
    </w:p>
    <w:p w14:paraId="63FBF25B" w14:textId="77777777" w:rsidR="00C01FE7" w:rsidRDefault="00C01FE7" w:rsidP="00C01FE7">
      <w:pPr>
        <w:tabs>
          <w:tab w:val="left" w:pos="0"/>
        </w:tabs>
        <w:spacing w:after="0"/>
        <w:rPr>
          <w:rFonts w:cs="Arial"/>
        </w:rPr>
      </w:pPr>
    </w:p>
    <w:p w14:paraId="538D7E80" w14:textId="77777777" w:rsidR="00C01FE7" w:rsidRDefault="00C01FE7" w:rsidP="00C01FE7">
      <w:pPr>
        <w:tabs>
          <w:tab w:val="left" w:pos="0"/>
        </w:tabs>
        <w:spacing w:after="0"/>
        <w:rPr>
          <w:rFonts w:cs="Arial"/>
        </w:rPr>
      </w:pPr>
    </w:p>
    <w:p w14:paraId="763ACE7C" w14:textId="77777777" w:rsidR="00C01FE7" w:rsidRDefault="00C01FE7" w:rsidP="00C01FE7">
      <w:pPr>
        <w:tabs>
          <w:tab w:val="left" w:pos="0"/>
        </w:tabs>
        <w:spacing w:after="0"/>
        <w:rPr>
          <w:rFonts w:cs="Arial"/>
        </w:rPr>
      </w:pPr>
    </w:p>
    <w:p w14:paraId="49107105" w14:textId="77777777" w:rsidR="00C01FE7" w:rsidRDefault="00C01FE7" w:rsidP="00C01FE7">
      <w:pPr>
        <w:tabs>
          <w:tab w:val="left" w:pos="0"/>
        </w:tabs>
        <w:spacing w:after="0"/>
        <w:rPr>
          <w:rFonts w:cs="Arial"/>
        </w:rPr>
      </w:pPr>
    </w:p>
    <w:p w14:paraId="16CC9DF7" w14:textId="77777777" w:rsidR="00C01FE7" w:rsidRDefault="00C01FE7" w:rsidP="00C01FE7">
      <w:pPr>
        <w:tabs>
          <w:tab w:val="left" w:pos="0"/>
        </w:tabs>
        <w:spacing w:after="0"/>
        <w:rPr>
          <w:rFonts w:cs="Arial"/>
        </w:rPr>
      </w:pPr>
    </w:p>
    <w:p w14:paraId="42D4DBB4" w14:textId="77777777" w:rsidR="00C01FE7" w:rsidRDefault="00C01FE7" w:rsidP="00C01FE7">
      <w:pPr>
        <w:tabs>
          <w:tab w:val="left" w:pos="0"/>
        </w:tabs>
        <w:spacing w:after="0"/>
        <w:rPr>
          <w:rFonts w:cs="Arial"/>
        </w:rPr>
      </w:pPr>
    </w:p>
    <w:p w14:paraId="7AFD7376" w14:textId="77777777" w:rsidR="00C01FE7" w:rsidRPr="00C01FE7" w:rsidRDefault="00C01FE7" w:rsidP="00C01FE7">
      <w:pPr>
        <w:tabs>
          <w:tab w:val="left" w:pos="0"/>
        </w:tabs>
        <w:spacing w:after="0"/>
        <w:rPr>
          <w:rFonts w:cs="Arial"/>
        </w:rPr>
      </w:pPr>
    </w:p>
    <w:p w14:paraId="1BEB96D4" w14:textId="77777777" w:rsidR="00570784" w:rsidRDefault="00570784" w:rsidP="00570784">
      <w:pPr>
        <w:pStyle w:val="ListParagraph"/>
        <w:tabs>
          <w:tab w:val="left" w:pos="0"/>
        </w:tabs>
        <w:spacing w:after="0"/>
        <w:ind w:left="142"/>
        <w:rPr>
          <w:rFonts w:ascii="Arial" w:hAnsi="Arial" w:cs="Arial"/>
          <w:sz w:val="24"/>
          <w:szCs w:val="24"/>
        </w:rPr>
      </w:pPr>
    </w:p>
    <w:p w14:paraId="747885C7" w14:textId="4E8277C5" w:rsidR="00F221CB" w:rsidRPr="002F06B8" w:rsidRDefault="00C01FE7" w:rsidP="00F221CB">
      <w:pPr>
        <w:pStyle w:val="ListParagraph"/>
        <w:numPr>
          <w:ilvl w:val="0"/>
          <w:numId w:val="18"/>
        </w:numPr>
        <w:tabs>
          <w:tab w:val="left" w:pos="0"/>
        </w:tabs>
        <w:spacing w:after="0"/>
        <w:ind w:left="142" w:hanging="426"/>
        <w:rPr>
          <w:rFonts w:ascii="Arial" w:hAnsi="Arial" w:cs="Arial"/>
          <w:b/>
          <w:sz w:val="24"/>
          <w:szCs w:val="24"/>
        </w:rPr>
      </w:pPr>
      <w:r w:rsidRPr="006664CA">
        <w:rPr>
          <w:b/>
          <w:noProof/>
          <w:lang w:eastAsia="en-GB"/>
        </w:rPr>
        <w:lastRenderedPageBreak/>
        <mc:AlternateContent>
          <mc:Choice Requires="wpg">
            <w:drawing>
              <wp:anchor distT="0" distB="0" distL="114300" distR="114300" simplePos="0" relativeHeight="251672576" behindDoc="0" locked="0" layoutInCell="1" allowOverlap="1" wp14:anchorId="0969518F" wp14:editId="7E398EA3">
                <wp:simplePos x="0" y="0"/>
                <wp:positionH relativeFrom="margin">
                  <wp:posOffset>-110490</wp:posOffset>
                </wp:positionH>
                <wp:positionV relativeFrom="paragraph">
                  <wp:posOffset>339090</wp:posOffset>
                </wp:positionV>
                <wp:extent cx="6296025" cy="2743200"/>
                <wp:effectExtent l="0" t="0" r="28575" b="0"/>
                <wp:wrapSquare wrapText="bothSides"/>
                <wp:docPr id="5" name="Group 28" descr="Diagram defining the the aspects of quality:&#10;&#10;Teaching Quality: Teaching practices which provide an appropriate level of contact, stimulation and challenge, encourage student effort and engagement, and which are effective in developing the knowledge, skills, attributes and work readiness of students. &#10;&#10;Learning Environment The wider context for teaching which includes the effectigness of resources designed to support learning, maximise completion and aid the development of independent study and research skills. This may include learning spaces, use of technology, work experience, extra-currciular activities and opportunities for peer-to-peer interaction. &#10;&#10;Student Outcomes &amp; Learning Gain: The educational and employment outomces of graduates and the gains made by students from a range of different backgrounds. " title="Defining aspects of quality"/>
                <wp:cNvGraphicFramePr/>
                <a:graphic xmlns:a="http://schemas.openxmlformats.org/drawingml/2006/main">
                  <a:graphicData uri="http://schemas.microsoft.com/office/word/2010/wordprocessingGroup">
                    <wpg:wgp>
                      <wpg:cNvGrpSpPr/>
                      <wpg:grpSpPr>
                        <a:xfrm>
                          <a:off x="0" y="0"/>
                          <a:ext cx="6296025" cy="2743200"/>
                          <a:chOff x="0" y="0"/>
                          <a:chExt cx="5092691" cy="2448273"/>
                        </a:xfrm>
                      </wpg:grpSpPr>
                      <wps:wsp>
                        <wps:cNvPr id="30" name="Rectangle 30"/>
                        <wps:cNvSpPr/>
                        <wps:spPr>
                          <a:xfrm>
                            <a:off x="1" y="0"/>
                            <a:ext cx="1552649" cy="402373"/>
                          </a:xfrm>
                          <a:prstGeom prst="rect">
                            <a:avLst/>
                          </a:prstGeom>
                          <a:solidFill>
                            <a:schemeClr val="accent1">
                              <a:lumMod val="75000"/>
                            </a:schemeClr>
                          </a:solidFill>
                          <a:ln>
                            <a:solidFill>
                              <a:schemeClr val="accent1">
                                <a:lumMod val="75000"/>
                              </a:schemeClr>
                            </a:solidFill>
                          </a:ln>
                        </wps:spPr>
                        <wps:style>
                          <a:lnRef idx="2">
                            <a:scrgbClr r="0" g="0" b="0"/>
                          </a:lnRef>
                          <a:fillRef idx="1">
                            <a:scrgbClr r="0" g="0" b="0"/>
                          </a:fillRef>
                          <a:effectRef idx="0">
                            <a:schemeClr val="accent1">
                              <a:hueOff val="0"/>
                              <a:satOff val="0"/>
                              <a:lumOff val="0"/>
                              <a:alphaOff val="0"/>
                            </a:schemeClr>
                          </a:effectRef>
                          <a:fontRef idx="minor">
                            <a:schemeClr val="lt1"/>
                          </a:fontRef>
                        </wps:style>
                        <wps:txbx>
                          <w:txbxContent>
                            <w:p w14:paraId="508FFFFE" w14:textId="77777777" w:rsidR="00FF0106" w:rsidRPr="00A25C19" w:rsidRDefault="00FF0106" w:rsidP="00A25C19">
                              <w:pPr>
                                <w:spacing w:after="0"/>
                                <w:jc w:val="center"/>
                                <w:rPr>
                                  <w:rFonts w:ascii="Arial Bold" w:hAnsi="Arial Bold"/>
                                  <w:b/>
                                  <w:sz w:val="8"/>
                                  <w:szCs w:val="8"/>
                                </w:rPr>
                              </w:pPr>
                            </w:p>
                            <w:p w14:paraId="167A53AD" w14:textId="17757E58" w:rsidR="00FF0106" w:rsidRPr="00A25C19" w:rsidRDefault="00FF0106" w:rsidP="00A25C19">
                              <w:pPr>
                                <w:spacing w:after="0"/>
                                <w:jc w:val="center"/>
                                <w:rPr>
                                  <w:rFonts w:ascii="Arial Bold" w:hAnsi="Arial Bold"/>
                                  <w:b/>
                                  <w:sz w:val="22"/>
                                  <w:szCs w:val="22"/>
                                </w:rPr>
                              </w:pPr>
                              <w:r w:rsidRPr="00A25C19">
                                <w:rPr>
                                  <w:rFonts w:ascii="Arial Bold" w:hAnsi="Arial Bold"/>
                                  <w:b/>
                                  <w:sz w:val="22"/>
                                  <w:szCs w:val="22"/>
                                </w:rPr>
                                <w:t>Teaching Quality</w:t>
                              </w:r>
                            </w:p>
                          </w:txbxContent>
                        </wps:txbx>
                        <wps:bodyPr/>
                      </wps:wsp>
                      <wps:wsp>
                        <wps:cNvPr id="46" name="Rectangle 46"/>
                        <wps:cNvSpPr/>
                        <wps:spPr>
                          <a:xfrm>
                            <a:off x="1770021" y="0"/>
                            <a:ext cx="1552649" cy="402373"/>
                          </a:xfrm>
                          <a:prstGeom prst="rect">
                            <a:avLst/>
                          </a:prstGeom>
                          <a:solidFill>
                            <a:schemeClr val="accent4">
                              <a:lumMod val="75000"/>
                            </a:schemeClr>
                          </a:solidFill>
                          <a:ln>
                            <a:solidFill>
                              <a:schemeClr val="accent4">
                                <a:lumMod val="75000"/>
                              </a:schemeClr>
                            </a:solidFill>
                          </a:ln>
                        </wps:spPr>
                        <wps:style>
                          <a:lnRef idx="2">
                            <a:scrgbClr r="0" g="0" b="0"/>
                          </a:lnRef>
                          <a:fillRef idx="1">
                            <a:scrgbClr r="0" g="0" b="0"/>
                          </a:fillRef>
                          <a:effectRef idx="0">
                            <a:schemeClr val="accent1">
                              <a:hueOff val="0"/>
                              <a:satOff val="0"/>
                              <a:lumOff val="0"/>
                              <a:alphaOff val="0"/>
                            </a:schemeClr>
                          </a:effectRef>
                          <a:fontRef idx="minor">
                            <a:schemeClr val="lt1"/>
                          </a:fontRef>
                        </wps:style>
                        <wps:txbx>
                          <w:txbxContent>
                            <w:p w14:paraId="4E15D5A0" w14:textId="77777777" w:rsidR="00FF0106" w:rsidRPr="00A25C19" w:rsidRDefault="00FF0106" w:rsidP="00A25C19">
                              <w:pPr>
                                <w:spacing w:after="0"/>
                                <w:jc w:val="center"/>
                                <w:rPr>
                                  <w:rFonts w:ascii="Arial Bold" w:hAnsi="Arial Bold"/>
                                  <w:b/>
                                  <w:sz w:val="8"/>
                                  <w:szCs w:val="8"/>
                                </w:rPr>
                              </w:pPr>
                            </w:p>
                            <w:p w14:paraId="36B14753" w14:textId="58B7A4A0" w:rsidR="00FF0106" w:rsidRPr="00A25C19" w:rsidRDefault="00FF0106" w:rsidP="00A25C19">
                              <w:pPr>
                                <w:spacing w:after="0"/>
                                <w:jc w:val="center"/>
                                <w:rPr>
                                  <w:rFonts w:ascii="Arial Bold" w:hAnsi="Arial Bold"/>
                                  <w:b/>
                                  <w:sz w:val="22"/>
                                  <w:szCs w:val="22"/>
                                </w:rPr>
                              </w:pPr>
                              <w:r w:rsidRPr="00A25C19">
                                <w:rPr>
                                  <w:rFonts w:ascii="Arial Bold" w:hAnsi="Arial Bold"/>
                                  <w:b/>
                                  <w:sz w:val="22"/>
                                  <w:szCs w:val="22"/>
                                </w:rPr>
                                <w:t>Learning Environment</w:t>
                              </w:r>
                            </w:p>
                            <w:p w14:paraId="44F96B7E" w14:textId="77777777" w:rsidR="00FF0106" w:rsidRDefault="00FF0106" w:rsidP="00A25C19">
                              <w:pPr>
                                <w:jc w:val="center"/>
                              </w:pPr>
                            </w:p>
                          </w:txbxContent>
                        </wps:txbx>
                        <wps:bodyPr/>
                      </wps:wsp>
                      <wps:wsp>
                        <wps:cNvPr id="49" name="Rectangle 49"/>
                        <wps:cNvSpPr/>
                        <wps:spPr>
                          <a:xfrm>
                            <a:off x="3540042" y="0"/>
                            <a:ext cx="1552649" cy="402373"/>
                          </a:xfrm>
                          <a:prstGeom prst="rect">
                            <a:avLst/>
                          </a:prstGeom>
                          <a:solidFill>
                            <a:schemeClr val="accent5">
                              <a:lumMod val="75000"/>
                            </a:schemeClr>
                          </a:solidFill>
                          <a:ln>
                            <a:solidFill>
                              <a:schemeClr val="accent5">
                                <a:lumMod val="75000"/>
                              </a:schemeClr>
                            </a:solidFill>
                          </a:ln>
                        </wps:spPr>
                        <wps:style>
                          <a:lnRef idx="2">
                            <a:scrgbClr r="0" g="0" b="0"/>
                          </a:lnRef>
                          <a:fillRef idx="1">
                            <a:scrgbClr r="0" g="0" b="0"/>
                          </a:fillRef>
                          <a:effectRef idx="0">
                            <a:schemeClr val="accent1">
                              <a:hueOff val="0"/>
                              <a:satOff val="0"/>
                              <a:lumOff val="0"/>
                              <a:alphaOff val="0"/>
                            </a:schemeClr>
                          </a:effectRef>
                          <a:fontRef idx="minor">
                            <a:schemeClr val="lt1"/>
                          </a:fontRef>
                        </wps:style>
                        <wps:txbx>
                          <w:txbxContent>
                            <w:p w14:paraId="319E981E" w14:textId="138AA8ED" w:rsidR="00FF0106" w:rsidRPr="00A25C19" w:rsidRDefault="00FF0106" w:rsidP="00A25C19">
                              <w:pPr>
                                <w:spacing w:after="0"/>
                                <w:jc w:val="center"/>
                                <w:rPr>
                                  <w:rFonts w:ascii="Arial Bold" w:hAnsi="Arial Bold"/>
                                  <w:b/>
                                  <w:sz w:val="22"/>
                                  <w:szCs w:val="22"/>
                                </w:rPr>
                              </w:pPr>
                              <w:r>
                                <w:rPr>
                                  <w:rFonts w:ascii="Arial Bold" w:hAnsi="Arial Bold"/>
                                  <w:b/>
                                  <w:sz w:val="22"/>
                                  <w:szCs w:val="22"/>
                                </w:rPr>
                                <w:t>Student Outcomes &amp; Learning Gain</w:t>
                              </w:r>
                            </w:p>
                            <w:p w14:paraId="4BE25A1D" w14:textId="77777777" w:rsidR="00FF0106" w:rsidRDefault="00FF0106" w:rsidP="00A25C19">
                              <w:pPr>
                                <w:jc w:val="center"/>
                              </w:pPr>
                            </w:p>
                          </w:txbxContent>
                        </wps:txbx>
                        <wps:bodyPr/>
                      </wps:wsp>
                      <wpg:grpSp>
                        <wpg:cNvPr id="51" name="Group 51"/>
                        <wpg:cNvGrpSpPr/>
                        <wpg:grpSpPr>
                          <a:xfrm>
                            <a:off x="0" y="455403"/>
                            <a:ext cx="1552649" cy="1669663"/>
                            <a:chOff x="0" y="455403"/>
                            <a:chExt cx="1552649" cy="1669663"/>
                          </a:xfrm>
                        </wpg:grpSpPr>
                        <wps:wsp>
                          <wps:cNvPr id="52" name="Rectangle 52"/>
                          <wps:cNvSpPr/>
                          <wps:spPr>
                            <a:xfrm>
                              <a:off x="0" y="455404"/>
                              <a:ext cx="1552649" cy="1669662"/>
                            </a:xfrm>
                            <a:prstGeom prst="rect">
                              <a:avLst/>
                            </a:prstGeom>
                            <a:solidFill>
                              <a:schemeClr val="accent1">
                                <a:lumMod val="20000"/>
                                <a:lumOff val="80000"/>
                                <a:alpha val="90000"/>
                              </a:schemeClr>
                            </a:solidFill>
                            <a:ln>
                              <a:solidFill>
                                <a:schemeClr val="accent1">
                                  <a:lumMod val="20000"/>
                                  <a:lumOff val="80000"/>
                                  <a:alpha val="90000"/>
                                </a:schemeClr>
                              </a:solidFill>
                            </a:ln>
                          </wps:spPr>
                          <wps:style>
                            <a:lnRef idx="2">
                              <a:scrgbClr r="0" g="0" b="0"/>
                            </a:lnRef>
                            <a:fillRef idx="1">
                              <a:scrgbClr r="0" g="0" b="0"/>
                            </a:fillRef>
                            <a:effectRef idx="0">
                              <a:schemeClr val="accent1">
                                <a:alpha val="90000"/>
                                <a:tint val="40000"/>
                                <a:hueOff val="0"/>
                                <a:satOff val="0"/>
                                <a:lumOff val="0"/>
                                <a:alphaOff val="0"/>
                              </a:schemeClr>
                            </a:effectRef>
                            <a:fontRef idx="minor">
                              <a:schemeClr val="dk1">
                                <a:hueOff val="0"/>
                                <a:satOff val="0"/>
                                <a:lumOff val="0"/>
                                <a:alphaOff val="0"/>
                              </a:schemeClr>
                            </a:fontRef>
                          </wps:style>
                          <wps:bodyPr/>
                        </wps:wsp>
                        <wps:wsp>
                          <wps:cNvPr id="53" name="Rectangle 53"/>
                          <wps:cNvSpPr/>
                          <wps:spPr>
                            <a:xfrm>
                              <a:off x="0" y="455403"/>
                              <a:ext cx="1552649" cy="1669663"/>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26A3BEC3" w14:textId="77777777" w:rsidR="00FF0106" w:rsidRDefault="00FF0106" w:rsidP="00F221CB">
                                <w:pPr>
                                  <w:pStyle w:val="NormalWeb"/>
                                  <w:spacing w:before="0" w:beforeAutospacing="0" w:after="32" w:afterAutospacing="0" w:line="216" w:lineRule="auto"/>
                                </w:pPr>
                                <w:r>
                                  <w:rPr>
                                    <w:rFonts w:ascii="Arial" w:hAnsi="Arial" w:cs="Arial"/>
                                    <w:color w:val="000000" w:themeColor="dark1"/>
                                    <w:kern w:val="24"/>
                                    <w:sz w:val="18"/>
                                    <w:szCs w:val="18"/>
                                    <w14:textFill>
                                      <w14:solidFill>
                                        <w14:schemeClr w14:val="dk1">
                                          <w14:satOff w14:val="0"/>
                                          <w14:lumOff w14:val="0"/>
                                        </w14:schemeClr>
                                      </w14:solidFill>
                                    </w14:textFill>
                                  </w:rPr>
                                  <w:t xml:space="preserve">Teaching practices which provide an appropriate level of contact, stimulation and </w:t>
                                </w:r>
                                <w:r w:rsidRPr="00727518">
                                  <w:rPr>
                                    <w:rFonts w:ascii="Arial" w:hAnsi="Arial" w:cs="Arial"/>
                                    <w:kern w:val="24"/>
                                    <w:sz w:val="18"/>
                                    <w:szCs w:val="18"/>
                                  </w:rPr>
                                  <w:t>challenge, encourage student effort and engagement, and which are effective in developing the knowledge, skills, attributes and work readiness of students</w:t>
                                </w:r>
                                <w:r w:rsidRPr="00DF151B">
                                  <w:rPr>
                                    <w:rFonts w:ascii="Arial" w:hAnsi="Arial" w:cs="Arial"/>
                                    <w:color w:val="FF0000"/>
                                    <w:kern w:val="24"/>
                                    <w:sz w:val="18"/>
                                    <w:szCs w:val="18"/>
                                  </w:rPr>
                                  <w:t xml:space="preserve">. </w:t>
                                </w:r>
                              </w:p>
                            </w:txbxContent>
                          </wps:txbx>
                          <wps:bodyPr spcFirstLastPara="0" vert="horz" wrap="square" lIns="58674" tIns="58674" rIns="78232" bIns="88011" numCol="1" spcCol="1270" anchor="t" anchorCtr="0">
                            <a:noAutofit/>
                          </wps:bodyPr>
                        </wps:wsp>
                      </wpg:grpSp>
                      <wpg:grpSp>
                        <wpg:cNvPr id="54" name="Group 54"/>
                        <wpg:cNvGrpSpPr/>
                        <wpg:grpSpPr>
                          <a:xfrm>
                            <a:off x="1770020" y="455404"/>
                            <a:ext cx="1552649" cy="1992869"/>
                            <a:chOff x="1770020" y="455404"/>
                            <a:chExt cx="1552649" cy="1992869"/>
                          </a:xfrm>
                        </wpg:grpSpPr>
                        <wps:wsp>
                          <wps:cNvPr id="55" name="Rectangle 55"/>
                          <wps:cNvSpPr/>
                          <wps:spPr>
                            <a:xfrm>
                              <a:off x="1770020" y="455404"/>
                              <a:ext cx="1552649" cy="1669662"/>
                            </a:xfrm>
                            <a:prstGeom prst="rect">
                              <a:avLst/>
                            </a:prstGeom>
                            <a:solidFill>
                              <a:schemeClr val="accent4">
                                <a:lumMod val="20000"/>
                                <a:lumOff val="80000"/>
                                <a:alpha val="90000"/>
                              </a:schemeClr>
                            </a:solidFill>
                            <a:ln>
                              <a:solidFill>
                                <a:schemeClr val="accent4">
                                  <a:lumMod val="20000"/>
                                  <a:lumOff val="80000"/>
                                  <a:alpha val="90000"/>
                                </a:schemeClr>
                              </a:solidFill>
                            </a:ln>
                          </wps:spPr>
                          <wps:style>
                            <a:lnRef idx="2">
                              <a:scrgbClr r="0" g="0" b="0"/>
                            </a:lnRef>
                            <a:fillRef idx="1">
                              <a:scrgbClr r="0" g="0" b="0"/>
                            </a:fillRef>
                            <a:effectRef idx="0">
                              <a:schemeClr val="accent1">
                                <a:alpha val="90000"/>
                                <a:tint val="40000"/>
                                <a:hueOff val="0"/>
                                <a:satOff val="0"/>
                                <a:lumOff val="0"/>
                                <a:alphaOff val="0"/>
                              </a:schemeClr>
                            </a:effectRef>
                            <a:fontRef idx="minor">
                              <a:schemeClr val="dk1">
                                <a:hueOff val="0"/>
                                <a:satOff val="0"/>
                                <a:lumOff val="0"/>
                                <a:alphaOff val="0"/>
                              </a:schemeClr>
                            </a:fontRef>
                          </wps:style>
                          <wps:bodyPr/>
                        </wps:wsp>
                        <wps:wsp>
                          <wps:cNvPr id="56" name="Rectangle 56"/>
                          <wps:cNvSpPr/>
                          <wps:spPr>
                            <a:xfrm>
                              <a:off x="1770020" y="455404"/>
                              <a:ext cx="1552649" cy="1992869"/>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bodyPr spcFirstLastPara="0" vert="horz" wrap="square" lIns="58674" tIns="58674" rIns="78232" bIns="88011" numCol="1" spcCol="1270" anchor="t" anchorCtr="0">
                            <a:noAutofit/>
                          </wps:bodyPr>
                        </wps:wsp>
                      </wpg:grpSp>
                      <wpg:grpSp>
                        <wpg:cNvPr id="57" name="Group 57"/>
                        <wpg:cNvGrpSpPr/>
                        <wpg:grpSpPr>
                          <a:xfrm>
                            <a:off x="3540041" y="455359"/>
                            <a:ext cx="1552649" cy="1669707"/>
                            <a:chOff x="3540041" y="455359"/>
                            <a:chExt cx="1552649" cy="1669707"/>
                          </a:xfrm>
                        </wpg:grpSpPr>
                        <wps:wsp>
                          <wps:cNvPr id="58" name="Rectangle 58"/>
                          <wps:cNvSpPr/>
                          <wps:spPr>
                            <a:xfrm>
                              <a:off x="3540041" y="455405"/>
                              <a:ext cx="1552649" cy="1669661"/>
                            </a:xfrm>
                            <a:prstGeom prst="rect">
                              <a:avLst/>
                            </a:prstGeom>
                            <a:solidFill>
                              <a:schemeClr val="accent5">
                                <a:lumMod val="20000"/>
                                <a:lumOff val="80000"/>
                                <a:alpha val="90000"/>
                              </a:schemeClr>
                            </a:solidFill>
                            <a:ln>
                              <a:solidFill>
                                <a:schemeClr val="accent5">
                                  <a:lumMod val="20000"/>
                                  <a:lumOff val="80000"/>
                                  <a:alpha val="90000"/>
                                </a:schemeClr>
                              </a:solidFill>
                            </a:ln>
                          </wps:spPr>
                          <wps:style>
                            <a:lnRef idx="2">
                              <a:scrgbClr r="0" g="0" b="0"/>
                            </a:lnRef>
                            <a:fillRef idx="1">
                              <a:scrgbClr r="0" g="0" b="0"/>
                            </a:fillRef>
                            <a:effectRef idx="0">
                              <a:schemeClr val="accent1">
                                <a:alpha val="90000"/>
                                <a:tint val="40000"/>
                                <a:hueOff val="0"/>
                                <a:satOff val="0"/>
                                <a:lumOff val="0"/>
                                <a:alphaOff val="0"/>
                              </a:schemeClr>
                            </a:effectRef>
                            <a:fontRef idx="minor">
                              <a:schemeClr val="dk1">
                                <a:hueOff val="0"/>
                                <a:satOff val="0"/>
                                <a:lumOff val="0"/>
                                <a:alphaOff val="0"/>
                              </a:schemeClr>
                            </a:fontRef>
                          </wps:style>
                          <wps:bodyPr/>
                        </wps:wsp>
                        <wps:wsp>
                          <wps:cNvPr id="59" name="Rectangle 59"/>
                          <wps:cNvSpPr/>
                          <wps:spPr>
                            <a:xfrm>
                              <a:off x="3540041" y="455359"/>
                              <a:ext cx="1552649" cy="1669706"/>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326D9CBB" w14:textId="77777777" w:rsidR="00FF0106" w:rsidRDefault="00FF0106" w:rsidP="00F221CB"/>
                            </w:txbxContent>
                          </wps:txbx>
                          <wps:bodyPr spcFirstLastPara="0" vert="horz" wrap="square" lIns="58674" tIns="58674" rIns="78232" bIns="88011" numCol="1" spcCol="1270" anchor="t" anchorCtr="0">
                            <a:noAutofit/>
                          </wps:bodyPr>
                        </wps:wsp>
                      </wpg:grpSp>
                      <wps:wsp>
                        <wps:cNvPr id="60" name="Rectangle 60"/>
                        <wps:cNvSpPr/>
                        <wps:spPr>
                          <a:xfrm>
                            <a:off x="1769802" y="455344"/>
                            <a:ext cx="1552575" cy="1797823"/>
                          </a:xfrm>
                          <a:prstGeom prst="rect">
                            <a:avLst/>
                          </a:prstGeom>
                        </wps:spPr>
                        <wps:txbx>
                          <w:txbxContent>
                            <w:p w14:paraId="6EB5A680" w14:textId="77777777" w:rsidR="00FF0106" w:rsidRDefault="00FF0106" w:rsidP="00F221CB">
                              <w:pPr>
                                <w:pStyle w:val="NormalWeb"/>
                                <w:spacing w:before="0" w:beforeAutospacing="0" w:after="0" w:afterAutospacing="0"/>
                              </w:pPr>
                              <w:r>
                                <w:rPr>
                                  <w:rFonts w:ascii="Arial" w:hAnsi="Arial" w:cs="Arial"/>
                                  <w:color w:val="000000" w:themeColor="text1"/>
                                  <w:kern w:val="24"/>
                                  <w:sz w:val="18"/>
                                  <w:szCs w:val="18"/>
                                </w:rPr>
                                <w:t xml:space="preserve">The wider context for teaching which includes the effectiveness of resources designed to support learning, maximise completion, and aid the development of independent study and research skills. This may include learning spaces, use of technology, work experience, extra-curricular activities and opportunities for peer-to-peer interaction. </w:t>
                              </w:r>
                            </w:p>
                          </w:txbxContent>
                        </wps:txbx>
                        <wps:bodyPr wrap="square">
                          <a:noAutofit/>
                        </wps:bodyPr>
                      </wps:wsp>
                      <wps:wsp>
                        <wps:cNvPr id="61" name="Rectangle 61"/>
                        <wps:cNvSpPr/>
                        <wps:spPr>
                          <a:xfrm>
                            <a:off x="3539606" y="455280"/>
                            <a:ext cx="1552575" cy="864975"/>
                          </a:xfrm>
                          <a:prstGeom prst="rect">
                            <a:avLst/>
                          </a:prstGeom>
                        </wps:spPr>
                        <wps:txbx>
                          <w:txbxContent>
                            <w:p w14:paraId="1DA924D9" w14:textId="77777777" w:rsidR="00FF0106" w:rsidRDefault="00FF0106" w:rsidP="00F221CB">
                              <w:pPr>
                                <w:pStyle w:val="NormalWeb"/>
                                <w:spacing w:before="0" w:beforeAutospacing="0" w:after="0" w:afterAutospacing="0"/>
                              </w:pPr>
                              <w:proofErr w:type="gramStart"/>
                              <w:r>
                                <w:rPr>
                                  <w:rFonts w:ascii="Arial" w:hAnsi="Arial" w:cs="Arial"/>
                                  <w:color w:val="000000" w:themeColor="text1"/>
                                  <w:kern w:val="24"/>
                                  <w:sz w:val="18"/>
                                  <w:szCs w:val="18"/>
                                </w:rPr>
                                <w:t>The educational and employment outcomes of graduates and the</w:t>
                              </w:r>
                              <w:r w:rsidRPr="003D084B">
                                <w:rPr>
                                  <w:rFonts w:ascii="Arial" w:hAnsi="Arial" w:cs="Arial"/>
                                  <w:color w:val="FF0000"/>
                                  <w:kern w:val="24"/>
                                  <w:sz w:val="18"/>
                                  <w:szCs w:val="18"/>
                                </w:rPr>
                                <w:t xml:space="preserve"> </w:t>
                              </w:r>
                              <w:r>
                                <w:rPr>
                                  <w:rFonts w:ascii="Arial" w:hAnsi="Arial" w:cs="Arial"/>
                                  <w:color w:val="000000" w:themeColor="text1"/>
                                  <w:kern w:val="24"/>
                                  <w:sz w:val="18"/>
                                  <w:szCs w:val="18"/>
                                </w:rPr>
                                <w:t>gains made by students from a range of different backgrounds.</w:t>
                              </w:r>
                              <w:proofErr w:type="gramEnd"/>
                              <w:r>
                                <w:rPr>
                                  <w:rFonts w:ascii="Arial" w:hAnsi="Arial" w:cs="Arial"/>
                                  <w:color w:val="000000" w:themeColor="text1"/>
                                  <w:kern w:val="24"/>
                                  <w:sz w:val="18"/>
                                  <w:szCs w:val="18"/>
                                </w:rPr>
                                <w:t xml:space="preserve"> </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id="Group 28" o:spid="_x0000_s1026" alt="Title: Defining aspects of quality - Description: Diagram defining the the aspects of quality:&#10;&#10;Teaching Quality: Teaching practices which provide an appropriate level of contact, stimulation and challenge, encourage student effort and engagement, and which are effective in developing the knowledge, skills, attributes and work readiness of students. &#10;&#10;Learning Environment The wider context for teaching which includes the effectigness of resources designed to support learning, maximise completion and aid the development of independent study and research skills. This may include learning spaces, use of technology, work experience, extra-currciular activities and opportunities for peer-to-peer interaction. &#10;&#10;Student Outcomes &amp; Learning Gain: The educational and employment outomces of graduates and the gains made by students from a range of different backgrounds. " style="position:absolute;left:0;text-align:left;margin-left:-8.7pt;margin-top:26.7pt;width:495.75pt;height:3in;z-index:251672576;mso-position-horizontal-relative:margin;mso-width-relative:margin;mso-height-relative:margin" coordsize="50926,24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">
                <v:rect id="Rectangle 30" o:spid="_x0000_s1027" style="position:absolute;width:15526;height:4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DuCMMA&#10;AADbAAAADwAAAGRycy9kb3ducmV2LnhtbERPXWvCMBR9F/wP4Qp7GTN14hzVKCJ0jMGEtYPh26W5&#10;NsXmpiSZ1n+/PAx8PJzv9XawnbiQD61jBbNpBoK4drrlRsF3VTy9gggRWWPnmBTcKMB2Mx6tMdfu&#10;yl90KWMjUgiHHBWYGPtcylAbshimridO3Ml5izFB30jt8ZrCbSefs+xFWmw5NRjsaW+oPpe/VkG9&#10;/Dk/2uLzsPsobvNqsTy+7c1CqYfJsFuBiDTEu/jf/a4VzNP69CX9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DuCMMAAADbAAAADwAAAAAAAAAAAAAAAACYAgAAZHJzL2Rv&#10;d25yZXYueG1sUEsFBgAAAAAEAAQA9QAAAIgDAAAAAA==&#10;" fillcolor="#365f91 [2404]" strokecolor="#365f91 [2404]" strokeweight="2pt">
                  <v:textbox>
                    <w:txbxContent>
                      <w:p w14:paraId="508FFFFE" w14:textId="77777777" w:rsidR="00FF0106" w:rsidRPr="00A25C19" w:rsidRDefault="00FF0106" w:rsidP="00A25C19">
                        <w:pPr>
                          <w:spacing w:after="0"/>
                          <w:jc w:val="center"/>
                          <w:rPr>
                            <w:rFonts w:ascii="Arial Bold" w:hAnsi="Arial Bold"/>
                            <w:b/>
                            <w:sz w:val="8"/>
                            <w:szCs w:val="8"/>
                          </w:rPr>
                        </w:pPr>
                      </w:p>
                      <w:p w14:paraId="167A53AD" w14:textId="17757E58" w:rsidR="00FF0106" w:rsidRPr="00A25C19" w:rsidRDefault="00FF0106" w:rsidP="00A25C19">
                        <w:pPr>
                          <w:spacing w:after="0"/>
                          <w:jc w:val="center"/>
                          <w:rPr>
                            <w:rFonts w:ascii="Arial Bold" w:hAnsi="Arial Bold"/>
                            <w:b/>
                            <w:sz w:val="22"/>
                            <w:szCs w:val="22"/>
                          </w:rPr>
                        </w:pPr>
                        <w:r w:rsidRPr="00A25C19">
                          <w:rPr>
                            <w:rFonts w:ascii="Arial Bold" w:hAnsi="Arial Bold"/>
                            <w:b/>
                            <w:sz w:val="22"/>
                            <w:szCs w:val="22"/>
                          </w:rPr>
                          <w:t>Teaching Quality</w:t>
                        </w:r>
                      </w:p>
                    </w:txbxContent>
                  </v:textbox>
                </v:rect>
                <v:rect id="Rectangle 46" o:spid="_x0000_s1028" style="position:absolute;left:17700;width:15526;height:4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9OcMMA&#10;AADbAAAADwAAAGRycy9kb3ducmV2LnhtbESPQWsCMRSE70L/Q3gFb5qtqJXVKLUieBOtF2/PzXN3&#10;dfOyJKm79tc3guBxmJlvmNmiNZW4kfOlZQUf/QQEcWZ1ybmCw8+6NwHhA7LGyjIpuJOHxfytM8NU&#10;24Z3dNuHXEQI+xQVFCHUqZQ+K8ig79uaOHpn6wyGKF0utcMmwk0lB0kylgZLjgsF1vRdUHbd/xoF&#10;K15e62YrT27wZz+z5frIl8lIqe57+zUFEagNr/CzvdEKhmN4fI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9OcMMAAADbAAAADwAAAAAAAAAAAAAAAACYAgAAZHJzL2Rv&#10;d25yZXYueG1sUEsFBgAAAAAEAAQA9QAAAIgDAAAAAA==&#10;" fillcolor="#5f497a [2407]" strokecolor="#5f497a [2407]" strokeweight="2pt">
                  <v:textbox>
                    <w:txbxContent>
                      <w:p w14:paraId="4E15D5A0" w14:textId="77777777" w:rsidR="00FF0106" w:rsidRPr="00A25C19" w:rsidRDefault="00FF0106" w:rsidP="00A25C19">
                        <w:pPr>
                          <w:spacing w:after="0"/>
                          <w:jc w:val="center"/>
                          <w:rPr>
                            <w:rFonts w:ascii="Arial Bold" w:hAnsi="Arial Bold"/>
                            <w:b/>
                            <w:sz w:val="8"/>
                            <w:szCs w:val="8"/>
                          </w:rPr>
                        </w:pPr>
                      </w:p>
                      <w:p w14:paraId="36B14753" w14:textId="58B7A4A0" w:rsidR="00FF0106" w:rsidRPr="00A25C19" w:rsidRDefault="00FF0106" w:rsidP="00A25C19">
                        <w:pPr>
                          <w:spacing w:after="0"/>
                          <w:jc w:val="center"/>
                          <w:rPr>
                            <w:rFonts w:ascii="Arial Bold" w:hAnsi="Arial Bold"/>
                            <w:b/>
                            <w:sz w:val="22"/>
                            <w:szCs w:val="22"/>
                          </w:rPr>
                        </w:pPr>
                        <w:r w:rsidRPr="00A25C19">
                          <w:rPr>
                            <w:rFonts w:ascii="Arial Bold" w:hAnsi="Arial Bold"/>
                            <w:b/>
                            <w:sz w:val="22"/>
                            <w:szCs w:val="22"/>
                          </w:rPr>
                          <w:t>Learning Environment</w:t>
                        </w:r>
                      </w:p>
                      <w:p w14:paraId="44F96B7E" w14:textId="77777777" w:rsidR="00FF0106" w:rsidRDefault="00FF0106" w:rsidP="00A25C19">
                        <w:pPr>
                          <w:jc w:val="center"/>
                        </w:pPr>
                      </w:p>
                    </w:txbxContent>
                  </v:textbox>
                </v:rect>
                <v:rect id="Rectangle 49" o:spid="_x0000_s1029" style="position:absolute;left:35400;width:15526;height:4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kNnsIA&#10;AADbAAAADwAAAGRycy9kb3ducmV2LnhtbESPUWvCMBSF34X9h3AHvtl0YnXrjDIEQfBp6g+4NndN&#10;WXPTJbHWf28EYY+Hc75zOMv1YFvRkw+NYwVvWQ6CuHK64VrB6bidvIMIEVlj65gU3CjAevUyWmKp&#10;3ZW/qT/EWqQSDiUqMDF2pZShMmQxZK4jTt6P8xZjkr6W2uM1ldtWTvN8Li02nBYMdrQxVP0eLlbB&#10;rPfTPV9iUc0KGhamOP/N271S49fh6xNEpCH+h5/0TifuAx5f0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Q2ewgAAANsAAAAPAAAAAAAAAAAAAAAAAJgCAABkcnMvZG93&#10;bnJldi54bWxQSwUGAAAAAAQABAD1AAAAhwMAAAAA&#10;" fillcolor="#31849b [2408]" strokecolor="#31849b [2408]" strokeweight="2pt">
                  <v:textbox>
                    <w:txbxContent>
                      <w:p w14:paraId="319E981E" w14:textId="138AA8ED" w:rsidR="00FF0106" w:rsidRPr="00A25C19" w:rsidRDefault="00FF0106" w:rsidP="00A25C19">
                        <w:pPr>
                          <w:spacing w:after="0"/>
                          <w:jc w:val="center"/>
                          <w:rPr>
                            <w:rFonts w:ascii="Arial Bold" w:hAnsi="Arial Bold"/>
                            <w:b/>
                            <w:sz w:val="22"/>
                            <w:szCs w:val="22"/>
                          </w:rPr>
                        </w:pPr>
                        <w:r>
                          <w:rPr>
                            <w:rFonts w:ascii="Arial Bold" w:hAnsi="Arial Bold"/>
                            <w:b/>
                            <w:sz w:val="22"/>
                            <w:szCs w:val="22"/>
                          </w:rPr>
                          <w:t>Student Outcomes &amp; Learning Gain</w:t>
                        </w:r>
                      </w:p>
                      <w:p w14:paraId="4BE25A1D" w14:textId="77777777" w:rsidR="00FF0106" w:rsidRDefault="00FF0106" w:rsidP="00A25C19">
                        <w:pPr>
                          <w:jc w:val="center"/>
                        </w:pPr>
                      </w:p>
                    </w:txbxContent>
                  </v:textbox>
                </v:rect>
                <v:group id="Group 51" o:spid="_x0000_s1030" style="position:absolute;top:4554;width:15526;height:16696" coordorigin=",4554" coordsize="15526,166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ect id="Rectangle 52" o:spid="_x0000_s1031" style="position:absolute;top:4554;width:15526;height:16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2x8MMA&#10;AADbAAAADwAAAGRycy9kb3ducmV2LnhtbESPQYvCMBSE7wv+h/AEb2tqYRepRhFF1z14sFv2/Gie&#10;bbF5KU1s6783guBxmJlvmOV6MLXoqHWVZQWzaQSCOLe64kJB9rf/nINwHlljbZkU3MnBejX6WGKi&#10;bc9n6lJfiABhl6CC0vsmkdLlJRl0U9sQB+9iW4M+yLaQusU+wE0t4yj6lgYrDgslNrQtKb+mN6Mg&#10;73a/8S2b787/2fF08D99er1vlJqMh80ChKfBv8Ov9lEr+Irh+SX8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2x8MMAAADbAAAADwAAAAAAAAAAAAAAAACYAgAAZHJzL2Rv&#10;d25yZXYueG1sUEsFBgAAAAAEAAQA9QAAAIgDAAAAAA==&#10;" fillcolor="#dbe5f1 [660]" strokecolor="#dbe5f1 [660]" strokeweight="2pt">
                    <v:fill opacity="59110f"/>
                    <v:stroke opacity="59110f"/>
                  </v:rect>
                  <v:rect id="Rectangle 53" o:spid="_x0000_s1032" style="position:absolute;top:4554;width:15526;height:16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t8AsUA&#10;AADbAAAADwAAAGRycy9kb3ducmV2LnhtbESPQWvCQBSE7wX/w/KE3ppNlVaNriJCoQdBTQten7vP&#10;JDT7Ns2uMe2v7woFj8PMfMMsVr2tRUetrxwreE5SEMTamYoLBZ8fb09TED4gG6wdk4If8rBaDh4W&#10;mBl35QN1eShEhLDPUEEZQpNJ6XVJFn3iGuLonV1rMUTZFtK0eI1wW8tRmr5KixXHhRIb2pSkv/KL&#10;VTDZHMf57Dfdu2bbXb79dnfSeqfU47Bfz0EE6sM9/N9+NwpexnD7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3wCxQAAANsAAAAPAAAAAAAAAAAAAAAAAJgCAABkcnMv&#10;ZG93bnJldi54bWxQSwUGAAAAAAQABAD1AAAAigMAAAAA&#10;" filled="f" stroked="f">
                    <v:textbox inset="4.62pt,4.62pt,6.16pt,6.93pt">
                      <w:txbxContent>
                        <w:p w14:paraId="26A3BEC3" w14:textId="77777777" w:rsidR="00FF0106" w:rsidRDefault="00FF0106" w:rsidP="00F221CB">
                          <w:pPr>
                            <w:pStyle w:val="NormalWeb"/>
                            <w:spacing w:before="0" w:beforeAutospacing="0" w:after="32" w:afterAutospacing="0" w:line="216" w:lineRule="auto"/>
                          </w:pPr>
                          <w:r>
                            <w:rPr>
                              <w:rFonts w:ascii="Arial" w:hAnsi="Arial" w:cs="Arial"/>
                              <w:color w:val="000000" w:themeColor="dark1"/>
                              <w:kern w:val="24"/>
                              <w:sz w:val="18"/>
                              <w:szCs w:val="18"/>
                              <w14:textFill>
                                <w14:solidFill>
                                  <w14:schemeClr w14:val="dk1">
                                    <w14:satOff w14:val="0"/>
                                    <w14:lumOff w14:val="0"/>
                                  </w14:schemeClr>
                                </w14:solidFill>
                              </w14:textFill>
                            </w:rPr>
                            <w:t xml:space="preserve">Teaching practices which provide an appropriate level of contact, stimulation and </w:t>
                          </w:r>
                          <w:r w:rsidRPr="00727518">
                            <w:rPr>
                              <w:rFonts w:ascii="Arial" w:hAnsi="Arial" w:cs="Arial"/>
                              <w:kern w:val="24"/>
                              <w:sz w:val="18"/>
                              <w:szCs w:val="18"/>
                            </w:rPr>
                            <w:t>challenge, encourage student effort and engagement, and which are effective in developing the knowledge, skills, attributes and work readiness of students</w:t>
                          </w:r>
                          <w:r w:rsidRPr="00DF151B">
                            <w:rPr>
                              <w:rFonts w:ascii="Arial" w:hAnsi="Arial" w:cs="Arial"/>
                              <w:color w:val="FF0000"/>
                              <w:kern w:val="24"/>
                              <w:sz w:val="18"/>
                              <w:szCs w:val="18"/>
                            </w:rPr>
                            <w:t xml:space="preserve">. </w:t>
                          </w:r>
                        </w:p>
                      </w:txbxContent>
                    </v:textbox>
                  </v:rect>
                </v:group>
                <v:group id="Group 54" o:spid="_x0000_s1033" style="position:absolute;left:17700;top:4554;width:15526;height:19928" coordorigin="17700,4554" coordsize="15526,199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ect id="Rectangle 55" o:spid="_x0000_s1034" style="position:absolute;left:17700;top:4554;width:15526;height:16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xrcQA&#10;AADbAAAADwAAAGRycy9kb3ducmV2LnhtbESPQWvCQBSE7wX/w/IEb3WjYtHoKqZFWhAFo+D1mX0m&#10;Idm3IbvV9N+7hUKPw8x8wyzXnanFnVpXWlYwGkYgiDOrS84VnE/b1xkI55E11pZJwQ85WK96L0uM&#10;tX3wke6pz0WAsItRQeF9E0vpsoIMuqFtiIN3s61BH2SbS93iI8BNLcdR9CYNlhwWCmzovaCsSr+N&#10;gs8tp4fcXpJkV5XJ/uM6sdX8otSg320WIDx1/j/81/7SCqZT+P0Sfo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l8a3EAAAA2wAAAA8AAAAAAAAAAAAAAAAAmAIAAGRycy9k&#10;b3ducmV2LnhtbFBLBQYAAAAABAAEAPUAAACJAwAAAAA=&#10;" fillcolor="#e5dfec [663]" strokecolor="#e5dfec [663]" strokeweight="2pt">
                    <v:fill opacity="59110f"/>
                    <v:stroke opacity="59110f"/>
                  </v:rect>
                  <v:rect id="Rectangle 56" o:spid="_x0000_s1035" style="position:absolute;left:17700;top:4554;width:15526;height:19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fmsUA&#10;AADbAAAADwAAAGRycy9kb3ducmV2LnhtbESPQWvCQBSE70L/w/IK3nSjom1TVxFB8CBYo9Dr6+5r&#10;Esy+jdk1Rn99t1DocZiZb5j5srOVaKnxpWMFo2ECglg7U3Ku4HTcDF5B+IBssHJMCu7kYbl46s0x&#10;Ne7GB2qzkIsIYZ+igiKEOpXS64Is+qGriaP37RqLIcoml6bBW4TbSo6TZCYtlhwXCqxpXZA+Z1er&#10;4GX9OcneHsmHq3ft9eJ3+y+t90r1n7vVO4hAXfgP/7W3RsF0Br9f4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DN+axQAAANsAAAAPAAAAAAAAAAAAAAAAAJgCAABkcnMv&#10;ZG93bnJldi54bWxQSwUGAAAAAAQABAD1AAAAigMAAAAA&#10;" filled="f" stroked="f">
                    <v:textbox inset="4.62pt,4.62pt,6.16pt,6.93pt"/>
                  </v:rect>
                </v:group>
                <v:group id="Group 57" o:spid="_x0000_s1036" style="position:absolute;left:35400;top:4553;width:15526;height:16697" coordorigin="35400,4553" coordsize="15526,16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rect id="Rectangle 58" o:spid="_x0000_s1037" style="position:absolute;left:35400;top:4554;width:15526;height:16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yRVsQA&#10;AADbAAAADwAAAGRycy9kb3ducmV2LnhtbERPy2rCQBTdC/7DcAvdiE4sVNo0E1FLwS7sI7pod5fM&#10;zQMzd0Jm1OjXOwvB5eG8k3lvGnGkztWWFUwnEQji3OqaSwW77cf4BYTzyBoby6TgTA7m6XCQYKzt&#10;iX/pmPlShBB2MSqovG9jKV1ekUE3sS1x4ArbGfQBdqXUHZ5CuGnkUxTNpMGaQ0OFLa0qyvfZwShY&#10;/m8/v36m2NfF9+Vv9V68bkZnr9TjQ794A+Gp93fxzb3WCp7D2PAl/AC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8kVbEAAAA2wAAAA8AAAAAAAAAAAAAAAAAmAIAAGRycy9k&#10;b3ducmV2LnhtbFBLBQYAAAAABAAEAPUAAACJAwAAAAA=&#10;" fillcolor="#daeef3 [664]" strokecolor="#daeef3 [664]" strokeweight="2pt">
                    <v:fill opacity="59110f"/>
                    <v:stroke opacity="59110f"/>
                  </v:rect>
                  <v:rect id="Rectangle 59" o:spid="_x0000_s1038" style="position:absolute;left:35400;top:4553;width:15526;height:16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NL6MUA&#10;AADbAAAADwAAAGRycy9kb3ducmV2LnhtbESPQWvCQBSE74L/YXlCb7qx0lpTVxFB6EGwRqHX191n&#10;Esy+TbNrTP31bqHgcZiZb5j5srOVaKnxpWMF41ECglg7U3Ku4HjYDN9A+IBssHJMCn7Jw3LR780x&#10;Ne7Ke2qzkIsIYZ+igiKEOpXS64Is+pGriaN3co3FEGWTS9PgNcJtJZ+T5FVaLDkuFFjTuiB9zi5W&#10;wXT9Nclmt+TT1dv28uO3u2+td0o9DbrVO4hAXXiE/9sfRsHLDP6+x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k0voxQAAANsAAAAPAAAAAAAAAAAAAAAAAJgCAABkcnMv&#10;ZG93bnJldi54bWxQSwUGAAAAAAQABAD1AAAAigMAAAAA&#10;" filled="f" stroked="f">
                    <v:textbox inset="4.62pt,4.62pt,6.16pt,6.93pt">
                      <w:txbxContent>
                        <w:p w14:paraId="326D9CBB" w14:textId="77777777" w:rsidR="00FF0106" w:rsidRDefault="00FF0106" w:rsidP="00F221CB"/>
                      </w:txbxContent>
                    </v:textbox>
                  </v:rect>
                </v:group>
                <v:rect id="Rectangle 60" o:spid="_x0000_s1039" style="position:absolute;left:17698;top:4553;width:15525;height:17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qEYsIA&#10;AADbAAAADwAAAGRycy9kb3ducmV2LnhtbERPTWuDQBC9F/Iflgn0Upq1OUix2UgQQiQUQk2a8+BO&#10;VeLOqrtV8++zh0KPj/e9SWfTipEG11hW8LaKQBCXVjdcKbic96/vIJxH1thaJgV3cpBuF08bTLSd&#10;+IvGwlcihLBLUEHtfZdI6cqaDLqV7YgD92MHgz7AoZJ6wCmEm1auoyiWBhsODTV2lNVU3opfo2Aq&#10;T+P1/HmQp5drbrnP+6z4Pir1vJx3HyA8zf5f/OfOtYI4rA9fw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CoRiwgAAANsAAAAPAAAAAAAAAAAAAAAAAJgCAABkcnMvZG93&#10;bnJldi54bWxQSwUGAAAAAAQABAD1AAAAhwMAAAAA&#10;" filled="f" stroked="f">
                  <v:textbox>
                    <w:txbxContent>
                      <w:p w14:paraId="6EB5A680" w14:textId="77777777" w:rsidR="00FF0106" w:rsidRDefault="00FF0106" w:rsidP="00F221CB">
                        <w:pPr>
                          <w:pStyle w:val="NormalWeb"/>
                          <w:spacing w:before="0" w:beforeAutospacing="0" w:after="0" w:afterAutospacing="0"/>
                        </w:pPr>
                        <w:r>
                          <w:rPr>
                            <w:rFonts w:ascii="Arial" w:hAnsi="Arial" w:cs="Arial"/>
                            <w:color w:val="000000" w:themeColor="text1"/>
                            <w:kern w:val="24"/>
                            <w:sz w:val="18"/>
                            <w:szCs w:val="18"/>
                          </w:rPr>
                          <w:t xml:space="preserve">The wider context for teaching which includes the effectiveness of resources designed to support learning, maximise completion, and aid the development of independent study and research skills. This may include learning spaces, use of technology, work experience, extra-curricular activities and opportunities for peer-to-peer interaction. </w:t>
                        </w:r>
                      </w:p>
                    </w:txbxContent>
                  </v:textbox>
                </v:rect>
                <v:rect id="Rectangle 61" o:spid="_x0000_s1040" style="position:absolute;left:35396;top:4552;width:15525;height:8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h+cQA&#10;AADbAAAADwAAAGRycy9kb3ducmV2LnhtbESPQWuDQBSE74X8h+UFcinNmhxCMdmEIoRIKYRq4vnh&#10;vqrUfavuVu2/7xYKPQ4z8w1zOM2mFSMNrrGsYLOOQBCXVjdcKbjl56dnEM4ja2wtk4JvcnA6Lh4O&#10;GGs78TuNma9EgLCLUUHtfRdL6cqaDLq17YiD92EHgz7IoZJ6wCnATSu3UbSTBhsOCzV2lNRUfmZf&#10;RsFUXscif7vI62ORWu7TPsnur0qtlvPLHoSn2f+H/9qpVrDbwO+X8AP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GIfnEAAAA2wAAAA8AAAAAAAAAAAAAAAAAmAIAAGRycy9k&#10;b3ducmV2LnhtbFBLBQYAAAAABAAEAPUAAACJAwAAAAA=&#10;" filled="f" stroked="f">
                  <v:textbox>
                    <w:txbxContent>
                      <w:p w14:paraId="1DA924D9" w14:textId="77777777" w:rsidR="00FF0106" w:rsidRDefault="00FF0106" w:rsidP="00F221CB">
                        <w:pPr>
                          <w:pStyle w:val="NormalWeb"/>
                          <w:spacing w:before="0" w:beforeAutospacing="0" w:after="0" w:afterAutospacing="0"/>
                        </w:pPr>
                        <w:proofErr w:type="gramStart"/>
                        <w:r>
                          <w:rPr>
                            <w:rFonts w:ascii="Arial" w:hAnsi="Arial" w:cs="Arial"/>
                            <w:color w:val="000000" w:themeColor="text1"/>
                            <w:kern w:val="24"/>
                            <w:sz w:val="18"/>
                            <w:szCs w:val="18"/>
                          </w:rPr>
                          <w:t>The educational and employment outcomes of graduates and the</w:t>
                        </w:r>
                        <w:r w:rsidRPr="003D084B">
                          <w:rPr>
                            <w:rFonts w:ascii="Arial" w:hAnsi="Arial" w:cs="Arial"/>
                            <w:color w:val="FF0000"/>
                            <w:kern w:val="24"/>
                            <w:sz w:val="18"/>
                            <w:szCs w:val="18"/>
                          </w:rPr>
                          <w:t xml:space="preserve"> </w:t>
                        </w:r>
                        <w:r>
                          <w:rPr>
                            <w:rFonts w:ascii="Arial" w:hAnsi="Arial" w:cs="Arial"/>
                            <w:color w:val="000000" w:themeColor="text1"/>
                            <w:kern w:val="24"/>
                            <w:sz w:val="18"/>
                            <w:szCs w:val="18"/>
                          </w:rPr>
                          <w:t>gains made by students from a range of different backgrounds.</w:t>
                        </w:r>
                        <w:proofErr w:type="gramEnd"/>
                        <w:r>
                          <w:rPr>
                            <w:rFonts w:ascii="Arial" w:hAnsi="Arial" w:cs="Arial"/>
                            <w:color w:val="000000" w:themeColor="text1"/>
                            <w:kern w:val="24"/>
                            <w:sz w:val="18"/>
                            <w:szCs w:val="18"/>
                          </w:rPr>
                          <w:t xml:space="preserve"> </w:t>
                        </w:r>
                      </w:p>
                    </w:txbxContent>
                  </v:textbox>
                </v:rect>
                <w10:wrap type="square" anchorx="margin"/>
              </v:group>
            </w:pict>
          </mc:Fallback>
        </mc:AlternateContent>
      </w:r>
      <w:r w:rsidR="00F221CB" w:rsidRPr="006664CA">
        <w:rPr>
          <w:rFonts w:ascii="Arial" w:hAnsi="Arial" w:cs="Arial"/>
          <w:b/>
          <w:sz w:val="24"/>
          <w:szCs w:val="24"/>
        </w:rPr>
        <w:t>Figure</w:t>
      </w:r>
      <w:r w:rsidR="00C274BF" w:rsidRPr="006664CA">
        <w:rPr>
          <w:rFonts w:ascii="Arial" w:hAnsi="Arial" w:cs="Arial"/>
          <w:b/>
          <w:sz w:val="24"/>
          <w:szCs w:val="24"/>
        </w:rPr>
        <w:t xml:space="preserve"> 3</w:t>
      </w:r>
      <w:r w:rsidR="00F221CB" w:rsidRPr="006664CA">
        <w:rPr>
          <w:rFonts w:ascii="Arial" w:hAnsi="Arial" w:cs="Arial"/>
          <w:b/>
          <w:sz w:val="24"/>
          <w:szCs w:val="24"/>
        </w:rPr>
        <w:t>: Defining aspects of quality</w:t>
      </w:r>
    </w:p>
    <w:p w14:paraId="0E7AA160" w14:textId="29376DF7" w:rsidR="006664CA" w:rsidRDefault="00F221CB" w:rsidP="00AF7684">
      <w:pPr>
        <w:pStyle w:val="ListParagraph"/>
        <w:numPr>
          <w:ilvl w:val="0"/>
          <w:numId w:val="18"/>
        </w:numPr>
        <w:tabs>
          <w:tab w:val="left" w:pos="0"/>
        </w:tabs>
        <w:spacing w:after="0"/>
        <w:ind w:left="142" w:hanging="426"/>
        <w:rPr>
          <w:rFonts w:ascii="Arial" w:hAnsi="Arial" w:cs="Arial"/>
          <w:sz w:val="24"/>
          <w:szCs w:val="24"/>
        </w:rPr>
      </w:pPr>
      <w:r w:rsidRPr="006664CA">
        <w:rPr>
          <w:rFonts w:ascii="Arial" w:hAnsi="Arial" w:cs="Arial"/>
          <w:sz w:val="24"/>
          <w:szCs w:val="24"/>
        </w:rPr>
        <w:t xml:space="preserve">The TEF conceives of teaching </w:t>
      </w:r>
      <w:r w:rsidR="00402F86" w:rsidRPr="006664CA">
        <w:rPr>
          <w:rFonts w:ascii="Arial" w:hAnsi="Arial" w:cs="Arial"/>
          <w:sz w:val="24"/>
          <w:szCs w:val="24"/>
        </w:rPr>
        <w:t xml:space="preserve">broadly, </w:t>
      </w:r>
      <w:r w:rsidR="00E575D3" w:rsidRPr="006664CA">
        <w:rPr>
          <w:rFonts w:ascii="Arial" w:hAnsi="Arial" w:cs="Arial"/>
          <w:sz w:val="24"/>
          <w:szCs w:val="24"/>
        </w:rPr>
        <w:t xml:space="preserve">which means that the </w:t>
      </w:r>
      <w:r w:rsidR="00E575D3" w:rsidRPr="00772C62">
        <w:rPr>
          <w:rFonts w:ascii="Arial" w:hAnsi="Arial" w:cs="Arial"/>
          <w:b/>
          <w:sz w:val="24"/>
          <w:szCs w:val="24"/>
        </w:rPr>
        <w:t>teaching quality</w:t>
      </w:r>
      <w:r w:rsidR="00E575D3" w:rsidRPr="006664CA">
        <w:rPr>
          <w:rFonts w:ascii="Arial" w:hAnsi="Arial" w:cs="Arial"/>
          <w:sz w:val="24"/>
          <w:szCs w:val="24"/>
        </w:rPr>
        <w:t xml:space="preserve"> aspect </w:t>
      </w:r>
      <w:r w:rsidR="00402F86" w:rsidRPr="006664CA">
        <w:rPr>
          <w:rFonts w:ascii="Arial" w:hAnsi="Arial" w:cs="Arial"/>
          <w:sz w:val="24"/>
          <w:szCs w:val="24"/>
        </w:rPr>
        <w:t>include</w:t>
      </w:r>
      <w:r w:rsidR="00E575D3" w:rsidRPr="006664CA">
        <w:rPr>
          <w:rFonts w:ascii="Arial" w:hAnsi="Arial" w:cs="Arial"/>
          <w:sz w:val="24"/>
          <w:szCs w:val="24"/>
        </w:rPr>
        <w:t>s</w:t>
      </w:r>
      <w:r w:rsidR="00402F86" w:rsidRPr="006664CA">
        <w:rPr>
          <w:rFonts w:ascii="Arial" w:hAnsi="Arial" w:cs="Arial"/>
          <w:sz w:val="24"/>
          <w:szCs w:val="24"/>
        </w:rPr>
        <w:t xml:space="preserve"> a </w:t>
      </w:r>
      <w:r w:rsidRPr="006664CA">
        <w:rPr>
          <w:rFonts w:ascii="Arial" w:hAnsi="Arial" w:cs="Arial"/>
          <w:sz w:val="24"/>
          <w:szCs w:val="24"/>
        </w:rPr>
        <w:t xml:space="preserve">variety of </w:t>
      </w:r>
      <w:r w:rsidR="00402F86" w:rsidRPr="006664CA">
        <w:rPr>
          <w:rFonts w:ascii="Arial" w:hAnsi="Arial" w:cs="Arial"/>
          <w:sz w:val="24"/>
          <w:szCs w:val="24"/>
        </w:rPr>
        <w:t xml:space="preserve">different </w:t>
      </w:r>
      <w:r w:rsidRPr="006664CA">
        <w:rPr>
          <w:rFonts w:ascii="Arial" w:hAnsi="Arial" w:cs="Arial"/>
          <w:sz w:val="24"/>
          <w:szCs w:val="24"/>
        </w:rPr>
        <w:t xml:space="preserve">forms </w:t>
      </w:r>
      <w:r w:rsidR="00402F86" w:rsidRPr="006664CA">
        <w:rPr>
          <w:rFonts w:ascii="Arial" w:hAnsi="Arial" w:cs="Arial"/>
          <w:sz w:val="24"/>
          <w:szCs w:val="24"/>
        </w:rPr>
        <w:t xml:space="preserve">that can involve teachers and </w:t>
      </w:r>
      <w:r w:rsidRPr="006664CA">
        <w:rPr>
          <w:rFonts w:ascii="Arial" w:hAnsi="Arial" w:cs="Arial"/>
          <w:sz w:val="24"/>
          <w:szCs w:val="24"/>
        </w:rPr>
        <w:t>academic support staff. This includes</w:t>
      </w:r>
      <w:r w:rsidR="004D6626" w:rsidRPr="006664CA">
        <w:rPr>
          <w:rFonts w:ascii="Arial" w:hAnsi="Arial" w:cs="Arial"/>
          <w:sz w:val="24"/>
          <w:szCs w:val="24"/>
        </w:rPr>
        <w:t>, but is not limited to:</w:t>
      </w:r>
      <w:r w:rsidRPr="006664CA">
        <w:rPr>
          <w:rFonts w:ascii="Arial" w:hAnsi="Arial" w:cs="Arial"/>
          <w:sz w:val="24"/>
          <w:szCs w:val="24"/>
        </w:rPr>
        <w:t xml:space="preserve"> seminars, tutorials, project time, laboratory sessions, studio time, </w:t>
      </w:r>
      <w:r w:rsidR="003D084B" w:rsidRPr="006664CA">
        <w:rPr>
          <w:rFonts w:ascii="Arial" w:hAnsi="Arial" w:cs="Arial"/>
          <w:sz w:val="24"/>
          <w:szCs w:val="24"/>
        </w:rPr>
        <w:t xml:space="preserve">placements, supervised on-line learning, </w:t>
      </w:r>
      <w:r w:rsidRPr="006664CA">
        <w:rPr>
          <w:rFonts w:ascii="Arial" w:hAnsi="Arial" w:cs="Arial"/>
          <w:sz w:val="24"/>
          <w:szCs w:val="24"/>
        </w:rPr>
        <w:t xml:space="preserve">workshops, fieldwork and site visits. </w:t>
      </w:r>
      <w:r w:rsidR="00344EE3" w:rsidRPr="006664CA">
        <w:rPr>
          <w:rFonts w:ascii="Arial" w:hAnsi="Arial" w:cs="Arial"/>
          <w:sz w:val="24"/>
          <w:szCs w:val="24"/>
        </w:rPr>
        <w:t>The effectiveness of course design and assessment and feedback are also considered under this aspect.</w:t>
      </w:r>
    </w:p>
    <w:p w14:paraId="7FE94D3B" w14:textId="77777777" w:rsidR="00772C62" w:rsidRDefault="00772C62" w:rsidP="00772C62">
      <w:pPr>
        <w:pStyle w:val="ListParagraph"/>
        <w:tabs>
          <w:tab w:val="left" w:pos="0"/>
        </w:tabs>
        <w:spacing w:after="0"/>
        <w:ind w:left="142"/>
        <w:rPr>
          <w:rFonts w:ascii="Arial" w:hAnsi="Arial" w:cs="Arial"/>
          <w:sz w:val="24"/>
          <w:szCs w:val="24"/>
        </w:rPr>
      </w:pPr>
    </w:p>
    <w:p w14:paraId="4DB8B0E3" w14:textId="77777777" w:rsidR="006664CA" w:rsidRDefault="00F221CB" w:rsidP="00AF7684">
      <w:pPr>
        <w:pStyle w:val="ListParagraph"/>
        <w:numPr>
          <w:ilvl w:val="0"/>
          <w:numId w:val="18"/>
        </w:numPr>
        <w:tabs>
          <w:tab w:val="left" w:pos="0"/>
        </w:tabs>
        <w:spacing w:after="0"/>
        <w:ind w:left="142" w:hanging="426"/>
        <w:rPr>
          <w:rFonts w:ascii="Arial" w:hAnsi="Arial" w:cs="Arial"/>
          <w:sz w:val="24"/>
          <w:szCs w:val="24"/>
        </w:rPr>
      </w:pPr>
      <w:r w:rsidRPr="006664CA">
        <w:rPr>
          <w:rFonts w:ascii="Arial" w:hAnsi="Arial" w:cs="Arial"/>
          <w:sz w:val="24"/>
          <w:szCs w:val="24"/>
        </w:rPr>
        <w:t xml:space="preserve">The </w:t>
      </w:r>
      <w:r w:rsidRPr="006664CA">
        <w:rPr>
          <w:rFonts w:ascii="Arial" w:hAnsi="Arial" w:cs="Arial"/>
          <w:b/>
          <w:sz w:val="24"/>
          <w:szCs w:val="24"/>
        </w:rPr>
        <w:t xml:space="preserve">wider environment </w:t>
      </w:r>
      <w:r w:rsidRPr="006664CA">
        <w:rPr>
          <w:rFonts w:ascii="Arial" w:hAnsi="Arial" w:cs="Arial"/>
          <w:sz w:val="24"/>
          <w:szCs w:val="24"/>
        </w:rPr>
        <w:t xml:space="preserve">for learning will include </w:t>
      </w:r>
      <w:r w:rsidRPr="006664CA">
        <w:rPr>
          <w:rFonts w:ascii="Arial" w:hAnsi="Arial" w:cs="Arial"/>
          <w:color w:val="000000"/>
          <w:sz w:val="24"/>
          <w:szCs w:val="24"/>
          <w:lang w:eastAsia="en-GB"/>
        </w:rPr>
        <w:t xml:space="preserve">the effectiveness of resources such as libraries, laboratories or design studios, </w:t>
      </w:r>
      <w:r w:rsidRPr="006664CA">
        <w:rPr>
          <w:rFonts w:ascii="Arial" w:hAnsi="Arial" w:cs="Arial"/>
          <w:sz w:val="24"/>
          <w:szCs w:val="24"/>
        </w:rPr>
        <w:t>work experience, opportunities for peer-to-peer interaction and extra-curricular activities</w:t>
      </w:r>
      <w:r w:rsidRPr="006664CA">
        <w:rPr>
          <w:rFonts w:ascii="Arial" w:hAnsi="Arial" w:cs="Arial"/>
          <w:color w:val="000000"/>
          <w:sz w:val="24"/>
          <w:szCs w:val="24"/>
          <w:lang w:eastAsia="en-GB"/>
        </w:rPr>
        <w:t>. It also</w:t>
      </w:r>
      <w:r w:rsidRPr="006664CA">
        <w:rPr>
          <w:rFonts w:ascii="Arial" w:hAnsi="Arial" w:cs="Arial"/>
          <w:sz w:val="24"/>
          <w:szCs w:val="24"/>
        </w:rPr>
        <w:t xml:space="preserve"> considers the extent to which beneficial linkages are made for students between teaching and learning, and</w:t>
      </w:r>
      <w:r w:rsidR="00FC3276" w:rsidRPr="006664CA">
        <w:rPr>
          <w:rFonts w:ascii="Arial" w:hAnsi="Arial" w:cs="Arial"/>
          <w:sz w:val="24"/>
          <w:szCs w:val="24"/>
          <w:lang w:eastAsia="en-GB"/>
        </w:rPr>
        <w:t xml:space="preserve"> scholarship, research </w:t>
      </w:r>
      <w:proofErr w:type="gramStart"/>
      <w:r w:rsidRPr="006664CA">
        <w:rPr>
          <w:rFonts w:ascii="Arial" w:hAnsi="Arial" w:cs="Arial"/>
          <w:sz w:val="24"/>
          <w:szCs w:val="24"/>
          <w:lang w:eastAsia="en-GB"/>
        </w:rPr>
        <w:t>or</w:t>
      </w:r>
      <w:proofErr w:type="gramEnd"/>
      <w:r w:rsidRPr="006664CA">
        <w:rPr>
          <w:rFonts w:ascii="Arial" w:hAnsi="Arial" w:cs="Arial"/>
          <w:sz w:val="24"/>
          <w:szCs w:val="24"/>
          <w:lang w:eastAsia="en-GB"/>
        </w:rPr>
        <w:t xml:space="preserve"> professional practice</w:t>
      </w:r>
      <w:r w:rsidR="004D5806" w:rsidRPr="006664CA">
        <w:rPr>
          <w:rFonts w:ascii="Arial" w:hAnsi="Arial" w:cs="Arial"/>
          <w:sz w:val="24"/>
          <w:szCs w:val="24"/>
        </w:rPr>
        <w:t xml:space="preserve"> (one or more of these).</w:t>
      </w:r>
      <w:r w:rsidRPr="006664CA">
        <w:rPr>
          <w:rFonts w:ascii="Arial" w:hAnsi="Arial" w:cs="Arial"/>
          <w:sz w:val="24"/>
          <w:szCs w:val="24"/>
        </w:rPr>
        <w:t xml:space="preserve"> </w:t>
      </w:r>
    </w:p>
    <w:p w14:paraId="3535D202" w14:textId="77777777" w:rsidR="006664CA" w:rsidRPr="006664CA" w:rsidRDefault="006664CA" w:rsidP="006664CA">
      <w:pPr>
        <w:pStyle w:val="ListParagraph"/>
        <w:tabs>
          <w:tab w:val="left" w:pos="0"/>
        </w:tabs>
        <w:spacing w:after="0"/>
        <w:ind w:left="142"/>
        <w:rPr>
          <w:rFonts w:ascii="Arial" w:hAnsi="Arial" w:cs="Arial"/>
          <w:sz w:val="24"/>
          <w:szCs w:val="24"/>
        </w:rPr>
      </w:pPr>
    </w:p>
    <w:p w14:paraId="481243C9" w14:textId="77777777" w:rsidR="006664CA" w:rsidRPr="006664CA" w:rsidRDefault="00F221CB" w:rsidP="00AF7684">
      <w:pPr>
        <w:pStyle w:val="ListParagraph"/>
        <w:numPr>
          <w:ilvl w:val="0"/>
          <w:numId w:val="18"/>
        </w:numPr>
        <w:tabs>
          <w:tab w:val="left" w:pos="0"/>
        </w:tabs>
        <w:spacing w:after="0"/>
        <w:ind w:left="142" w:hanging="426"/>
        <w:rPr>
          <w:rFonts w:ascii="Arial" w:hAnsi="Arial" w:cs="Arial"/>
          <w:sz w:val="24"/>
          <w:szCs w:val="24"/>
        </w:rPr>
      </w:pPr>
      <w:r w:rsidRPr="006664CA">
        <w:rPr>
          <w:rFonts w:ascii="Arial" w:hAnsi="Arial" w:cs="Arial"/>
          <w:b/>
          <w:sz w:val="24"/>
          <w:szCs w:val="24"/>
        </w:rPr>
        <w:t xml:space="preserve">Positive outcomes </w:t>
      </w:r>
      <w:r w:rsidRPr="006664CA">
        <w:rPr>
          <w:rFonts w:ascii="Arial" w:hAnsi="Arial" w:cs="Arial"/>
          <w:sz w:val="24"/>
          <w:szCs w:val="24"/>
        </w:rPr>
        <w:t xml:space="preserve">may include </w:t>
      </w:r>
      <w:r w:rsidRPr="006664CA">
        <w:rPr>
          <w:rFonts w:ascii="Arial" w:hAnsi="Arial" w:cs="Arial"/>
          <w:color w:val="000000"/>
          <w:sz w:val="24"/>
          <w:szCs w:val="24"/>
          <w:lang w:eastAsia="en-GB"/>
        </w:rPr>
        <w:t>successfully meeting the requirements of a chosen qualification, acquisition of attributes such as lifelong learning skills and others that allow a graduate to make a strong contribution to society, economy and the environment, progression to further study, acquisition of knowledge, skills and experience necessary to compete for a graduate level job and successfully securing graduate-level employment.</w:t>
      </w:r>
      <w:r w:rsidR="004D5806" w:rsidRPr="006664CA">
        <w:rPr>
          <w:rFonts w:ascii="Arial" w:hAnsi="Arial" w:cs="Arial"/>
          <w:color w:val="000000"/>
          <w:sz w:val="24"/>
          <w:szCs w:val="24"/>
          <w:lang w:eastAsia="en-GB"/>
        </w:rPr>
        <w:t xml:space="preserve"> As new measures of learning gain become available, we anticipate that these will </w:t>
      </w:r>
      <w:r w:rsidR="001F2672" w:rsidRPr="006664CA">
        <w:rPr>
          <w:rFonts w:ascii="Arial" w:hAnsi="Arial" w:cs="Arial"/>
          <w:color w:val="000000"/>
          <w:sz w:val="24"/>
          <w:szCs w:val="24"/>
          <w:lang w:eastAsia="en-GB"/>
        </w:rPr>
        <w:t xml:space="preserve">also </w:t>
      </w:r>
      <w:r w:rsidR="004D5806" w:rsidRPr="006664CA">
        <w:rPr>
          <w:rFonts w:ascii="Arial" w:hAnsi="Arial" w:cs="Arial"/>
          <w:color w:val="000000"/>
          <w:sz w:val="24"/>
          <w:szCs w:val="24"/>
          <w:lang w:eastAsia="en-GB"/>
        </w:rPr>
        <w:t>feed into the TEF</w:t>
      </w:r>
      <w:r w:rsidR="00344EE3" w:rsidRPr="006664CA">
        <w:rPr>
          <w:rFonts w:ascii="Arial" w:hAnsi="Arial" w:cs="Arial"/>
          <w:color w:val="000000"/>
          <w:sz w:val="24"/>
          <w:szCs w:val="24"/>
          <w:lang w:eastAsia="en-GB"/>
        </w:rPr>
        <w:t xml:space="preserve"> in future years</w:t>
      </w:r>
      <w:r w:rsidR="004D5806" w:rsidRPr="00914FD6">
        <w:rPr>
          <w:rStyle w:val="FootnoteReference"/>
          <w:rFonts w:cs="Arial"/>
        </w:rPr>
        <w:footnoteReference w:id="6"/>
      </w:r>
      <w:r w:rsidR="004D5806" w:rsidRPr="00914FD6">
        <w:rPr>
          <w:rStyle w:val="FootnoteReference"/>
        </w:rPr>
        <w:t>.</w:t>
      </w:r>
    </w:p>
    <w:p w14:paraId="2512C670" w14:textId="77777777" w:rsidR="006664CA" w:rsidRPr="006664CA" w:rsidRDefault="006664CA" w:rsidP="006664CA">
      <w:pPr>
        <w:pStyle w:val="ListParagraph"/>
        <w:tabs>
          <w:tab w:val="left" w:pos="0"/>
        </w:tabs>
        <w:spacing w:after="0"/>
        <w:ind w:left="142"/>
        <w:rPr>
          <w:rFonts w:ascii="Arial" w:hAnsi="Arial" w:cs="Arial"/>
          <w:sz w:val="24"/>
          <w:szCs w:val="24"/>
        </w:rPr>
      </w:pPr>
    </w:p>
    <w:p w14:paraId="5B5FE6EB" w14:textId="7FBF4E35" w:rsidR="009E664E" w:rsidRPr="006664CA" w:rsidRDefault="004D5806" w:rsidP="00AF7684">
      <w:pPr>
        <w:pStyle w:val="ListParagraph"/>
        <w:numPr>
          <w:ilvl w:val="0"/>
          <w:numId w:val="18"/>
        </w:numPr>
        <w:tabs>
          <w:tab w:val="left" w:pos="0"/>
        </w:tabs>
        <w:spacing w:after="0"/>
        <w:ind w:left="142" w:hanging="426"/>
        <w:rPr>
          <w:rFonts w:ascii="Arial" w:hAnsi="Arial" w:cs="Arial"/>
          <w:sz w:val="24"/>
          <w:szCs w:val="24"/>
        </w:rPr>
      </w:pPr>
      <w:r w:rsidRPr="006664CA">
        <w:rPr>
          <w:rFonts w:ascii="Arial" w:hAnsi="Arial" w:cs="Arial"/>
          <w:color w:val="000000"/>
          <w:sz w:val="24"/>
          <w:szCs w:val="24"/>
          <w:lang w:eastAsia="en-GB"/>
        </w:rPr>
        <w:t>S</w:t>
      </w:r>
      <w:r w:rsidR="00F221CB" w:rsidRPr="006664CA">
        <w:rPr>
          <w:rFonts w:ascii="Arial" w:hAnsi="Arial" w:cs="Arial"/>
          <w:color w:val="000000"/>
          <w:sz w:val="24"/>
          <w:szCs w:val="24"/>
          <w:lang w:eastAsia="en-GB"/>
        </w:rPr>
        <w:t>upport</w:t>
      </w:r>
      <w:r w:rsidRPr="006664CA">
        <w:rPr>
          <w:rFonts w:ascii="Arial" w:hAnsi="Arial" w:cs="Arial"/>
          <w:color w:val="000000"/>
          <w:sz w:val="24"/>
          <w:szCs w:val="24"/>
          <w:lang w:eastAsia="en-GB"/>
        </w:rPr>
        <w:t>ing the development, progression and attainment of</w:t>
      </w:r>
      <w:r w:rsidR="00F221CB" w:rsidRPr="006664CA">
        <w:rPr>
          <w:rFonts w:ascii="Arial" w:hAnsi="Arial" w:cs="Arial"/>
          <w:color w:val="000000"/>
          <w:sz w:val="24"/>
          <w:szCs w:val="24"/>
          <w:lang w:eastAsia="en-GB"/>
        </w:rPr>
        <w:t xml:space="preserve"> students from disadvantaged backgrounds is a </w:t>
      </w:r>
      <w:r w:rsidR="004D6626" w:rsidRPr="006664CA">
        <w:rPr>
          <w:rFonts w:ascii="Arial" w:hAnsi="Arial" w:cs="Arial"/>
          <w:color w:val="000000"/>
          <w:sz w:val="24"/>
          <w:szCs w:val="24"/>
          <w:lang w:eastAsia="en-GB"/>
        </w:rPr>
        <w:t xml:space="preserve">mark of effectiveness and therefore </w:t>
      </w:r>
      <w:r w:rsidR="0070314E" w:rsidRPr="006664CA">
        <w:rPr>
          <w:rFonts w:ascii="Arial" w:hAnsi="Arial" w:cs="Arial"/>
          <w:color w:val="000000"/>
          <w:sz w:val="24"/>
          <w:szCs w:val="24"/>
          <w:lang w:eastAsia="en-GB"/>
        </w:rPr>
        <w:t xml:space="preserve">a </w:t>
      </w:r>
      <w:r w:rsidR="00F221CB" w:rsidRPr="006664CA">
        <w:rPr>
          <w:rFonts w:ascii="Arial" w:hAnsi="Arial" w:cs="Arial"/>
          <w:color w:val="000000"/>
          <w:sz w:val="24"/>
          <w:szCs w:val="24"/>
          <w:lang w:eastAsia="en-GB"/>
        </w:rPr>
        <w:t>key focus of the TEF. Assessment will therefore look in particular at how the needs of disadvantaged students are met through tea</w:t>
      </w:r>
      <w:r w:rsidR="00727518" w:rsidRPr="006664CA">
        <w:rPr>
          <w:rFonts w:ascii="Arial" w:hAnsi="Arial" w:cs="Arial"/>
          <w:color w:val="000000"/>
          <w:sz w:val="24"/>
          <w:szCs w:val="24"/>
          <w:lang w:eastAsia="en-GB"/>
        </w:rPr>
        <w:t xml:space="preserve">ching and the wider environment </w:t>
      </w:r>
      <w:r w:rsidR="00F221CB" w:rsidRPr="006664CA">
        <w:rPr>
          <w:rFonts w:ascii="Arial" w:hAnsi="Arial" w:cs="Arial"/>
          <w:color w:val="000000"/>
          <w:sz w:val="24"/>
          <w:szCs w:val="24"/>
          <w:lang w:eastAsia="en-GB"/>
        </w:rPr>
        <w:t>for learning and how effective a provider is at</w:t>
      </w:r>
      <w:r w:rsidR="00347F16" w:rsidRPr="006664CA">
        <w:rPr>
          <w:rFonts w:ascii="Arial" w:hAnsi="Arial" w:cs="Arial"/>
          <w:color w:val="000000"/>
          <w:sz w:val="24"/>
          <w:szCs w:val="24"/>
          <w:lang w:eastAsia="en-GB"/>
        </w:rPr>
        <w:t xml:space="preserve"> achieving the best outcomes for all students</w:t>
      </w:r>
      <w:r w:rsidR="004D294A" w:rsidRPr="006664CA">
        <w:rPr>
          <w:rFonts w:ascii="Arial" w:hAnsi="Arial" w:cs="Arial"/>
          <w:color w:val="000000"/>
          <w:sz w:val="24"/>
          <w:szCs w:val="24"/>
          <w:lang w:eastAsia="en-GB"/>
        </w:rPr>
        <w:t>, including identifying and addressing any differences in the outcomes achieved by specific groups</w:t>
      </w:r>
      <w:r w:rsidR="00347F16" w:rsidRPr="006664CA">
        <w:rPr>
          <w:rFonts w:ascii="Arial" w:hAnsi="Arial" w:cs="Arial"/>
          <w:color w:val="000000"/>
          <w:sz w:val="24"/>
          <w:szCs w:val="24"/>
          <w:lang w:eastAsia="en-GB"/>
        </w:rPr>
        <w:t>.</w:t>
      </w:r>
    </w:p>
    <w:p w14:paraId="092A9BEB" w14:textId="77777777" w:rsidR="00B81561" w:rsidRPr="006664CA" w:rsidRDefault="00347F16" w:rsidP="00727518">
      <w:pPr>
        <w:spacing w:after="0"/>
        <w:rPr>
          <w:rFonts w:cs="Arial"/>
          <w:color w:val="000000"/>
          <w:lang w:eastAsia="en-GB"/>
        </w:rPr>
      </w:pPr>
      <w:r w:rsidRPr="006664CA">
        <w:rPr>
          <w:rFonts w:cs="Arial"/>
          <w:color w:val="000000"/>
          <w:lang w:eastAsia="en-GB"/>
        </w:rPr>
        <w:t xml:space="preserve"> </w:t>
      </w:r>
    </w:p>
    <w:p w14:paraId="42AC31FB" w14:textId="77777777" w:rsidR="00F221CB" w:rsidRPr="00D25990" w:rsidRDefault="00F221CB" w:rsidP="00FD0E93">
      <w:pPr>
        <w:pStyle w:val="Heading3"/>
        <w:spacing w:after="0"/>
        <w:ind w:hanging="284"/>
      </w:pPr>
      <w:bookmarkStart w:id="23" w:name="_Toc450147977"/>
      <w:bookmarkStart w:id="24" w:name="_Toc450886547"/>
      <w:r w:rsidRPr="00FC4FCD">
        <w:lastRenderedPageBreak/>
        <w:t>Assessment criteria</w:t>
      </w:r>
      <w:bookmarkEnd w:id="23"/>
      <w:bookmarkEnd w:id="24"/>
    </w:p>
    <w:p w14:paraId="2A09B07C" w14:textId="77777777" w:rsidR="006664CA" w:rsidRDefault="00F221CB" w:rsidP="00AF7684">
      <w:pPr>
        <w:pStyle w:val="ListParagraph"/>
        <w:numPr>
          <w:ilvl w:val="0"/>
          <w:numId w:val="18"/>
        </w:numPr>
        <w:tabs>
          <w:tab w:val="left" w:pos="0"/>
        </w:tabs>
        <w:spacing w:after="0"/>
        <w:ind w:left="142" w:hanging="426"/>
        <w:rPr>
          <w:rFonts w:ascii="Arial" w:hAnsi="Arial" w:cs="Arial"/>
          <w:color w:val="000000"/>
          <w:sz w:val="24"/>
          <w:szCs w:val="24"/>
          <w:lang w:eastAsia="en-GB"/>
        </w:rPr>
      </w:pPr>
      <w:r w:rsidRPr="006664CA">
        <w:rPr>
          <w:rFonts w:ascii="Arial" w:hAnsi="Arial" w:cs="Arial"/>
          <w:color w:val="000000"/>
          <w:sz w:val="24"/>
          <w:szCs w:val="24"/>
          <w:lang w:eastAsia="en-GB"/>
        </w:rPr>
        <w:t xml:space="preserve">The criteria </w:t>
      </w:r>
      <w:r w:rsidR="00977179" w:rsidRPr="006664CA">
        <w:rPr>
          <w:rFonts w:ascii="Arial" w:hAnsi="Arial" w:cs="Arial"/>
          <w:color w:val="000000"/>
          <w:sz w:val="24"/>
          <w:szCs w:val="24"/>
          <w:lang w:eastAsia="en-GB"/>
        </w:rPr>
        <w:t xml:space="preserve">we </w:t>
      </w:r>
      <w:r w:rsidR="004D294A" w:rsidRPr="006664CA">
        <w:rPr>
          <w:rFonts w:ascii="Arial" w:hAnsi="Arial" w:cs="Arial"/>
          <w:color w:val="000000"/>
          <w:sz w:val="24"/>
          <w:szCs w:val="24"/>
          <w:lang w:eastAsia="en-GB"/>
        </w:rPr>
        <w:t>propose</w:t>
      </w:r>
      <w:r w:rsidR="00977179" w:rsidRPr="006664CA">
        <w:rPr>
          <w:rFonts w:ascii="Arial" w:hAnsi="Arial" w:cs="Arial"/>
          <w:color w:val="000000"/>
          <w:sz w:val="24"/>
          <w:szCs w:val="24"/>
          <w:lang w:eastAsia="en-GB"/>
        </w:rPr>
        <w:t xml:space="preserve"> should</w:t>
      </w:r>
      <w:r w:rsidRPr="006664CA">
        <w:rPr>
          <w:rFonts w:ascii="Arial" w:hAnsi="Arial" w:cs="Arial"/>
          <w:color w:val="000000"/>
          <w:sz w:val="24"/>
          <w:szCs w:val="24"/>
          <w:lang w:eastAsia="en-GB"/>
        </w:rPr>
        <w:t xml:space="preserve"> form the basis of the assessment across the three main aspects of quality are in </w:t>
      </w:r>
      <w:r w:rsidRPr="006664CA">
        <w:rPr>
          <w:rFonts w:ascii="Arial" w:hAnsi="Arial" w:cs="Arial"/>
          <w:b/>
          <w:color w:val="000000"/>
          <w:sz w:val="24"/>
          <w:szCs w:val="24"/>
          <w:lang w:eastAsia="en-GB"/>
        </w:rPr>
        <w:t xml:space="preserve">Figure </w:t>
      </w:r>
      <w:r w:rsidR="00C274BF" w:rsidRPr="006664CA">
        <w:rPr>
          <w:rFonts w:ascii="Arial" w:hAnsi="Arial" w:cs="Arial"/>
          <w:b/>
          <w:color w:val="000000"/>
          <w:sz w:val="24"/>
          <w:szCs w:val="24"/>
          <w:lang w:eastAsia="en-GB"/>
        </w:rPr>
        <w:t>4</w:t>
      </w:r>
      <w:r w:rsidRPr="006664CA">
        <w:rPr>
          <w:rFonts w:ascii="Arial" w:hAnsi="Arial" w:cs="Arial"/>
          <w:color w:val="000000"/>
          <w:sz w:val="24"/>
          <w:szCs w:val="24"/>
          <w:lang w:eastAsia="en-GB"/>
        </w:rPr>
        <w:t>.</w:t>
      </w:r>
      <w:r w:rsidR="00D75448" w:rsidRPr="006664CA">
        <w:rPr>
          <w:rFonts w:ascii="Arial" w:hAnsi="Arial" w:cs="Arial"/>
          <w:color w:val="000000"/>
          <w:sz w:val="24"/>
          <w:szCs w:val="24"/>
          <w:lang w:eastAsia="en-GB"/>
        </w:rPr>
        <w:t xml:space="preserve"> The table includes an indication of what a </w:t>
      </w:r>
      <w:r w:rsidR="004455F1" w:rsidRPr="006664CA">
        <w:rPr>
          <w:rFonts w:ascii="Arial" w:hAnsi="Arial" w:cs="Arial"/>
          <w:color w:val="000000"/>
          <w:sz w:val="24"/>
          <w:szCs w:val="24"/>
          <w:lang w:eastAsia="en-GB"/>
        </w:rPr>
        <w:t xml:space="preserve">TEF </w:t>
      </w:r>
      <w:r w:rsidR="00E52196" w:rsidRPr="006664CA">
        <w:rPr>
          <w:rFonts w:ascii="Arial" w:hAnsi="Arial" w:cs="Arial"/>
          <w:color w:val="000000"/>
          <w:sz w:val="24"/>
          <w:szCs w:val="24"/>
          <w:lang w:eastAsia="en-GB"/>
        </w:rPr>
        <w:t>assessor</w:t>
      </w:r>
      <w:r w:rsidR="004455F1" w:rsidRPr="00772C62">
        <w:rPr>
          <w:rStyle w:val="FootnoteReference"/>
          <w:rFonts w:cs="Arial"/>
        </w:rPr>
        <w:footnoteReference w:id="7"/>
      </w:r>
      <w:r w:rsidR="00D75448" w:rsidRPr="00772C62">
        <w:rPr>
          <w:rStyle w:val="FootnoteReference"/>
        </w:rPr>
        <w:t xml:space="preserve"> </w:t>
      </w:r>
      <w:r w:rsidR="00D75448" w:rsidRPr="006664CA">
        <w:rPr>
          <w:rFonts w:ascii="Arial" w:hAnsi="Arial" w:cs="Arial"/>
          <w:color w:val="000000"/>
          <w:sz w:val="24"/>
          <w:szCs w:val="24"/>
          <w:lang w:eastAsia="en-GB"/>
        </w:rPr>
        <w:t xml:space="preserve">may be looking for as evidence that the criteria have been met but the evidence base is covered in greater detail in </w:t>
      </w:r>
      <w:r w:rsidR="00D75448" w:rsidRPr="006664CA">
        <w:rPr>
          <w:rFonts w:ascii="Arial" w:hAnsi="Arial" w:cs="Arial"/>
          <w:b/>
          <w:color w:val="000000"/>
          <w:sz w:val="24"/>
          <w:szCs w:val="24"/>
          <w:lang w:eastAsia="en-GB"/>
        </w:rPr>
        <w:t>Chapter 3</w:t>
      </w:r>
      <w:r w:rsidR="00D75448" w:rsidRPr="006664CA">
        <w:rPr>
          <w:rFonts w:ascii="Arial" w:hAnsi="Arial" w:cs="Arial"/>
          <w:color w:val="000000"/>
          <w:sz w:val="24"/>
          <w:szCs w:val="24"/>
          <w:lang w:eastAsia="en-GB"/>
        </w:rPr>
        <w:t>.</w:t>
      </w:r>
    </w:p>
    <w:p w14:paraId="15C9FB0C" w14:textId="77777777" w:rsidR="006664CA" w:rsidRDefault="006664CA" w:rsidP="006664CA">
      <w:pPr>
        <w:pStyle w:val="ListParagraph"/>
        <w:tabs>
          <w:tab w:val="left" w:pos="0"/>
        </w:tabs>
        <w:spacing w:after="0"/>
        <w:ind w:left="142"/>
        <w:rPr>
          <w:rFonts w:ascii="Arial" w:hAnsi="Arial" w:cs="Arial"/>
          <w:color w:val="000000"/>
          <w:sz w:val="24"/>
          <w:szCs w:val="24"/>
          <w:lang w:eastAsia="en-GB"/>
        </w:rPr>
      </w:pPr>
    </w:p>
    <w:p w14:paraId="04762578" w14:textId="77777777" w:rsidR="006664CA" w:rsidRPr="006664CA" w:rsidRDefault="00F221CB" w:rsidP="00AF7684">
      <w:pPr>
        <w:pStyle w:val="ListParagraph"/>
        <w:numPr>
          <w:ilvl w:val="0"/>
          <w:numId w:val="18"/>
        </w:numPr>
        <w:tabs>
          <w:tab w:val="left" w:pos="0"/>
        </w:tabs>
        <w:spacing w:after="0"/>
        <w:ind w:left="142" w:hanging="426"/>
        <w:rPr>
          <w:rFonts w:ascii="Arial" w:hAnsi="Arial" w:cs="Arial"/>
          <w:color w:val="000000"/>
          <w:sz w:val="24"/>
          <w:szCs w:val="24"/>
          <w:lang w:eastAsia="en-GB"/>
        </w:rPr>
      </w:pPr>
      <w:r w:rsidRPr="006664CA">
        <w:rPr>
          <w:rFonts w:ascii="Arial" w:hAnsi="Arial" w:cs="Arial"/>
          <w:sz w:val="24"/>
          <w:szCs w:val="24"/>
        </w:rPr>
        <w:t xml:space="preserve">The </w:t>
      </w:r>
      <w:r w:rsidR="00977179" w:rsidRPr="006664CA">
        <w:rPr>
          <w:rFonts w:ascii="Arial" w:hAnsi="Arial" w:cs="Arial"/>
          <w:sz w:val="24"/>
          <w:szCs w:val="24"/>
        </w:rPr>
        <w:t xml:space="preserve">proposed </w:t>
      </w:r>
      <w:r w:rsidRPr="006664CA">
        <w:rPr>
          <w:rFonts w:ascii="Arial" w:hAnsi="Arial" w:cs="Arial"/>
          <w:sz w:val="24"/>
          <w:szCs w:val="24"/>
        </w:rPr>
        <w:t xml:space="preserve">criteria are intended to </w:t>
      </w:r>
      <w:r w:rsidR="00FC3276" w:rsidRPr="006664CA">
        <w:rPr>
          <w:rFonts w:ascii="Arial" w:hAnsi="Arial" w:cs="Arial"/>
          <w:sz w:val="24"/>
          <w:szCs w:val="24"/>
        </w:rPr>
        <w:t xml:space="preserve">capture excellence in </w:t>
      </w:r>
      <w:r w:rsidRPr="006664CA">
        <w:rPr>
          <w:rFonts w:ascii="Arial" w:hAnsi="Arial" w:cs="Arial"/>
          <w:sz w:val="24"/>
          <w:szCs w:val="24"/>
        </w:rPr>
        <w:t xml:space="preserve">teaching </w:t>
      </w:r>
      <w:r w:rsidR="00FC3276" w:rsidRPr="006664CA">
        <w:rPr>
          <w:rFonts w:ascii="Arial" w:hAnsi="Arial" w:cs="Arial"/>
          <w:sz w:val="24"/>
          <w:szCs w:val="24"/>
        </w:rPr>
        <w:t xml:space="preserve">and learning </w:t>
      </w:r>
      <w:r w:rsidR="00F10EB1" w:rsidRPr="006664CA">
        <w:rPr>
          <w:rFonts w:ascii="Arial" w:hAnsi="Arial" w:cs="Arial"/>
          <w:sz w:val="24"/>
          <w:szCs w:val="24"/>
        </w:rPr>
        <w:t>over and above good practice demonstrated through broader quality assurance arrangements. They have been designed to</w:t>
      </w:r>
      <w:r w:rsidRPr="006664CA">
        <w:rPr>
          <w:rFonts w:ascii="Arial" w:hAnsi="Arial" w:cs="Arial"/>
          <w:sz w:val="24"/>
          <w:szCs w:val="24"/>
        </w:rPr>
        <w:t xml:space="preserve"> allow </w:t>
      </w:r>
      <w:r w:rsidR="001A3234" w:rsidRPr="006664CA">
        <w:rPr>
          <w:rFonts w:ascii="Arial" w:hAnsi="Arial" w:cs="Arial"/>
          <w:sz w:val="24"/>
          <w:szCs w:val="24"/>
        </w:rPr>
        <w:t>assessors</w:t>
      </w:r>
      <w:r w:rsidRPr="006664CA">
        <w:rPr>
          <w:rFonts w:ascii="Arial" w:hAnsi="Arial" w:cs="Arial"/>
          <w:sz w:val="24"/>
          <w:szCs w:val="24"/>
        </w:rPr>
        <w:t xml:space="preserve"> to make a clear judgement based on core metrics and additional evi</w:t>
      </w:r>
      <w:r w:rsidR="00F10EB1" w:rsidRPr="006664CA">
        <w:rPr>
          <w:rFonts w:ascii="Arial" w:hAnsi="Arial" w:cs="Arial"/>
          <w:sz w:val="24"/>
          <w:szCs w:val="24"/>
        </w:rPr>
        <w:t>dence put forward by a provider (</w:t>
      </w:r>
      <w:r w:rsidR="00C274BF" w:rsidRPr="006664CA">
        <w:rPr>
          <w:rFonts w:ascii="Arial" w:hAnsi="Arial" w:cs="Arial"/>
          <w:sz w:val="24"/>
          <w:szCs w:val="24"/>
        </w:rPr>
        <w:t xml:space="preserve">see </w:t>
      </w:r>
      <w:r w:rsidR="00FC3276" w:rsidRPr="006664CA">
        <w:rPr>
          <w:rFonts w:ascii="Arial" w:hAnsi="Arial" w:cs="Arial"/>
          <w:b/>
          <w:sz w:val="24"/>
          <w:szCs w:val="24"/>
        </w:rPr>
        <w:t xml:space="preserve">Chapter 3: </w:t>
      </w:r>
      <w:r w:rsidR="00C274BF" w:rsidRPr="006664CA">
        <w:rPr>
          <w:rFonts w:ascii="Arial" w:hAnsi="Arial" w:cs="Arial"/>
          <w:b/>
          <w:sz w:val="24"/>
          <w:szCs w:val="24"/>
        </w:rPr>
        <w:t>Evidence</w:t>
      </w:r>
      <w:r w:rsidR="00F10EB1" w:rsidRPr="006664CA">
        <w:rPr>
          <w:rFonts w:ascii="Arial" w:hAnsi="Arial" w:cs="Arial"/>
          <w:sz w:val="24"/>
          <w:szCs w:val="24"/>
        </w:rPr>
        <w:t>).</w:t>
      </w:r>
      <w:r w:rsidRPr="006664CA">
        <w:rPr>
          <w:rFonts w:ascii="Arial" w:hAnsi="Arial" w:cs="Arial"/>
          <w:sz w:val="24"/>
          <w:szCs w:val="24"/>
        </w:rPr>
        <w:t xml:space="preserve"> </w:t>
      </w:r>
    </w:p>
    <w:p w14:paraId="595CD789" w14:textId="77777777" w:rsidR="006664CA" w:rsidRPr="006664CA" w:rsidRDefault="006664CA" w:rsidP="006664CA">
      <w:pPr>
        <w:pStyle w:val="ListParagraph"/>
        <w:tabs>
          <w:tab w:val="left" w:pos="0"/>
        </w:tabs>
        <w:spacing w:after="0"/>
        <w:ind w:left="142"/>
        <w:rPr>
          <w:rFonts w:ascii="Arial" w:hAnsi="Arial" w:cs="Arial"/>
          <w:color w:val="000000"/>
          <w:sz w:val="24"/>
          <w:szCs w:val="24"/>
          <w:lang w:eastAsia="en-GB"/>
        </w:rPr>
      </w:pPr>
    </w:p>
    <w:p w14:paraId="1D986A5F" w14:textId="52F4119D" w:rsidR="00977179" w:rsidRPr="006664CA" w:rsidRDefault="00977179" w:rsidP="00AF7684">
      <w:pPr>
        <w:pStyle w:val="ListParagraph"/>
        <w:numPr>
          <w:ilvl w:val="0"/>
          <w:numId w:val="18"/>
        </w:numPr>
        <w:tabs>
          <w:tab w:val="left" w:pos="0"/>
        </w:tabs>
        <w:spacing w:after="0"/>
        <w:ind w:left="142" w:hanging="426"/>
        <w:rPr>
          <w:rFonts w:ascii="Arial" w:hAnsi="Arial" w:cs="Arial"/>
          <w:color w:val="000000"/>
          <w:sz w:val="24"/>
          <w:szCs w:val="24"/>
          <w:lang w:eastAsia="en-GB"/>
        </w:rPr>
      </w:pPr>
      <w:r w:rsidRPr="006664CA">
        <w:rPr>
          <w:rFonts w:ascii="Arial" w:hAnsi="Arial" w:cs="Arial"/>
          <w:sz w:val="24"/>
          <w:szCs w:val="24"/>
        </w:rPr>
        <w:t>Whatever the final form of the criteria, we are clear that we want</w:t>
      </w:r>
      <w:r w:rsidR="004D294A" w:rsidRPr="006664CA">
        <w:rPr>
          <w:rFonts w:ascii="Arial" w:hAnsi="Arial" w:cs="Arial"/>
          <w:sz w:val="24"/>
          <w:szCs w:val="24"/>
        </w:rPr>
        <w:t xml:space="preserve"> assessment to</w:t>
      </w:r>
      <w:r w:rsidRPr="006664CA">
        <w:rPr>
          <w:rFonts w:ascii="Arial" w:hAnsi="Arial" w:cs="Arial"/>
          <w:sz w:val="24"/>
          <w:szCs w:val="24"/>
        </w:rPr>
        <w:t>:</w:t>
      </w:r>
    </w:p>
    <w:p w14:paraId="4CC1A450" w14:textId="5BF1EE35" w:rsidR="00F221CB" w:rsidRPr="006664CA" w:rsidRDefault="001F29A1" w:rsidP="00AF7684">
      <w:pPr>
        <w:pStyle w:val="ListParagraph"/>
        <w:numPr>
          <w:ilvl w:val="0"/>
          <w:numId w:val="22"/>
        </w:numPr>
        <w:spacing w:after="0"/>
        <w:ind w:left="426" w:hanging="426"/>
        <w:rPr>
          <w:rFonts w:cs="Arial"/>
        </w:rPr>
      </w:pPr>
      <w:r w:rsidRPr="001F29A1">
        <w:rPr>
          <w:rFonts w:ascii="Arial" w:hAnsi="Arial" w:cs="Arial"/>
          <w:sz w:val="24"/>
          <w:szCs w:val="24"/>
        </w:rPr>
        <w:t>Look</w:t>
      </w:r>
      <w:r w:rsidR="00FC3276" w:rsidRPr="001F29A1">
        <w:rPr>
          <w:rFonts w:ascii="Arial" w:hAnsi="Arial" w:cs="Arial"/>
          <w:sz w:val="24"/>
          <w:szCs w:val="24"/>
        </w:rPr>
        <w:t xml:space="preserve"> at</w:t>
      </w:r>
      <w:r w:rsidR="00F221CB" w:rsidRPr="001F29A1">
        <w:rPr>
          <w:rFonts w:ascii="Arial" w:hAnsi="Arial" w:cs="Arial"/>
          <w:sz w:val="24"/>
          <w:szCs w:val="24"/>
        </w:rPr>
        <w:t xml:space="preserve"> the extent to which the criteria apply across </w:t>
      </w:r>
      <w:r w:rsidR="00F221CB" w:rsidRPr="001F29A1">
        <w:rPr>
          <w:rFonts w:ascii="Arial" w:hAnsi="Arial" w:cs="Arial"/>
          <w:b/>
          <w:sz w:val="24"/>
          <w:szCs w:val="24"/>
        </w:rPr>
        <w:t>all modes of delivery</w:t>
      </w:r>
      <w:r w:rsidR="00F221CB" w:rsidRPr="001F29A1">
        <w:rPr>
          <w:rFonts w:ascii="Arial" w:hAnsi="Arial" w:cs="Arial"/>
          <w:sz w:val="24"/>
          <w:szCs w:val="24"/>
        </w:rPr>
        <w:t xml:space="preserve">, creating conditions for a high-quality experience and high-quality outcomes for all students irrespective of whether they are studying </w:t>
      </w:r>
      <w:r w:rsidR="00FC3276" w:rsidRPr="001F29A1">
        <w:rPr>
          <w:rFonts w:ascii="Arial" w:hAnsi="Arial" w:cs="Arial"/>
          <w:sz w:val="24"/>
          <w:szCs w:val="24"/>
        </w:rPr>
        <w:t>full-time, part-time, at a distance, in the workplace, or any combination of methods</w:t>
      </w:r>
      <w:r w:rsidR="004D5806" w:rsidRPr="001F29A1">
        <w:rPr>
          <w:rFonts w:ascii="Arial" w:hAnsi="Arial" w:cs="Arial"/>
          <w:sz w:val="24"/>
          <w:szCs w:val="24"/>
        </w:rPr>
        <w:t>.</w:t>
      </w:r>
    </w:p>
    <w:p w14:paraId="15F87DD3" w14:textId="69A6C69A" w:rsidR="006664CA" w:rsidRPr="00772C62" w:rsidRDefault="001F29A1" w:rsidP="00A83ED7">
      <w:pPr>
        <w:pStyle w:val="ListParagraph"/>
        <w:numPr>
          <w:ilvl w:val="0"/>
          <w:numId w:val="22"/>
        </w:numPr>
        <w:spacing w:after="0"/>
        <w:ind w:left="426" w:hanging="426"/>
        <w:rPr>
          <w:rFonts w:cs="Arial"/>
        </w:rPr>
      </w:pPr>
      <w:r w:rsidRPr="001F29A1">
        <w:rPr>
          <w:rFonts w:ascii="Arial" w:hAnsi="Arial" w:cs="Arial"/>
          <w:sz w:val="24"/>
          <w:szCs w:val="24"/>
        </w:rPr>
        <w:t>Focus</w:t>
      </w:r>
      <w:r w:rsidR="00F221CB" w:rsidRPr="001F29A1">
        <w:rPr>
          <w:rFonts w:ascii="Arial" w:hAnsi="Arial" w:cs="Arial"/>
          <w:sz w:val="24"/>
          <w:szCs w:val="24"/>
        </w:rPr>
        <w:t xml:space="preserve"> across the criteria on </w:t>
      </w:r>
      <w:r w:rsidR="00F221CB" w:rsidRPr="001F29A1">
        <w:rPr>
          <w:rFonts w:ascii="Arial" w:hAnsi="Arial" w:cs="Arial"/>
          <w:b/>
          <w:sz w:val="24"/>
          <w:szCs w:val="24"/>
        </w:rPr>
        <w:t xml:space="preserve">how effective a provider is at meeting the needs of students from different </w:t>
      </w:r>
      <w:proofErr w:type="gramStart"/>
      <w:r w:rsidR="00F221CB" w:rsidRPr="001F29A1">
        <w:rPr>
          <w:rFonts w:ascii="Arial" w:hAnsi="Arial" w:cs="Arial"/>
          <w:b/>
          <w:sz w:val="24"/>
          <w:szCs w:val="24"/>
        </w:rPr>
        <w:t>backgrounds</w:t>
      </w:r>
      <w:r w:rsidR="00F221CB" w:rsidRPr="001F29A1">
        <w:rPr>
          <w:rFonts w:ascii="Arial" w:hAnsi="Arial" w:cs="Arial"/>
          <w:sz w:val="24"/>
          <w:szCs w:val="24"/>
        </w:rPr>
        <w:t>,</w:t>
      </w:r>
      <w:proofErr w:type="gramEnd"/>
      <w:r w:rsidR="00F221CB" w:rsidRPr="001F29A1">
        <w:rPr>
          <w:rFonts w:ascii="Arial" w:hAnsi="Arial" w:cs="Arial"/>
          <w:sz w:val="24"/>
          <w:szCs w:val="24"/>
        </w:rPr>
        <w:t xml:space="preserve"> including monitoring and addressing any gaps in the development, attainment and progression of disadvantaged students.</w:t>
      </w:r>
    </w:p>
    <w:p w14:paraId="78FFBE32" w14:textId="77777777" w:rsidR="006664CA" w:rsidRDefault="006664CA" w:rsidP="00A83ED7">
      <w:pPr>
        <w:spacing w:after="0"/>
        <w:rPr>
          <w:rFonts w:cs="Arial"/>
          <w:b/>
        </w:rPr>
      </w:pPr>
    </w:p>
    <w:p w14:paraId="35E93DE6" w14:textId="77777777" w:rsidR="00FC3276" w:rsidRPr="006664CA" w:rsidRDefault="00A83ED7" w:rsidP="00AF7684">
      <w:pPr>
        <w:pStyle w:val="ListParagraph"/>
        <w:numPr>
          <w:ilvl w:val="0"/>
          <w:numId w:val="18"/>
        </w:numPr>
        <w:tabs>
          <w:tab w:val="left" w:pos="0"/>
        </w:tabs>
        <w:spacing w:after="0"/>
        <w:ind w:left="142" w:hanging="426"/>
        <w:rPr>
          <w:rFonts w:ascii="Arial" w:hAnsi="Arial" w:cs="Arial"/>
          <w:b/>
          <w:sz w:val="24"/>
          <w:szCs w:val="24"/>
        </w:rPr>
      </w:pPr>
      <w:r w:rsidRPr="006664CA">
        <w:rPr>
          <w:rFonts w:ascii="Arial" w:hAnsi="Arial" w:cs="Arial"/>
          <w:b/>
          <w:sz w:val="24"/>
          <w:szCs w:val="24"/>
        </w:rPr>
        <w:t xml:space="preserve">Figure </w:t>
      </w:r>
      <w:r w:rsidR="00C274BF" w:rsidRPr="006664CA">
        <w:rPr>
          <w:rFonts w:ascii="Arial" w:hAnsi="Arial" w:cs="Arial"/>
          <w:b/>
          <w:sz w:val="24"/>
          <w:szCs w:val="24"/>
        </w:rPr>
        <w:t>4</w:t>
      </w:r>
      <w:r w:rsidRPr="006664CA">
        <w:rPr>
          <w:rFonts w:ascii="Arial" w:hAnsi="Arial" w:cs="Arial"/>
          <w:b/>
          <w:sz w:val="24"/>
          <w:szCs w:val="24"/>
        </w:rPr>
        <w:t>: TEF assessment criteria</w:t>
      </w:r>
      <w:r w:rsidR="00AE492A" w:rsidRPr="006664CA">
        <w:rPr>
          <w:rFonts w:ascii="Arial" w:hAnsi="Arial" w:cs="Arial"/>
          <w:b/>
          <w:sz w:val="24"/>
          <w:szCs w:val="24"/>
        </w:rPr>
        <w:t xml:space="preserve"> </w:t>
      </w:r>
    </w:p>
    <w:tbl>
      <w:tblPr>
        <w:tblStyle w:val="Table-bluegrid"/>
        <w:tblW w:w="5000" w:type="pct"/>
        <w:tblLook w:val="04A0" w:firstRow="1" w:lastRow="0" w:firstColumn="1" w:lastColumn="0" w:noHBand="0" w:noVBand="1"/>
      </w:tblPr>
      <w:tblGrid>
        <w:gridCol w:w="1722"/>
        <w:gridCol w:w="3063"/>
        <w:gridCol w:w="5069"/>
      </w:tblGrid>
      <w:tr w:rsidR="0029751E" w14:paraId="0E6456A5" w14:textId="77777777" w:rsidTr="002F06B8">
        <w:trPr>
          <w:cnfStyle w:val="100000000000" w:firstRow="1" w:lastRow="0" w:firstColumn="0" w:lastColumn="0" w:oddVBand="0" w:evenVBand="0" w:oddHBand="0" w:evenHBand="0" w:firstRowFirstColumn="0" w:firstRowLastColumn="0" w:lastRowFirstColumn="0" w:lastRowLastColumn="0"/>
          <w:trHeight w:val="136"/>
        </w:trPr>
        <w:tc>
          <w:tcPr>
            <w:tcW w:w="874" w:type="pct"/>
            <w:hideMark/>
          </w:tcPr>
          <w:p w14:paraId="4FF8717A" w14:textId="77777777" w:rsidR="0029751E" w:rsidRPr="002F06B8" w:rsidRDefault="0029751E" w:rsidP="00AE492A">
            <w:pPr>
              <w:spacing w:after="0"/>
              <w:rPr>
                <w:rFonts w:cs="Arial"/>
                <w:b/>
                <w:color w:val="FFFFFF" w:themeColor="background1"/>
              </w:rPr>
            </w:pPr>
            <w:r w:rsidRPr="002F06B8">
              <w:rPr>
                <w:rFonts w:cs="Arial"/>
                <w:b/>
                <w:color w:val="FFFFFF" w:themeColor="background1"/>
              </w:rPr>
              <w:t>Aspect</w:t>
            </w:r>
          </w:p>
        </w:tc>
        <w:tc>
          <w:tcPr>
            <w:tcW w:w="1554" w:type="pct"/>
          </w:tcPr>
          <w:p w14:paraId="092635C2" w14:textId="77777777" w:rsidR="0029751E" w:rsidRPr="002F06B8" w:rsidRDefault="0029751E" w:rsidP="00AE492A">
            <w:pPr>
              <w:spacing w:after="0"/>
              <w:rPr>
                <w:rFonts w:cs="Arial"/>
                <w:b/>
                <w:color w:val="FFFFFF" w:themeColor="background1"/>
              </w:rPr>
            </w:pPr>
            <w:r w:rsidRPr="002F06B8">
              <w:rPr>
                <w:rFonts w:cs="Arial"/>
                <w:b/>
                <w:color w:val="FFFFFF" w:themeColor="background1"/>
              </w:rPr>
              <w:t>Criteria</w:t>
            </w:r>
          </w:p>
          <w:p w14:paraId="19E8FE30" w14:textId="77777777" w:rsidR="0029751E" w:rsidRPr="002F06B8" w:rsidRDefault="0029751E" w:rsidP="00AE492A">
            <w:pPr>
              <w:spacing w:after="0"/>
              <w:rPr>
                <w:rFonts w:cs="Arial"/>
                <w:b/>
                <w:color w:val="FFFFFF" w:themeColor="background1"/>
              </w:rPr>
            </w:pPr>
          </w:p>
          <w:p w14:paraId="1A6C3F72" w14:textId="77777777" w:rsidR="0029751E" w:rsidRPr="002F06B8" w:rsidRDefault="0029751E" w:rsidP="00AE492A">
            <w:pPr>
              <w:spacing w:after="0"/>
              <w:rPr>
                <w:rFonts w:cs="Arial"/>
                <w:b/>
                <w:color w:val="FFFFFF" w:themeColor="background1"/>
              </w:rPr>
            </w:pPr>
            <w:r w:rsidRPr="002F06B8">
              <w:rPr>
                <w:rFonts w:cs="Arial"/>
                <w:b/>
                <w:color w:val="FFFFFF" w:themeColor="background1"/>
              </w:rPr>
              <w:t>The extent to which…</w:t>
            </w:r>
          </w:p>
        </w:tc>
        <w:tc>
          <w:tcPr>
            <w:tcW w:w="2572" w:type="pct"/>
            <w:hideMark/>
          </w:tcPr>
          <w:p w14:paraId="45CAC13F" w14:textId="77777777" w:rsidR="0029751E" w:rsidRPr="002F06B8" w:rsidRDefault="0029751E" w:rsidP="00D4286D">
            <w:pPr>
              <w:spacing w:after="0"/>
              <w:rPr>
                <w:rFonts w:cs="Arial"/>
                <w:b/>
                <w:color w:val="FFFFFF" w:themeColor="background1"/>
              </w:rPr>
            </w:pPr>
            <w:r w:rsidRPr="002F06B8">
              <w:rPr>
                <w:rFonts w:cs="Arial"/>
                <w:b/>
                <w:color w:val="FFFFFF" w:themeColor="background1"/>
              </w:rPr>
              <w:t xml:space="preserve">Comments (to be </w:t>
            </w:r>
            <w:r w:rsidR="00D4286D" w:rsidRPr="002F06B8">
              <w:rPr>
                <w:rFonts w:cs="Arial"/>
                <w:b/>
                <w:color w:val="FFFFFF" w:themeColor="background1"/>
              </w:rPr>
              <w:t>reflected in</w:t>
            </w:r>
            <w:r w:rsidRPr="002F06B8">
              <w:rPr>
                <w:rFonts w:cs="Arial"/>
                <w:b/>
                <w:color w:val="FFFFFF" w:themeColor="background1"/>
              </w:rPr>
              <w:t xml:space="preserve"> </w:t>
            </w:r>
            <w:r w:rsidR="00D4286D" w:rsidRPr="002F06B8">
              <w:rPr>
                <w:rFonts w:cs="Arial"/>
                <w:b/>
                <w:color w:val="FFFFFF" w:themeColor="background1"/>
              </w:rPr>
              <w:t xml:space="preserve">Panel member </w:t>
            </w:r>
            <w:r w:rsidRPr="002F06B8">
              <w:rPr>
                <w:rFonts w:cs="Arial"/>
                <w:b/>
                <w:color w:val="FFFFFF" w:themeColor="background1"/>
              </w:rPr>
              <w:t>guidance)</w:t>
            </w:r>
            <w:r w:rsidR="00C274BF" w:rsidRPr="002F06B8">
              <w:rPr>
                <w:rFonts w:cs="Arial"/>
                <w:b/>
                <w:color w:val="FFFFFF" w:themeColor="background1"/>
              </w:rPr>
              <w:t xml:space="preserve"> </w:t>
            </w:r>
          </w:p>
        </w:tc>
      </w:tr>
      <w:tr w:rsidR="0029751E" w14:paraId="2BD4FD88" w14:textId="77777777" w:rsidTr="002F06B8">
        <w:trPr>
          <w:trHeight w:val="2148"/>
        </w:trPr>
        <w:tc>
          <w:tcPr>
            <w:tcW w:w="874" w:type="pct"/>
            <w:vMerge w:val="restart"/>
            <w:shd w:val="clear" w:color="auto" w:fill="DBE5F1" w:themeFill="accent1" w:themeFillTint="33"/>
            <w:hideMark/>
          </w:tcPr>
          <w:p w14:paraId="3A5CB9BB" w14:textId="77777777" w:rsidR="0029751E" w:rsidRDefault="0029751E" w:rsidP="000E7281">
            <w:pPr>
              <w:spacing w:line="280" w:lineRule="exact"/>
              <w:rPr>
                <w:rFonts w:cs="Arial"/>
                <w:b/>
              </w:rPr>
            </w:pPr>
            <w:r>
              <w:rPr>
                <w:rFonts w:cs="Arial"/>
                <w:b/>
              </w:rPr>
              <w:t>Teaching Quality</w:t>
            </w:r>
          </w:p>
        </w:tc>
        <w:tc>
          <w:tcPr>
            <w:tcW w:w="1554" w:type="pct"/>
            <w:hideMark/>
          </w:tcPr>
          <w:p w14:paraId="124E00D8" w14:textId="77777777" w:rsidR="0029751E" w:rsidRDefault="0029751E" w:rsidP="000E7281">
            <w:pPr>
              <w:spacing w:line="280" w:lineRule="exact"/>
              <w:rPr>
                <w:rFonts w:cs="Arial"/>
              </w:rPr>
            </w:pPr>
            <w:r>
              <w:rPr>
                <w:rFonts w:cs="Arial"/>
              </w:rPr>
              <w:t>Teaching provides effective stimulation and challenge and encourages students to engage</w:t>
            </w:r>
          </w:p>
        </w:tc>
        <w:tc>
          <w:tcPr>
            <w:tcW w:w="2572" w:type="pct"/>
            <w:hideMark/>
          </w:tcPr>
          <w:p w14:paraId="55832400" w14:textId="77777777" w:rsidR="0029751E" w:rsidRDefault="0029751E" w:rsidP="000E7281">
            <w:pPr>
              <w:spacing w:line="280" w:lineRule="exact"/>
              <w:rPr>
                <w:rFonts w:cs="Arial"/>
              </w:rPr>
            </w:pPr>
            <w:r>
              <w:rPr>
                <w:rFonts w:cs="Arial"/>
              </w:rPr>
              <w:t>Panel members will be looking for evidence that students report high levels of satisfaction with teaching and are sufficiently challenged and engaged.</w:t>
            </w:r>
          </w:p>
          <w:p w14:paraId="2309036C" w14:textId="77777777" w:rsidR="0029751E" w:rsidRDefault="0029751E" w:rsidP="00552B6D">
            <w:pPr>
              <w:spacing w:after="0" w:line="280" w:lineRule="exact"/>
              <w:rPr>
                <w:rFonts w:cs="Arial"/>
              </w:rPr>
            </w:pPr>
            <w:r>
              <w:rPr>
                <w:rFonts w:cs="Arial"/>
              </w:rPr>
              <w:t xml:space="preserve">Evidence might include results of student satisfaction and engagement surveys (beyond the core metrics), collection and use of students’ feedback, and teaching observation schemes. </w:t>
            </w:r>
            <w:r w:rsidR="00BD6CDF">
              <w:rPr>
                <w:rFonts w:cs="Arial"/>
              </w:rPr>
              <w:t xml:space="preserve">How effectively </w:t>
            </w:r>
            <w:r w:rsidR="00631D5D">
              <w:rPr>
                <w:rFonts w:cs="Arial"/>
              </w:rPr>
              <w:t>a provider</w:t>
            </w:r>
            <w:r w:rsidR="00BD6CDF">
              <w:rPr>
                <w:rFonts w:cs="Arial"/>
              </w:rPr>
              <w:t xml:space="preserve"> uses innovative or creative approaches could </w:t>
            </w:r>
            <w:r>
              <w:rPr>
                <w:rFonts w:cs="Arial"/>
              </w:rPr>
              <w:t>also be</w:t>
            </w:r>
            <w:r w:rsidR="00BD6CDF">
              <w:rPr>
                <w:rFonts w:cs="Arial"/>
              </w:rPr>
              <w:t xml:space="preserve"> a</w:t>
            </w:r>
            <w:r>
              <w:rPr>
                <w:rFonts w:cs="Arial"/>
              </w:rPr>
              <w:t xml:space="preserve"> </w:t>
            </w:r>
            <w:r w:rsidR="00BD6CDF">
              <w:rPr>
                <w:rFonts w:cs="Arial"/>
              </w:rPr>
              <w:t>feature</w:t>
            </w:r>
            <w:r>
              <w:rPr>
                <w:rFonts w:cs="Arial"/>
              </w:rPr>
              <w:t>.</w:t>
            </w:r>
          </w:p>
        </w:tc>
      </w:tr>
      <w:tr w:rsidR="0029751E" w14:paraId="473392E5" w14:textId="77777777" w:rsidTr="002F06B8">
        <w:trPr>
          <w:trHeight w:val="1266"/>
        </w:trPr>
        <w:tc>
          <w:tcPr>
            <w:tcW w:w="874" w:type="pct"/>
            <w:vMerge/>
            <w:shd w:val="clear" w:color="auto" w:fill="DBE5F1" w:themeFill="accent1" w:themeFillTint="33"/>
            <w:hideMark/>
          </w:tcPr>
          <w:p w14:paraId="250F2632" w14:textId="77777777" w:rsidR="0029751E" w:rsidRDefault="0029751E" w:rsidP="000E7281">
            <w:pPr>
              <w:spacing w:after="0" w:line="276" w:lineRule="auto"/>
              <w:rPr>
                <w:rFonts w:cs="Arial"/>
                <w:b/>
              </w:rPr>
            </w:pPr>
          </w:p>
        </w:tc>
        <w:tc>
          <w:tcPr>
            <w:tcW w:w="1554" w:type="pct"/>
          </w:tcPr>
          <w:p w14:paraId="51391332" w14:textId="77777777" w:rsidR="0029751E" w:rsidRDefault="0029751E" w:rsidP="000E7281">
            <w:pPr>
              <w:spacing w:line="280" w:lineRule="exact"/>
              <w:rPr>
                <w:rFonts w:cs="Arial"/>
              </w:rPr>
            </w:pPr>
            <w:r>
              <w:rPr>
                <w:rFonts w:cs="Arial"/>
              </w:rPr>
              <w:t>Institutional culture recognises and rewards excellent teaching</w:t>
            </w:r>
          </w:p>
          <w:p w14:paraId="15A24680" w14:textId="77777777" w:rsidR="0029751E" w:rsidRDefault="0029751E" w:rsidP="000E7281">
            <w:pPr>
              <w:spacing w:line="280" w:lineRule="exact"/>
              <w:rPr>
                <w:rFonts w:cs="Arial"/>
              </w:rPr>
            </w:pPr>
          </w:p>
        </w:tc>
        <w:tc>
          <w:tcPr>
            <w:tcW w:w="2572" w:type="pct"/>
            <w:hideMark/>
          </w:tcPr>
          <w:p w14:paraId="0D774E1B" w14:textId="77777777" w:rsidR="0029751E" w:rsidRDefault="0029751E" w:rsidP="000E7281">
            <w:pPr>
              <w:spacing w:line="280" w:lineRule="exact"/>
              <w:rPr>
                <w:rFonts w:cs="Arial"/>
              </w:rPr>
            </w:pPr>
            <w:r>
              <w:rPr>
                <w:rFonts w:cs="Arial"/>
              </w:rPr>
              <w:t xml:space="preserve">Panel members will be looking for evidence that the leadership, strategy and ethos </w:t>
            </w:r>
            <w:proofErr w:type="gramStart"/>
            <w:r>
              <w:rPr>
                <w:rFonts w:cs="Arial"/>
              </w:rPr>
              <w:t>promotes</w:t>
            </w:r>
            <w:proofErr w:type="gramEnd"/>
            <w:r>
              <w:rPr>
                <w:rFonts w:cs="Arial"/>
              </w:rPr>
              <w:t xml:space="preserve"> and values teaching excellence. </w:t>
            </w:r>
          </w:p>
          <w:p w14:paraId="34FC1EBA" w14:textId="77777777" w:rsidR="0029751E" w:rsidRDefault="0029751E" w:rsidP="00552B6D">
            <w:pPr>
              <w:spacing w:after="0" w:line="280" w:lineRule="exact"/>
              <w:rPr>
                <w:rFonts w:cs="Arial"/>
              </w:rPr>
            </w:pPr>
            <w:r>
              <w:rPr>
                <w:rFonts w:cs="Arial"/>
              </w:rPr>
              <w:t xml:space="preserve">Evidence might include initial and continuing professional development for teaching and academic support staff, reward and </w:t>
            </w:r>
            <w:r>
              <w:rPr>
                <w:rFonts w:cs="Arial"/>
              </w:rPr>
              <w:lastRenderedPageBreak/>
              <w:t>recognition, promotion and progression opportunities, and</w:t>
            </w:r>
            <w:r w:rsidR="00A2778F">
              <w:rPr>
                <w:rFonts w:cs="Arial"/>
              </w:rPr>
              <w:t xml:space="preserve"> the</w:t>
            </w:r>
            <w:r>
              <w:rPr>
                <w:rFonts w:cs="Arial"/>
              </w:rPr>
              <w:t xml:space="preserve"> level of </w:t>
            </w:r>
            <w:r w:rsidR="00A2778F">
              <w:rPr>
                <w:rFonts w:cs="Arial"/>
              </w:rPr>
              <w:t>experience and contrac</w:t>
            </w:r>
            <w:r w:rsidR="00D93743">
              <w:rPr>
                <w:rFonts w:cs="Arial"/>
              </w:rPr>
              <w:t>tual status</w:t>
            </w:r>
            <w:r w:rsidR="00A2778F">
              <w:rPr>
                <w:rFonts w:cs="Arial"/>
              </w:rPr>
              <w:t xml:space="preserve"> of </w:t>
            </w:r>
            <w:r>
              <w:rPr>
                <w:rFonts w:cs="Arial"/>
              </w:rPr>
              <w:t xml:space="preserve">staff involved in teaching. </w:t>
            </w:r>
          </w:p>
        </w:tc>
      </w:tr>
      <w:tr w:rsidR="0029751E" w14:paraId="78DFFFD5" w14:textId="77777777" w:rsidTr="002F06B8">
        <w:trPr>
          <w:trHeight w:val="136"/>
        </w:trPr>
        <w:tc>
          <w:tcPr>
            <w:tcW w:w="874" w:type="pct"/>
            <w:vMerge/>
            <w:shd w:val="clear" w:color="auto" w:fill="DBE5F1" w:themeFill="accent1" w:themeFillTint="33"/>
            <w:hideMark/>
          </w:tcPr>
          <w:p w14:paraId="2097466B" w14:textId="77777777" w:rsidR="0029751E" w:rsidRDefault="0029751E" w:rsidP="000E7281">
            <w:pPr>
              <w:spacing w:after="0" w:line="276" w:lineRule="auto"/>
              <w:rPr>
                <w:rFonts w:cs="Arial"/>
                <w:b/>
              </w:rPr>
            </w:pPr>
          </w:p>
        </w:tc>
        <w:tc>
          <w:tcPr>
            <w:tcW w:w="1554" w:type="pct"/>
            <w:hideMark/>
          </w:tcPr>
          <w:p w14:paraId="66752793" w14:textId="17988557" w:rsidR="0029751E" w:rsidRDefault="0029751E" w:rsidP="00727518">
            <w:pPr>
              <w:spacing w:line="280" w:lineRule="exact"/>
              <w:rPr>
                <w:rFonts w:cs="Arial"/>
              </w:rPr>
            </w:pPr>
            <w:r>
              <w:rPr>
                <w:rFonts w:cs="Arial"/>
              </w:rPr>
              <w:t>Course design</w:t>
            </w:r>
            <w:r w:rsidR="00A2778F">
              <w:rPr>
                <w:rFonts w:cs="Arial"/>
              </w:rPr>
              <w:t>,</w:t>
            </w:r>
            <w:r>
              <w:rPr>
                <w:rFonts w:cs="Arial"/>
              </w:rPr>
              <w:t xml:space="preserve"> development</w:t>
            </w:r>
            <w:r w:rsidR="00DB1A33">
              <w:rPr>
                <w:rFonts w:cs="Arial"/>
              </w:rPr>
              <w:t>, standards</w:t>
            </w:r>
            <w:r w:rsidR="00727518">
              <w:rPr>
                <w:rFonts w:cs="Arial"/>
              </w:rPr>
              <w:t xml:space="preserve"> </w:t>
            </w:r>
            <w:r>
              <w:rPr>
                <w:rFonts w:cs="Arial"/>
              </w:rPr>
              <w:t xml:space="preserve">and assessment are effective in stretching students to develop knowledge, skills and attributes that reflect their full potential </w:t>
            </w:r>
          </w:p>
        </w:tc>
        <w:tc>
          <w:tcPr>
            <w:tcW w:w="2572" w:type="pct"/>
            <w:hideMark/>
          </w:tcPr>
          <w:p w14:paraId="377C0ECA" w14:textId="77777777" w:rsidR="0029751E" w:rsidRDefault="0029751E" w:rsidP="000E7281">
            <w:pPr>
              <w:spacing w:line="280" w:lineRule="exact"/>
              <w:rPr>
                <w:rFonts w:cs="Arial"/>
              </w:rPr>
            </w:pPr>
            <w:r>
              <w:rPr>
                <w:rFonts w:cs="Arial"/>
              </w:rPr>
              <w:t>Panel members will be looking for evidence that course design and development presents a sufficient degree of challenge and allows for the development of knowledge, skills and attributes at</w:t>
            </w:r>
            <w:r w:rsidR="00BD6CDF">
              <w:rPr>
                <w:rFonts w:cs="Arial"/>
              </w:rPr>
              <w:t xml:space="preserve"> a high </w:t>
            </w:r>
            <w:r>
              <w:rPr>
                <w:rFonts w:cs="Arial"/>
              </w:rPr>
              <w:t xml:space="preserve">level. </w:t>
            </w:r>
          </w:p>
          <w:p w14:paraId="2D5033CD" w14:textId="77777777" w:rsidR="005D2102" w:rsidRDefault="0029751E" w:rsidP="000E7281">
            <w:pPr>
              <w:spacing w:line="280" w:lineRule="exact"/>
              <w:rPr>
                <w:rFonts w:cs="Arial"/>
              </w:rPr>
            </w:pPr>
            <w:r>
              <w:rPr>
                <w:rFonts w:cs="Arial"/>
              </w:rPr>
              <w:t>Evidence might include results of student satisfaction surveys (beyond the core metrics), feedback from external examiners and professional accreditation. It may also include evidence of appropriate levels of contact time and independent study, and weighted measures of teaching class size</w:t>
            </w:r>
            <w:r w:rsidR="00351603">
              <w:rPr>
                <w:rFonts w:cs="Arial"/>
              </w:rPr>
              <w:t>,</w:t>
            </w:r>
            <w:r>
              <w:rPr>
                <w:rFonts w:cs="Arial"/>
              </w:rPr>
              <w:t xml:space="preserve"> as well as how the institution is monitoring and, where appropriate, addressing grade inflation. </w:t>
            </w:r>
          </w:p>
        </w:tc>
      </w:tr>
      <w:tr w:rsidR="0029751E" w14:paraId="3A91E849" w14:textId="77777777" w:rsidTr="002F06B8">
        <w:trPr>
          <w:trHeight w:val="2972"/>
        </w:trPr>
        <w:tc>
          <w:tcPr>
            <w:tcW w:w="874" w:type="pct"/>
            <w:vMerge/>
            <w:shd w:val="clear" w:color="auto" w:fill="DBE5F1" w:themeFill="accent1" w:themeFillTint="33"/>
            <w:hideMark/>
          </w:tcPr>
          <w:p w14:paraId="44668FB5" w14:textId="77777777" w:rsidR="0029751E" w:rsidRDefault="0029751E" w:rsidP="000E7281">
            <w:pPr>
              <w:spacing w:after="0" w:line="276" w:lineRule="auto"/>
              <w:rPr>
                <w:rFonts w:cs="Arial"/>
                <w:b/>
              </w:rPr>
            </w:pPr>
          </w:p>
        </w:tc>
        <w:tc>
          <w:tcPr>
            <w:tcW w:w="1554" w:type="pct"/>
            <w:hideMark/>
          </w:tcPr>
          <w:p w14:paraId="2DA3DA03" w14:textId="77777777" w:rsidR="0029751E" w:rsidRDefault="0029751E" w:rsidP="000E7281">
            <w:pPr>
              <w:spacing w:line="280" w:lineRule="exact"/>
              <w:rPr>
                <w:rFonts w:cs="Arial"/>
              </w:rPr>
            </w:pPr>
            <w:r>
              <w:rPr>
                <w:rFonts w:cs="Arial"/>
              </w:rPr>
              <w:t>A</w:t>
            </w:r>
            <w:r w:rsidR="00727F69">
              <w:rPr>
                <w:rFonts w:cs="Arial"/>
              </w:rPr>
              <w:t xml:space="preserve">ssessment and feedback </w:t>
            </w:r>
            <w:r w:rsidR="00D75448">
              <w:rPr>
                <w:rFonts w:cs="Arial"/>
              </w:rPr>
              <w:t>are</w:t>
            </w:r>
            <w:r w:rsidR="00727F69">
              <w:rPr>
                <w:rFonts w:cs="Arial"/>
              </w:rPr>
              <w:t xml:space="preserve"> used </w:t>
            </w:r>
            <w:r>
              <w:rPr>
                <w:rFonts w:cs="Arial"/>
              </w:rPr>
              <w:t xml:space="preserve">effectively in supporting students’ development, progression and attainment </w:t>
            </w:r>
          </w:p>
        </w:tc>
        <w:tc>
          <w:tcPr>
            <w:tcW w:w="2572" w:type="pct"/>
            <w:hideMark/>
          </w:tcPr>
          <w:p w14:paraId="01EF74F8" w14:textId="77777777" w:rsidR="0029751E" w:rsidRDefault="0029751E" w:rsidP="000E7281">
            <w:pPr>
              <w:spacing w:line="280" w:lineRule="exact"/>
              <w:rPr>
                <w:rFonts w:cs="Arial"/>
              </w:rPr>
            </w:pPr>
            <w:r>
              <w:rPr>
                <w:rFonts w:cs="Arial"/>
              </w:rPr>
              <w:t xml:space="preserve">Panel members will be looking for evidence that all students receive feedback on assessed work which is effective in enhancing their learning. </w:t>
            </w:r>
          </w:p>
          <w:p w14:paraId="5A66F355" w14:textId="77777777" w:rsidR="0029751E" w:rsidRDefault="0029751E" w:rsidP="00552B6D">
            <w:pPr>
              <w:spacing w:after="0" w:line="280" w:lineRule="exact"/>
              <w:rPr>
                <w:rFonts w:cs="Arial"/>
              </w:rPr>
            </w:pPr>
            <w:r>
              <w:rPr>
                <w:rFonts w:cs="Arial"/>
              </w:rPr>
              <w:t xml:space="preserve">Evidence may include the impact and effectiveness of assessment and feedback practices on students’ progression and attainment, which is likely to reflect factors such as timeliness and accessibility. </w:t>
            </w:r>
          </w:p>
        </w:tc>
      </w:tr>
      <w:tr w:rsidR="0029751E" w14:paraId="737E786F" w14:textId="77777777" w:rsidTr="002F06B8">
        <w:trPr>
          <w:trHeight w:val="3256"/>
        </w:trPr>
        <w:tc>
          <w:tcPr>
            <w:tcW w:w="874" w:type="pct"/>
            <w:vMerge w:val="restart"/>
            <w:shd w:val="clear" w:color="auto" w:fill="E5DFEC" w:themeFill="accent4" w:themeFillTint="33"/>
            <w:hideMark/>
          </w:tcPr>
          <w:p w14:paraId="0A89124A" w14:textId="77777777" w:rsidR="0029751E" w:rsidRDefault="0029751E" w:rsidP="000E7281">
            <w:pPr>
              <w:spacing w:line="280" w:lineRule="exact"/>
              <w:rPr>
                <w:rFonts w:cs="Arial"/>
                <w:b/>
              </w:rPr>
            </w:pPr>
            <w:r>
              <w:rPr>
                <w:rFonts w:cs="Arial"/>
                <w:b/>
              </w:rPr>
              <w:lastRenderedPageBreak/>
              <w:t>Learning Environment</w:t>
            </w:r>
          </w:p>
        </w:tc>
        <w:tc>
          <w:tcPr>
            <w:tcW w:w="1554" w:type="pct"/>
            <w:hideMark/>
          </w:tcPr>
          <w:p w14:paraId="478F4539" w14:textId="77777777" w:rsidR="0029751E" w:rsidRPr="00A83ED7" w:rsidRDefault="0029751E" w:rsidP="00727F69">
            <w:pPr>
              <w:pStyle w:val="Default"/>
              <w:spacing w:after="231" w:line="280" w:lineRule="exact"/>
            </w:pPr>
            <w:r w:rsidRPr="00A83ED7">
              <w:t>The effectiveness of resources designed to support students’ learning</w:t>
            </w:r>
            <w:r w:rsidR="00727F69">
              <w:t xml:space="preserve"> </w:t>
            </w:r>
            <w:r w:rsidRPr="00A83ED7">
              <w:t>and aid the development of independent study and research skills</w:t>
            </w:r>
          </w:p>
        </w:tc>
        <w:tc>
          <w:tcPr>
            <w:tcW w:w="2572" w:type="pct"/>
            <w:hideMark/>
          </w:tcPr>
          <w:p w14:paraId="5E5F7937" w14:textId="77777777" w:rsidR="0029751E" w:rsidRDefault="0029751E" w:rsidP="000E7281">
            <w:pPr>
              <w:spacing w:line="280" w:lineRule="exact"/>
              <w:rPr>
                <w:rFonts w:cs="Arial"/>
              </w:rPr>
            </w:pPr>
            <w:r>
              <w:rPr>
                <w:rFonts w:cs="Arial"/>
              </w:rPr>
              <w:t>Panel members will be looking for evidence that resources (both physical and virtual</w:t>
            </w:r>
            <w:r w:rsidR="00631D5D">
              <w:rPr>
                <w:rFonts w:cs="Arial"/>
              </w:rPr>
              <w:t>,</w:t>
            </w:r>
            <w:r>
              <w:rPr>
                <w:rFonts w:cs="Arial"/>
              </w:rPr>
              <w:t xml:space="preserve"> and in-curricular and extra-curricular) are effective in supporting students’ learning</w:t>
            </w:r>
            <w:r w:rsidR="009340B5">
              <w:rPr>
                <w:rFonts w:cs="Arial"/>
              </w:rPr>
              <w:t>.</w:t>
            </w:r>
          </w:p>
          <w:p w14:paraId="0FBA2733" w14:textId="77777777" w:rsidR="0029751E" w:rsidRDefault="0029751E" w:rsidP="00552B6D">
            <w:pPr>
              <w:spacing w:after="0" w:line="280" w:lineRule="exact"/>
              <w:rPr>
                <w:rFonts w:cs="Arial"/>
              </w:rPr>
            </w:pPr>
            <w:r>
              <w:rPr>
                <w:rFonts w:cs="Arial"/>
              </w:rPr>
              <w:t xml:space="preserve">Evidence may include use of student feedback to identify initiatives and interventions that have been found to be effective </w:t>
            </w:r>
            <w:r w:rsidR="00631D5D">
              <w:rPr>
                <w:rFonts w:cs="Arial"/>
              </w:rPr>
              <w:t xml:space="preserve">and </w:t>
            </w:r>
            <w:r w:rsidR="00BD6CDF">
              <w:rPr>
                <w:rFonts w:cs="Arial"/>
              </w:rPr>
              <w:t>student feedback on the quality of the facilities</w:t>
            </w:r>
            <w:r w:rsidR="008F34A5">
              <w:rPr>
                <w:rFonts w:cs="Arial"/>
              </w:rPr>
              <w:t xml:space="preserve"> (both virtual and physical)</w:t>
            </w:r>
            <w:r>
              <w:rPr>
                <w:rFonts w:cs="Arial"/>
              </w:rPr>
              <w:t xml:space="preserve">. </w:t>
            </w:r>
          </w:p>
        </w:tc>
      </w:tr>
      <w:tr w:rsidR="0029751E" w14:paraId="20576F54" w14:textId="77777777" w:rsidTr="002F06B8">
        <w:trPr>
          <w:trHeight w:val="136"/>
        </w:trPr>
        <w:tc>
          <w:tcPr>
            <w:tcW w:w="874" w:type="pct"/>
            <w:vMerge/>
            <w:shd w:val="clear" w:color="auto" w:fill="E5DFEC" w:themeFill="accent4" w:themeFillTint="33"/>
          </w:tcPr>
          <w:p w14:paraId="55DF4145" w14:textId="77777777" w:rsidR="0029751E" w:rsidRDefault="0029751E" w:rsidP="000E7281">
            <w:pPr>
              <w:spacing w:line="280" w:lineRule="exact"/>
              <w:rPr>
                <w:rFonts w:cs="Arial"/>
              </w:rPr>
            </w:pPr>
          </w:p>
        </w:tc>
        <w:tc>
          <w:tcPr>
            <w:tcW w:w="1554" w:type="pct"/>
            <w:hideMark/>
          </w:tcPr>
          <w:p w14:paraId="70D7D326" w14:textId="77777777" w:rsidR="0029751E" w:rsidRDefault="0029751E" w:rsidP="000E7281">
            <w:pPr>
              <w:spacing w:line="280" w:lineRule="exact"/>
              <w:rPr>
                <w:rFonts w:cs="Arial"/>
              </w:rPr>
            </w:pPr>
            <w:r>
              <w:rPr>
                <w:rFonts w:cs="Arial"/>
              </w:rPr>
              <w:t>The learning environment is enriched by linkages between teaching and scholarship, research or professional practice</w:t>
            </w:r>
          </w:p>
        </w:tc>
        <w:tc>
          <w:tcPr>
            <w:tcW w:w="2572" w:type="pct"/>
            <w:hideMark/>
          </w:tcPr>
          <w:p w14:paraId="22CC45E7" w14:textId="77777777" w:rsidR="0029751E" w:rsidRDefault="0029751E" w:rsidP="000E7281">
            <w:pPr>
              <w:spacing w:line="280" w:lineRule="exact"/>
              <w:rPr>
                <w:rFonts w:cs="Arial"/>
              </w:rPr>
            </w:pPr>
            <w:r>
              <w:rPr>
                <w:rFonts w:cs="Arial"/>
              </w:rPr>
              <w:t xml:space="preserve">Panel members will be looking for evidence that the </w:t>
            </w:r>
            <w:r w:rsidR="00D75448">
              <w:rPr>
                <w:rFonts w:cs="Arial"/>
              </w:rPr>
              <w:t xml:space="preserve">provider </w:t>
            </w:r>
            <w:r>
              <w:rPr>
                <w:rFonts w:cs="Arial"/>
              </w:rPr>
              <w:t xml:space="preserve">identifies and makes use of links between teaching and scholarship, research or professional </w:t>
            </w:r>
            <w:r w:rsidR="006A3C8B">
              <w:rPr>
                <w:rFonts w:cs="Arial"/>
              </w:rPr>
              <w:t>practice (one or more) in a way</w:t>
            </w:r>
            <w:r>
              <w:rPr>
                <w:rFonts w:cs="Arial"/>
              </w:rPr>
              <w:t xml:space="preserve"> that impact</w:t>
            </w:r>
            <w:r w:rsidR="006A3C8B">
              <w:rPr>
                <w:rFonts w:cs="Arial"/>
              </w:rPr>
              <w:t>s</w:t>
            </w:r>
            <w:r>
              <w:rPr>
                <w:rFonts w:cs="Arial"/>
              </w:rPr>
              <w:t xml:space="preserve"> positively on students’ academic experiences. </w:t>
            </w:r>
          </w:p>
          <w:p w14:paraId="11A27461" w14:textId="77777777" w:rsidR="0029751E" w:rsidRDefault="0029751E" w:rsidP="00552B6D">
            <w:pPr>
              <w:spacing w:after="0" w:line="280" w:lineRule="exact"/>
              <w:rPr>
                <w:rFonts w:cs="Arial"/>
              </w:rPr>
            </w:pPr>
            <w:r>
              <w:rPr>
                <w:rFonts w:cs="Arial"/>
              </w:rPr>
              <w:t>Evidence may include course validation and review that reflects the latest developments in one or more of the domains identified, use of external consultants from</w:t>
            </w:r>
            <w:r w:rsidR="009340B5">
              <w:rPr>
                <w:rFonts w:cs="Arial"/>
              </w:rPr>
              <w:t xml:space="preserve"> business,</w:t>
            </w:r>
            <w:r>
              <w:rPr>
                <w:rFonts w:cs="Arial"/>
              </w:rPr>
              <w:t xml:space="preserve"> industry or the professions, work placements or work experience, </w:t>
            </w:r>
            <w:r w:rsidR="003C16B3">
              <w:rPr>
                <w:rFonts w:cs="Arial"/>
              </w:rPr>
              <w:t xml:space="preserve">involvement of </w:t>
            </w:r>
            <w:r>
              <w:rPr>
                <w:rFonts w:cs="Arial"/>
              </w:rPr>
              <w:t xml:space="preserve">staff who teach </w:t>
            </w:r>
            <w:r w:rsidR="003C16B3">
              <w:rPr>
                <w:rFonts w:cs="Arial"/>
              </w:rPr>
              <w:t xml:space="preserve">in </w:t>
            </w:r>
            <w:r>
              <w:rPr>
                <w:rFonts w:cs="Arial"/>
              </w:rPr>
              <w:t>research</w:t>
            </w:r>
            <w:r w:rsidR="003C16B3">
              <w:rPr>
                <w:rFonts w:cs="Arial"/>
              </w:rPr>
              <w:t>,</w:t>
            </w:r>
            <w:r w:rsidR="004B4708">
              <w:rPr>
                <w:rFonts w:cs="Arial"/>
              </w:rPr>
              <w:t xml:space="preserve"> </w:t>
            </w:r>
            <w:r>
              <w:rPr>
                <w:rFonts w:cs="Arial"/>
              </w:rPr>
              <w:t>scholarship</w:t>
            </w:r>
            <w:r w:rsidR="003C16B3">
              <w:rPr>
                <w:rFonts w:cs="Arial"/>
              </w:rPr>
              <w:t xml:space="preserve"> or professional practice,</w:t>
            </w:r>
            <w:r>
              <w:rPr>
                <w:rFonts w:cs="Arial"/>
              </w:rPr>
              <w:t xml:space="preserve"> and involvement of students in real research projects.</w:t>
            </w:r>
          </w:p>
        </w:tc>
      </w:tr>
      <w:tr w:rsidR="0029751E" w14:paraId="1517F221" w14:textId="77777777" w:rsidTr="002F06B8">
        <w:trPr>
          <w:trHeight w:val="136"/>
        </w:trPr>
        <w:tc>
          <w:tcPr>
            <w:tcW w:w="874" w:type="pct"/>
            <w:vMerge/>
            <w:shd w:val="clear" w:color="auto" w:fill="E5DFEC" w:themeFill="accent4" w:themeFillTint="33"/>
          </w:tcPr>
          <w:p w14:paraId="5556A4EF" w14:textId="77777777" w:rsidR="0029751E" w:rsidRPr="00EE1771" w:rsidRDefault="0029751E" w:rsidP="000E7281">
            <w:pPr>
              <w:spacing w:line="280" w:lineRule="exact"/>
              <w:rPr>
                <w:rFonts w:cs="Arial"/>
              </w:rPr>
            </w:pPr>
          </w:p>
        </w:tc>
        <w:tc>
          <w:tcPr>
            <w:tcW w:w="1554" w:type="pct"/>
          </w:tcPr>
          <w:p w14:paraId="7802403C" w14:textId="77777777" w:rsidR="0029751E" w:rsidRPr="00EE1771" w:rsidRDefault="0029751E" w:rsidP="000E7281">
            <w:pPr>
              <w:pStyle w:val="Default"/>
              <w:spacing w:after="231" w:line="280" w:lineRule="exact"/>
            </w:pPr>
            <w:r w:rsidRPr="00EE1771">
              <w:t>Students’ academic experiences are tailored to the individual</w:t>
            </w:r>
            <w:r w:rsidR="009340B5">
              <w:t xml:space="preserve">, maximising rates of </w:t>
            </w:r>
            <w:r w:rsidR="00291F4C">
              <w:t xml:space="preserve">retention </w:t>
            </w:r>
          </w:p>
          <w:p w14:paraId="09672EB8" w14:textId="77777777" w:rsidR="0029751E" w:rsidRPr="00EE1771" w:rsidRDefault="0029751E" w:rsidP="000E7281">
            <w:pPr>
              <w:spacing w:line="280" w:lineRule="exact"/>
              <w:rPr>
                <w:rFonts w:cs="Arial"/>
              </w:rPr>
            </w:pPr>
          </w:p>
        </w:tc>
        <w:tc>
          <w:tcPr>
            <w:tcW w:w="2572" w:type="pct"/>
            <w:hideMark/>
          </w:tcPr>
          <w:p w14:paraId="5677F221" w14:textId="15719C73" w:rsidR="0029751E" w:rsidRDefault="0029751E" w:rsidP="000E7281">
            <w:pPr>
              <w:spacing w:line="280" w:lineRule="exact"/>
              <w:rPr>
                <w:rFonts w:cs="Arial"/>
              </w:rPr>
            </w:pPr>
            <w:r>
              <w:rPr>
                <w:rFonts w:cs="Arial"/>
              </w:rPr>
              <w:t xml:space="preserve">Panel members will be looking for evidence that the environment and support provided allows all students to feel that their individual learning needs are recognised, understood and </w:t>
            </w:r>
            <w:proofErr w:type="gramStart"/>
            <w:r>
              <w:rPr>
                <w:rFonts w:cs="Arial"/>
              </w:rPr>
              <w:t>met</w:t>
            </w:r>
            <w:r w:rsidR="00727F69">
              <w:rPr>
                <w:rFonts w:cs="Arial"/>
              </w:rPr>
              <w:t>,</w:t>
            </w:r>
            <w:proofErr w:type="gramEnd"/>
            <w:r w:rsidR="00727F69">
              <w:rPr>
                <w:rFonts w:cs="Arial"/>
              </w:rPr>
              <w:t xml:space="preserve"> reflected in rates of </w:t>
            </w:r>
            <w:r w:rsidR="00291F4C">
              <w:rPr>
                <w:rFonts w:cs="Arial"/>
              </w:rPr>
              <w:t>retention</w:t>
            </w:r>
            <w:r>
              <w:rPr>
                <w:rFonts w:cs="Arial"/>
              </w:rPr>
              <w:t>. This may be characterised by mutually beneficial interaction between students and teaching or academic support staff.</w:t>
            </w:r>
          </w:p>
          <w:p w14:paraId="428B9F73" w14:textId="77777777" w:rsidR="0029751E" w:rsidRDefault="0029751E" w:rsidP="00552B6D">
            <w:pPr>
              <w:spacing w:after="0" w:line="280" w:lineRule="exact"/>
              <w:rPr>
                <w:rFonts w:cs="Arial"/>
              </w:rPr>
            </w:pPr>
            <w:r>
              <w:rPr>
                <w:rFonts w:cs="Arial"/>
              </w:rPr>
              <w:t>Evidence may include effective use of academic induction, individualised feedback on assessed work, opportunities for student to student interaction, use of learner analytics, and use of personal development planning.</w:t>
            </w:r>
          </w:p>
          <w:p w14:paraId="5290B90C" w14:textId="0F491CF5" w:rsidR="002F06B8" w:rsidRDefault="002F06B8" w:rsidP="00552B6D">
            <w:pPr>
              <w:spacing w:after="0" w:line="280" w:lineRule="exact"/>
              <w:rPr>
                <w:rFonts w:cs="Arial"/>
              </w:rPr>
            </w:pPr>
          </w:p>
        </w:tc>
      </w:tr>
      <w:tr w:rsidR="0029751E" w14:paraId="63515097" w14:textId="77777777" w:rsidTr="002F06B8">
        <w:trPr>
          <w:trHeight w:val="136"/>
        </w:trPr>
        <w:tc>
          <w:tcPr>
            <w:tcW w:w="874" w:type="pct"/>
            <w:vMerge w:val="restart"/>
            <w:shd w:val="clear" w:color="auto" w:fill="DAEEF3" w:themeFill="accent5" w:themeFillTint="33"/>
            <w:hideMark/>
          </w:tcPr>
          <w:p w14:paraId="52B09DA0" w14:textId="77777777" w:rsidR="0029751E" w:rsidRDefault="0029751E" w:rsidP="000E7281">
            <w:pPr>
              <w:spacing w:line="280" w:lineRule="exact"/>
              <w:rPr>
                <w:rFonts w:cs="Arial"/>
                <w:b/>
              </w:rPr>
            </w:pPr>
            <w:r>
              <w:rPr>
                <w:rFonts w:cs="Arial"/>
                <w:b/>
              </w:rPr>
              <w:lastRenderedPageBreak/>
              <w:t>Student Outcomes and Learning Gain</w:t>
            </w:r>
          </w:p>
        </w:tc>
        <w:tc>
          <w:tcPr>
            <w:tcW w:w="1554" w:type="pct"/>
            <w:hideMark/>
          </w:tcPr>
          <w:p w14:paraId="5C9BE175" w14:textId="77777777" w:rsidR="0029751E" w:rsidRDefault="0029751E" w:rsidP="000E7281">
            <w:pPr>
              <w:spacing w:line="280" w:lineRule="exact"/>
              <w:rPr>
                <w:rFonts w:cs="Arial"/>
              </w:rPr>
            </w:pPr>
            <w:r>
              <w:rPr>
                <w:rFonts w:cs="Arial"/>
              </w:rPr>
              <w:t>Students achieve their educational and professional goals, including progression to further study or employment</w:t>
            </w:r>
          </w:p>
        </w:tc>
        <w:tc>
          <w:tcPr>
            <w:tcW w:w="2572" w:type="pct"/>
            <w:hideMark/>
          </w:tcPr>
          <w:p w14:paraId="632539A4" w14:textId="617F4D7C" w:rsidR="0029751E" w:rsidRDefault="0029751E" w:rsidP="000E7281">
            <w:pPr>
              <w:spacing w:line="280" w:lineRule="exact"/>
              <w:rPr>
                <w:rFonts w:cs="Arial"/>
              </w:rPr>
            </w:pPr>
            <w:r>
              <w:rPr>
                <w:rFonts w:cs="Arial"/>
              </w:rPr>
              <w:t>Panel members will be looking for evidence that graduates are equipped with the sorts of knowledge, skills and attributes that allow them to progress successfully to further study or employment</w:t>
            </w:r>
            <w:r w:rsidR="002946F5">
              <w:rPr>
                <w:rFonts w:cs="Arial"/>
              </w:rPr>
              <w:t xml:space="preserve"> (particularly highly skilled employment)</w:t>
            </w:r>
            <w:r>
              <w:rPr>
                <w:rFonts w:cs="Arial"/>
              </w:rPr>
              <w:t>.</w:t>
            </w:r>
          </w:p>
          <w:p w14:paraId="26213740" w14:textId="77777777" w:rsidR="0029751E" w:rsidRDefault="0029751E" w:rsidP="00552B6D">
            <w:pPr>
              <w:spacing w:after="0" w:line="280" w:lineRule="exact"/>
              <w:rPr>
                <w:rFonts w:cs="Arial"/>
              </w:rPr>
            </w:pPr>
            <w:r>
              <w:rPr>
                <w:rFonts w:cs="Arial"/>
              </w:rPr>
              <w:t>Evidence is likely to include employment outcomes and progression to further study.</w:t>
            </w:r>
          </w:p>
        </w:tc>
      </w:tr>
      <w:tr w:rsidR="0029751E" w14:paraId="3A9CA414" w14:textId="77777777" w:rsidTr="002F06B8">
        <w:trPr>
          <w:trHeight w:val="136"/>
        </w:trPr>
        <w:tc>
          <w:tcPr>
            <w:tcW w:w="874" w:type="pct"/>
            <w:vMerge/>
            <w:shd w:val="clear" w:color="auto" w:fill="DAEEF3" w:themeFill="accent5" w:themeFillTint="33"/>
          </w:tcPr>
          <w:p w14:paraId="418D8F7D" w14:textId="77777777" w:rsidR="0029751E" w:rsidRDefault="0029751E" w:rsidP="000E7281">
            <w:pPr>
              <w:spacing w:line="280" w:lineRule="exact"/>
              <w:rPr>
                <w:rFonts w:cs="Arial"/>
              </w:rPr>
            </w:pPr>
          </w:p>
        </w:tc>
        <w:tc>
          <w:tcPr>
            <w:tcW w:w="1554" w:type="pct"/>
          </w:tcPr>
          <w:p w14:paraId="6EC6980E" w14:textId="77777777" w:rsidR="0029751E" w:rsidRDefault="0029751E" w:rsidP="000E7281">
            <w:pPr>
              <w:spacing w:line="280" w:lineRule="exact"/>
              <w:rPr>
                <w:rFonts w:cs="Arial"/>
              </w:rPr>
            </w:pPr>
            <w:r>
              <w:rPr>
                <w:rFonts w:cs="Arial"/>
              </w:rPr>
              <w:t>Students acquire knowledge, skills and attributes that prepare them for their personal and professional lives</w:t>
            </w:r>
          </w:p>
          <w:p w14:paraId="53C455A2" w14:textId="77777777" w:rsidR="0029751E" w:rsidRDefault="0029751E" w:rsidP="000E7281">
            <w:pPr>
              <w:spacing w:line="280" w:lineRule="exact"/>
              <w:rPr>
                <w:rFonts w:cs="Arial"/>
              </w:rPr>
            </w:pPr>
          </w:p>
          <w:p w14:paraId="7E1337B1" w14:textId="77777777" w:rsidR="0029751E" w:rsidRDefault="0029751E" w:rsidP="000E7281">
            <w:pPr>
              <w:spacing w:line="280" w:lineRule="exact"/>
              <w:rPr>
                <w:rFonts w:cs="Arial"/>
              </w:rPr>
            </w:pPr>
          </w:p>
        </w:tc>
        <w:tc>
          <w:tcPr>
            <w:tcW w:w="2572" w:type="pct"/>
            <w:hideMark/>
          </w:tcPr>
          <w:p w14:paraId="424C8DB7" w14:textId="156368E3" w:rsidR="0029751E" w:rsidRDefault="0029751E" w:rsidP="000E7281">
            <w:pPr>
              <w:spacing w:line="280" w:lineRule="exact"/>
              <w:rPr>
                <w:rFonts w:cs="Arial"/>
              </w:rPr>
            </w:pPr>
            <w:r>
              <w:rPr>
                <w:rFonts w:cs="Arial"/>
              </w:rPr>
              <w:t>Panel members will be looking for evidence of broader educational and profess</w:t>
            </w:r>
            <w:r w:rsidR="00315AB9">
              <w:rPr>
                <w:rFonts w:cs="Arial"/>
              </w:rPr>
              <w:t>ional outcomes</w:t>
            </w:r>
            <w:r>
              <w:rPr>
                <w:rFonts w:cs="Arial"/>
              </w:rPr>
              <w:t xml:space="preserve">. </w:t>
            </w:r>
          </w:p>
          <w:p w14:paraId="0DE58E9C" w14:textId="31AC4C46" w:rsidR="0029751E" w:rsidRDefault="0029751E" w:rsidP="00552B6D">
            <w:pPr>
              <w:spacing w:after="0" w:line="280" w:lineRule="exact"/>
              <w:rPr>
                <w:rFonts w:cs="Arial"/>
              </w:rPr>
            </w:pPr>
            <w:r>
              <w:rPr>
                <w:rFonts w:cs="Arial"/>
              </w:rPr>
              <w:t>Evidence may include input measures such as employer engagement in the curriculum, course accreditation by professional</w:t>
            </w:r>
            <w:r w:rsidR="00865836">
              <w:rPr>
                <w:rFonts w:cs="Arial"/>
              </w:rPr>
              <w:t xml:space="preserve"> </w:t>
            </w:r>
            <w:r>
              <w:rPr>
                <w:rFonts w:cs="Arial"/>
              </w:rPr>
              <w:t>regulatory or statutory bodies</w:t>
            </w:r>
            <w:r w:rsidR="00C04CF4">
              <w:rPr>
                <w:rFonts w:cs="Arial"/>
              </w:rPr>
              <w:t xml:space="preserve"> </w:t>
            </w:r>
            <w:r w:rsidR="00261FA7">
              <w:rPr>
                <w:rFonts w:cs="Arial"/>
              </w:rPr>
              <w:t xml:space="preserve">and </w:t>
            </w:r>
            <w:r>
              <w:rPr>
                <w:rFonts w:cs="Arial"/>
              </w:rPr>
              <w:t>extra-curricular activities des</w:t>
            </w:r>
            <w:r w:rsidR="005D2102">
              <w:rPr>
                <w:rFonts w:cs="Arial"/>
              </w:rPr>
              <w:t>igned to enhance employability</w:t>
            </w:r>
            <w:r w:rsidR="00315AB9">
              <w:rPr>
                <w:rFonts w:cs="Arial"/>
              </w:rPr>
              <w:t xml:space="preserve"> and transferable skills</w:t>
            </w:r>
            <w:r w:rsidR="005D2102">
              <w:rPr>
                <w:rFonts w:cs="Arial"/>
              </w:rPr>
              <w:t xml:space="preserve">. </w:t>
            </w:r>
            <w:r>
              <w:rPr>
                <w:rFonts w:cs="Arial"/>
              </w:rPr>
              <w:t>Evidence may also include the impact of using methods such as Grade Point Average (GPA)</w:t>
            </w:r>
            <w:r w:rsidR="00D75448">
              <w:rPr>
                <w:rFonts w:cs="Arial"/>
              </w:rPr>
              <w:t xml:space="preserve"> to record students’ achievement</w:t>
            </w:r>
            <w:r w:rsidR="00C04CF4">
              <w:rPr>
                <w:rFonts w:cs="Arial"/>
              </w:rPr>
              <w:t>.</w:t>
            </w:r>
          </w:p>
        </w:tc>
      </w:tr>
      <w:tr w:rsidR="0029751E" w14:paraId="10D236C4" w14:textId="77777777" w:rsidTr="002F06B8">
        <w:trPr>
          <w:trHeight w:val="136"/>
        </w:trPr>
        <w:tc>
          <w:tcPr>
            <w:tcW w:w="874" w:type="pct"/>
            <w:vMerge/>
            <w:shd w:val="clear" w:color="auto" w:fill="DAEEF3" w:themeFill="accent5" w:themeFillTint="33"/>
          </w:tcPr>
          <w:p w14:paraId="264F6FF4" w14:textId="77777777" w:rsidR="0029751E" w:rsidRDefault="0029751E" w:rsidP="000E7281">
            <w:pPr>
              <w:spacing w:line="280" w:lineRule="exact"/>
              <w:rPr>
                <w:rFonts w:cs="Arial"/>
              </w:rPr>
            </w:pPr>
          </w:p>
        </w:tc>
        <w:tc>
          <w:tcPr>
            <w:tcW w:w="1554" w:type="pct"/>
            <w:hideMark/>
          </w:tcPr>
          <w:p w14:paraId="5086B191" w14:textId="77777777" w:rsidR="0029751E" w:rsidRDefault="00351603" w:rsidP="000E7281">
            <w:pPr>
              <w:spacing w:line="280" w:lineRule="exact"/>
              <w:rPr>
                <w:rFonts w:cs="Arial"/>
              </w:rPr>
            </w:pPr>
            <w:r>
              <w:rPr>
                <w:rFonts w:cs="Arial"/>
              </w:rPr>
              <w:t>P</w:t>
            </w:r>
            <w:r w:rsidR="0029751E">
              <w:rPr>
                <w:rFonts w:cs="Arial"/>
              </w:rPr>
              <w:t>ositive outcomes are achieved for students from all backgrounds, in particular those from disadvantaged backgrounds or those who are at greater risk of not achieving positive outcomes</w:t>
            </w:r>
          </w:p>
        </w:tc>
        <w:tc>
          <w:tcPr>
            <w:tcW w:w="2572" w:type="pct"/>
            <w:hideMark/>
          </w:tcPr>
          <w:p w14:paraId="5A56DDEB" w14:textId="39F6F511" w:rsidR="0029751E" w:rsidRDefault="0029751E" w:rsidP="000E7281">
            <w:pPr>
              <w:spacing w:line="280" w:lineRule="exact"/>
              <w:rPr>
                <w:rFonts w:cs="Arial"/>
              </w:rPr>
            </w:pPr>
            <w:r>
              <w:rPr>
                <w:rFonts w:cs="Arial"/>
              </w:rPr>
              <w:t xml:space="preserve">Panel members will be looking for evidence that the </w:t>
            </w:r>
            <w:r w:rsidR="00943BEA">
              <w:rPr>
                <w:rFonts w:cs="Arial"/>
              </w:rPr>
              <w:t xml:space="preserve">provider </w:t>
            </w:r>
            <w:r>
              <w:rPr>
                <w:rFonts w:cs="Arial"/>
              </w:rPr>
              <w:t>actively monitors and addresses differences between different groups of students in their development, attainment and progression.</w:t>
            </w:r>
          </w:p>
          <w:p w14:paraId="518C5CD5" w14:textId="77777777" w:rsidR="0029751E" w:rsidRDefault="0029751E" w:rsidP="00552B6D">
            <w:pPr>
              <w:spacing w:after="0" w:line="280" w:lineRule="exact"/>
              <w:rPr>
                <w:rFonts w:cs="Arial"/>
              </w:rPr>
            </w:pPr>
            <w:r>
              <w:rPr>
                <w:rFonts w:cs="Arial"/>
              </w:rPr>
              <w:t xml:space="preserve">Evidence may include </w:t>
            </w:r>
            <w:r w:rsidR="00865836">
              <w:rPr>
                <w:rFonts w:cs="Arial"/>
              </w:rPr>
              <w:t>approaches</w:t>
            </w:r>
            <w:r>
              <w:rPr>
                <w:rFonts w:cs="Arial"/>
              </w:rPr>
              <w:t xml:space="preserve"> and intervention</w:t>
            </w:r>
            <w:r w:rsidR="00865836">
              <w:rPr>
                <w:rFonts w:cs="Arial"/>
              </w:rPr>
              <w:t>s</w:t>
            </w:r>
            <w:r>
              <w:rPr>
                <w:rFonts w:cs="Arial"/>
              </w:rPr>
              <w:t xml:space="preserve"> that have been shown to be effective</w:t>
            </w:r>
            <w:r w:rsidR="00C04CF4">
              <w:rPr>
                <w:rFonts w:cs="Arial"/>
              </w:rPr>
              <w:t xml:space="preserve"> at maximising outcomes for all students and</w:t>
            </w:r>
            <w:r w:rsidR="00865836">
              <w:rPr>
                <w:rFonts w:cs="Arial"/>
              </w:rPr>
              <w:t xml:space="preserve"> tackling </w:t>
            </w:r>
            <w:r w:rsidR="00D75448">
              <w:rPr>
                <w:rFonts w:cs="Arial"/>
              </w:rPr>
              <w:t xml:space="preserve">evidence of any </w:t>
            </w:r>
            <w:r w:rsidR="00865836">
              <w:rPr>
                <w:rFonts w:cs="Arial"/>
              </w:rPr>
              <w:t>differential outcomes.</w:t>
            </w:r>
          </w:p>
        </w:tc>
      </w:tr>
    </w:tbl>
    <w:p w14:paraId="6B8BB971" w14:textId="77777777" w:rsidR="00B9769B" w:rsidRDefault="00B9769B" w:rsidP="00093DCD">
      <w:pPr>
        <w:spacing w:after="0"/>
        <w:rPr>
          <w:rFonts w:cs="Arial"/>
        </w:rPr>
      </w:pPr>
    </w:p>
    <w:p w14:paraId="05F320C7" w14:textId="77777777" w:rsidR="00315AB9" w:rsidRDefault="00315AB9" w:rsidP="00D86347">
      <w:pPr>
        <w:spacing w:after="0"/>
        <w:rPr>
          <w:rFonts w:cs="Arial"/>
        </w:rPr>
      </w:pPr>
    </w:p>
    <w:p w14:paraId="5B3D2697" w14:textId="77777777" w:rsidR="00D86347" w:rsidRPr="005D56C9" w:rsidRDefault="00D86347" w:rsidP="00D8634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Arial"/>
          <w:b/>
        </w:rPr>
      </w:pPr>
      <w:r w:rsidRPr="005D56C9">
        <w:rPr>
          <w:rFonts w:cs="Arial"/>
          <w:b/>
        </w:rPr>
        <w:t>Q</w:t>
      </w:r>
      <w:r w:rsidR="008001C2">
        <w:rPr>
          <w:rFonts w:cs="Arial"/>
          <w:b/>
        </w:rPr>
        <w:t>1</w:t>
      </w:r>
      <w:r w:rsidRPr="005D56C9">
        <w:rPr>
          <w:rFonts w:cs="Arial"/>
          <w:b/>
        </w:rPr>
        <w:t>: Do you agree with t</w:t>
      </w:r>
      <w:r>
        <w:rPr>
          <w:rFonts w:cs="Arial"/>
          <w:b/>
        </w:rPr>
        <w:t xml:space="preserve">he </w:t>
      </w:r>
      <w:r w:rsidR="00AE492A">
        <w:rPr>
          <w:rFonts w:cs="Arial"/>
          <w:b/>
        </w:rPr>
        <w:t xml:space="preserve">criteria </w:t>
      </w:r>
      <w:r w:rsidR="00D75448">
        <w:rPr>
          <w:rFonts w:cs="Arial"/>
          <w:b/>
        </w:rPr>
        <w:t xml:space="preserve">proposed </w:t>
      </w:r>
      <w:r w:rsidR="00AE492A">
        <w:rPr>
          <w:rFonts w:cs="Arial"/>
          <w:b/>
        </w:rPr>
        <w:t xml:space="preserve">in Figure </w:t>
      </w:r>
      <w:r w:rsidR="00C274BF" w:rsidRPr="006A0B80">
        <w:rPr>
          <w:rFonts w:cs="Arial"/>
          <w:b/>
        </w:rPr>
        <w:t>4</w:t>
      </w:r>
      <w:r w:rsidRPr="005D56C9">
        <w:rPr>
          <w:rFonts w:cs="Arial"/>
          <w:b/>
        </w:rPr>
        <w:t xml:space="preserve">? </w:t>
      </w:r>
      <w:r w:rsidR="00D75448">
        <w:rPr>
          <w:rFonts w:cs="Arial"/>
          <w:b/>
        </w:rPr>
        <w:t>P</w:t>
      </w:r>
      <w:r w:rsidRPr="005D56C9">
        <w:rPr>
          <w:rFonts w:cs="Arial"/>
          <w:b/>
        </w:rPr>
        <w:t>lease outline your reasons and suggest any alternatives or additions.</w:t>
      </w:r>
      <w:r w:rsidR="00D75448">
        <w:rPr>
          <w:rFonts w:cs="Arial"/>
          <w:b/>
        </w:rPr>
        <w:t xml:space="preserve"> Question 8</w:t>
      </w:r>
      <w:r w:rsidR="00A00E46">
        <w:rPr>
          <w:rFonts w:cs="Arial"/>
          <w:b/>
        </w:rPr>
        <w:t xml:space="preserve"> asks about the type of evidence that will be used to assess the criteria</w:t>
      </w:r>
      <w:r w:rsidR="00D75448">
        <w:rPr>
          <w:rFonts w:cs="Arial"/>
          <w:b/>
        </w:rPr>
        <w:t xml:space="preserve"> so please put forward your comments on the evidence base in response to that question</w:t>
      </w:r>
      <w:r w:rsidR="00A00E46">
        <w:rPr>
          <w:rFonts w:cs="Arial"/>
          <w:b/>
        </w:rPr>
        <w:t>.</w:t>
      </w:r>
    </w:p>
    <w:p w14:paraId="53FE66D1" w14:textId="77777777" w:rsidR="00220732" w:rsidRDefault="00220732">
      <w:pPr>
        <w:spacing w:after="200" w:line="276" w:lineRule="auto"/>
      </w:pPr>
    </w:p>
    <w:p w14:paraId="37085862" w14:textId="77777777" w:rsidR="005D2102" w:rsidRDefault="005D2102">
      <w:pPr>
        <w:spacing w:after="200" w:line="276" w:lineRule="auto"/>
      </w:pPr>
    </w:p>
    <w:p w14:paraId="0170D70C" w14:textId="77777777" w:rsidR="002F06B8" w:rsidRDefault="002F06B8">
      <w:pPr>
        <w:spacing w:after="200" w:line="276" w:lineRule="auto"/>
      </w:pPr>
    </w:p>
    <w:p w14:paraId="7FE9BF98" w14:textId="77777777" w:rsidR="00F80F07" w:rsidRDefault="00F80F07" w:rsidP="00FD0E93">
      <w:pPr>
        <w:pStyle w:val="Heading2"/>
        <w:ind w:hanging="284"/>
      </w:pPr>
      <w:bookmarkStart w:id="25" w:name="_Toc450147978"/>
      <w:bookmarkStart w:id="26" w:name="_Toc450886548"/>
      <w:r w:rsidRPr="008F34A5">
        <w:lastRenderedPageBreak/>
        <w:t>2</w:t>
      </w:r>
      <w:r w:rsidR="006B16C8" w:rsidRPr="008F34A5">
        <w:t>.</w:t>
      </w:r>
      <w:r w:rsidRPr="008F34A5">
        <w:t xml:space="preserve"> </w:t>
      </w:r>
      <w:r w:rsidR="006B16C8" w:rsidRPr="008F34A5">
        <w:t xml:space="preserve"> </w:t>
      </w:r>
      <w:r w:rsidRPr="008F34A5">
        <w:t>Eligibility</w:t>
      </w:r>
      <w:r w:rsidR="00FC3276">
        <w:t xml:space="preserve"> and</w:t>
      </w:r>
      <w:r w:rsidR="006B16C8">
        <w:t xml:space="preserve"> Pre-requisites</w:t>
      </w:r>
      <w:bookmarkEnd w:id="25"/>
      <w:bookmarkEnd w:id="26"/>
      <w:r w:rsidR="006B16C8">
        <w:t xml:space="preserve"> </w:t>
      </w:r>
    </w:p>
    <w:p w14:paraId="456818BD" w14:textId="77777777" w:rsidR="0079405A" w:rsidRPr="006664CA" w:rsidRDefault="007B7612" w:rsidP="00AF7684">
      <w:pPr>
        <w:pStyle w:val="ListParagraph"/>
        <w:numPr>
          <w:ilvl w:val="0"/>
          <w:numId w:val="18"/>
        </w:numPr>
        <w:tabs>
          <w:tab w:val="left" w:pos="0"/>
        </w:tabs>
        <w:spacing w:after="0"/>
        <w:ind w:left="142" w:hanging="426"/>
        <w:rPr>
          <w:rFonts w:ascii="Arial" w:hAnsi="Arial" w:cs="Arial"/>
          <w:b/>
          <w:sz w:val="24"/>
          <w:szCs w:val="24"/>
        </w:rPr>
      </w:pPr>
      <w:r w:rsidRPr="006664CA">
        <w:rPr>
          <w:rFonts w:ascii="Arial" w:hAnsi="Arial" w:cs="Arial"/>
          <w:b/>
          <w:sz w:val="24"/>
          <w:szCs w:val="24"/>
        </w:rPr>
        <w:t>Th</w:t>
      </w:r>
      <w:r w:rsidR="003C3C96" w:rsidRPr="006664CA">
        <w:rPr>
          <w:rFonts w:ascii="Arial" w:hAnsi="Arial" w:cs="Arial"/>
          <w:b/>
          <w:sz w:val="24"/>
          <w:szCs w:val="24"/>
        </w:rPr>
        <w:t xml:space="preserve">e </w:t>
      </w:r>
      <w:r w:rsidR="00904C95" w:rsidRPr="006664CA">
        <w:rPr>
          <w:rFonts w:ascii="Arial" w:hAnsi="Arial" w:cs="Arial"/>
          <w:b/>
          <w:sz w:val="24"/>
          <w:szCs w:val="24"/>
        </w:rPr>
        <w:t>White Paper</w:t>
      </w:r>
      <w:r w:rsidR="003C3C96" w:rsidRPr="006664CA">
        <w:rPr>
          <w:rFonts w:ascii="Arial" w:hAnsi="Arial" w:cs="Arial"/>
          <w:b/>
          <w:sz w:val="24"/>
          <w:szCs w:val="24"/>
        </w:rPr>
        <w:t xml:space="preserve"> presents the scope of the TEF and the requirements that need to be met in order for a provider to </w:t>
      </w:r>
      <w:r w:rsidR="008D2B22" w:rsidRPr="006664CA">
        <w:rPr>
          <w:rFonts w:ascii="Arial" w:hAnsi="Arial" w:cs="Arial"/>
          <w:b/>
          <w:sz w:val="24"/>
          <w:szCs w:val="24"/>
        </w:rPr>
        <w:t>take part</w:t>
      </w:r>
      <w:r w:rsidR="003C3C96" w:rsidRPr="006664CA">
        <w:rPr>
          <w:rFonts w:ascii="Arial" w:hAnsi="Arial" w:cs="Arial"/>
          <w:b/>
          <w:sz w:val="24"/>
          <w:szCs w:val="24"/>
        </w:rPr>
        <w:t xml:space="preserve">. </w:t>
      </w:r>
    </w:p>
    <w:p w14:paraId="4589E181" w14:textId="77777777" w:rsidR="0079405A" w:rsidRPr="006664CA" w:rsidRDefault="0079405A" w:rsidP="006664CA">
      <w:pPr>
        <w:pStyle w:val="ListParagraph"/>
        <w:tabs>
          <w:tab w:val="left" w:pos="0"/>
        </w:tabs>
        <w:spacing w:after="0"/>
        <w:ind w:left="142"/>
        <w:rPr>
          <w:rFonts w:ascii="Arial" w:hAnsi="Arial" w:cs="Arial"/>
          <w:b/>
          <w:sz w:val="24"/>
          <w:szCs w:val="24"/>
        </w:rPr>
      </w:pPr>
    </w:p>
    <w:p w14:paraId="559CD958" w14:textId="5F86B834" w:rsidR="007B7612" w:rsidRPr="006664CA" w:rsidRDefault="003C3C96" w:rsidP="00AF7684">
      <w:pPr>
        <w:pStyle w:val="ListParagraph"/>
        <w:numPr>
          <w:ilvl w:val="0"/>
          <w:numId w:val="18"/>
        </w:numPr>
        <w:tabs>
          <w:tab w:val="left" w:pos="0"/>
        </w:tabs>
        <w:spacing w:after="0"/>
        <w:ind w:left="142" w:hanging="426"/>
        <w:rPr>
          <w:rFonts w:ascii="Arial" w:hAnsi="Arial" w:cs="Arial"/>
          <w:b/>
          <w:sz w:val="24"/>
          <w:szCs w:val="24"/>
        </w:rPr>
      </w:pPr>
      <w:r w:rsidRPr="006664CA">
        <w:rPr>
          <w:rFonts w:ascii="Arial" w:hAnsi="Arial" w:cs="Arial"/>
          <w:b/>
          <w:sz w:val="24"/>
          <w:szCs w:val="24"/>
        </w:rPr>
        <w:t xml:space="preserve">This section highlights the </w:t>
      </w:r>
      <w:r w:rsidR="00ED08F9" w:rsidRPr="006664CA">
        <w:rPr>
          <w:rFonts w:ascii="Arial" w:hAnsi="Arial" w:cs="Arial"/>
          <w:b/>
          <w:sz w:val="24"/>
          <w:szCs w:val="24"/>
        </w:rPr>
        <w:t>particular</w:t>
      </w:r>
      <w:r w:rsidRPr="006664CA">
        <w:rPr>
          <w:rFonts w:ascii="Arial" w:hAnsi="Arial" w:cs="Arial"/>
          <w:b/>
          <w:sz w:val="24"/>
          <w:szCs w:val="24"/>
        </w:rPr>
        <w:t xml:space="preserve"> eligibility requirements for Year Two</w:t>
      </w:r>
      <w:r w:rsidR="00641D6A" w:rsidRPr="006664CA">
        <w:rPr>
          <w:rFonts w:ascii="Arial" w:hAnsi="Arial" w:cs="Arial"/>
          <w:b/>
          <w:sz w:val="24"/>
          <w:szCs w:val="24"/>
        </w:rPr>
        <w:t>,</w:t>
      </w:r>
      <w:r w:rsidR="006664CA" w:rsidRPr="006664CA">
        <w:rPr>
          <w:rFonts w:ascii="Arial" w:hAnsi="Arial" w:cs="Arial"/>
          <w:b/>
          <w:sz w:val="24"/>
          <w:szCs w:val="24"/>
        </w:rPr>
        <w:t xml:space="preserve"> for ease of refer</w:t>
      </w:r>
      <w:r w:rsidRPr="006664CA">
        <w:rPr>
          <w:rFonts w:ascii="Arial" w:hAnsi="Arial" w:cs="Arial"/>
          <w:b/>
          <w:sz w:val="24"/>
          <w:szCs w:val="24"/>
        </w:rPr>
        <w:t>ence.</w:t>
      </w:r>
      <w:r w:rsidR="008D38CA" w:rsidRPr="006664CA">
        <w:rPr>
          <w:rFonts w:ascii="Arial" w:hAnsi="Arial" w:cs="Arial"/>
          <w:b/>
          <w:sz w:val="24"/>
          <w:szCs w:val="24"/>
        </w:rPr>
        <w:t xml:space="preserve"> </w:t>
      </w:r>
    </w:p>
    <w:p w14:paraId="7D4AE9BE" w14:textId="77777777" w:rsidR="007B7612" w:rsidRPr="006664CA" w:rsidRDefault="007B7612" w:rsidP="006664CA">
      <w:pPr>
        <w:pStyle w:val="ListParagraph"/>
        <w:tabs>
          <w:tab w:val="left" w:pos="0"/>
        </w:tabs>
        <w:spacing w:after="0"/>
        <w:ind w:left="142"/>
        <w:rPr>
          <w:rFonts w:ascii="Arial" w:hAnsi="Arial" w:cs="Arial"/>
          <w:sz w:val="24"/>
          <w:szCs w:val="24"/>
        </w:rPr>
      </w:pPr>
    </w:p>
    <w:p w14:paraId="3DF629FD" w14:textId="77777777" w:rsidR="00613AF1" w:rsidRPr="006664CA" w:rsidRDefault="00613AF1" w:rsidP="00AF7684">
      <w:pPr>
        <w:pStyle w:val="ListParagraph"/>
        <w:numPr>
          <w:ilvl w:val="0"/>
          <w:numId w:val="18"/>
        </w:numPr>
        <w:tabs>
          <w:tab w:val="left" w:pos="0"/>
        </w:tabs>
        <w:spacing w:after="0"/>
        <w:ind w:left="142" w:hanging="426"/>
        <w:rPr>
          <w:rFonts w:ascii="Arial" w:hAnsi="Arial" w:cs="Arial"/>
          <w:sz w:val="24"/>
          <w:szCs w:val="24"/>
        </w:rPr>
      </w:pPr>
      <w:r w:rsidRPr="006664CA">
        <w:rPr>
          <w:rFonts w:ascii="Arial" w:hAnsi="Arial" w:cs="Arial"/>
          <w:sz w:val="24"/>
          <w:szCs w:val="24"/>
        </w:rPr>
        <w:t xml:space="preserve">The TEF is intended to </w:t>
      </w:r>
      <w:r w:rsidR="00904C95" w:rsidRPr="006664CA">
        <w:rPr>
          <w:rFonts w:ascii="Arial" w:hAnsi="Arial" w:cs="Arial"/>
          <w:sz w:val="24"/>
          <w:szCs w:val="24"/>
        </w:rPr>
        <w:t xml:space="preserve">be </w:t>
      </w:r>
      <w:r w:rsidR="00344EE3" w:rsidRPr="006664CA">
        <w:rPr>
          <w:rFonts w:ascii="Arial" w:hAnsi="Arial" w:cs="Arial"/>
          <w:sz w:val="24"/>
          <w:szCs w:val="24"/>
        </w:rPr>
        <w:t xml:space="preserve">open to </w:t>
      </w:r>
      <w:r w:rsidR="00904C95" w:rsidRPr="006664CA">
        <w:rPr>
          <w:rFonts w:ascii="Arial" w:hAnsi="Arial" w:cs="Arial"/>
          <w:sz w:val="24"/>
          <w:szCs w:val="24"/>
        </w:rPr>
        <w:t>as</w:t>
      </w:r>
      <w:r w:rsidRPr="006664CA">
        <w:rPr>
          <w:rFonts w:ascii="Arial" w:hAnsi="Arial" w:cs="Arial"/>
          <w:sz w:val="24"/>
          <w:szCs w:val="24"/>
        </w:rPr>
        <w:t xml:space="preserve"> many higher education providers as possible in order to realise its objectives of providing information for students on teaching quality to inform their choices around what, where and how to study. </w:t>
      </w:r>
    </w:p>
    <w:p w14:paraId="27B5B471" w14:textId="77777777" w:rsidR="00727518" w:rsidRPr="006664CA" w:rsidRDefault="00727518" w:rsidP="006664CA">
      <w:pPr>
        <w:pStyle w:val="ListParagraph"/>
        <w:tabs>
          <w:tab w:val="left" w:pos="0"/>
        </w:tabs>
        <w:spacing w:after="0"/>
        <w:ind w:left="142"/>
        <w:rPr>
          <w:rFonts w:ascii="Arial" w:hAnsi="Arial" w:cs="Arial"/>
          <w:sz w:val="24"/>
          <w:szCs w:val="24"/>
        </w:rPr>
      </w:pPr>
    </w:p>
    <w:p w14:paraId="00D80B40" w14:textId="3695893F" w:rsidR="00613AF1" w:rsidRPr="006664CA" w:rsidRDefault="00613AF1" w:rsidP="00AF7684">
      <w:pPr>
        <w:pStyle w:val="ListParagraph"/>
        <w:numPr>
          <w:ilvl w:val="0"/>
          <w:numId w:val="18"/>
        </w:numPr>
        <w:tabs>
          <w:tab w:val="left" w:pos="0"/>
        </w:tabs>
        <w:spacing w:after="0"/>
        <w:ind w:left="142" w:hanging="426"/>
        <w:rPr>
          <w:rFonts w:ascii="Arial" w:hAnsi="Arial" w:cs="Arial"/>
          <w:sz w:val="24"/>
          <w:szCs w:val="24"/>
        </w:rPr>
      </w:pPr>
      <w:r w:rsidRPr="006664CA">
        <w:rPr>
          <w:rFonts w:ascii="Arial" w:hAnsi="Arial" w:cs="Arial"/>
          <w:sz w:val="24"/>
          <w:szCs w:val="24"/>
        </w:rPr>
        <w:t>The eligibility requirements</w:t>
      </w:r>
      <w:r w:rsidR="00904C95" w:rsidRPr="006664CA">
        <w:rPr>
          <w:rFonts w:ascii="Arial" w:hAnsi="Arial" w:cs="Arial"/>
          <w:sz w:val="24"/>
          <w:szCs w:val="24"/>
        </w:rPr>
        <w:t xml:space="preserve"> </w:t>
      </w:r>
      <w:r w:rsidRPr="006664CA">
        <w:rPr>
          <w:rFonts w:ascii="Arial" w:hAnsi="Arial" w:cs="Arial"/>
          <w:sz w:val="24"/>
          <w:szCs w:val="24"/>
        </w:rPr>
        <w:t>also reflect our ambition to integrate a commitment to widening participation</w:t>
      </w:r>
      <w:r w:rsidR="00904C95" w:rsidRPr="006664CA">
        <w:rPr>
          <w:rFonts w:ascii="Arial" w:hAnsi="Arial" w:cs="Arial"/>
          <w:sz w:val="24"/>
          <w:szCs w:val="24"/>
        </w:rPr>
        <w:t>,</w:t>
      </w:r>
      <w:r w:rsidRPr="006664CA">
        <w:rPr>
          <w:rFonts w:ascii="Arial" w:hAnsi="Arial" w:cs="Arial"/>
          <w:sz w:val="24"/>
          <w:szCs w:val="24"/>
        </w:rPr>
        <w:t xml:space="preserve"> and that the TEF should build on quality and standards assured through broader arrangements</w:t>
      </w:r>
      <w:r w:rsidR="006745F8" w:rsidRPr="006664CA">
        <w:rPr>
          <w:rFonts w:ascii="Arial" w:hAnsi="Arial" w:cs="Arial"/>
          <w:sz w:val="24"/>
          <w:szCs w:val="24"/>
        </w:rPr>
        <w:t xml:space="preserve">, </w:t>
      </w:r>
      <w:r w:rsidR="00DC6BAA" w:rsidRPr="006664CA">
        <w:rPr>
          <w:rFonts w:ascii="Arial" w:hAnsi="Arial" w:cs="Arial"/>
          <w:sz w:val="24"/>
          <w:szCs w:val="24"/>
        </w:rPr>
        <w:t xml:space="preserve">providing the first </w:t>
      </w:r>
      <w:r w:rsidR="00F64535" w:rsidRPr="006664CA">
        <w:rPr>
          <w:rFonts w:ascii="Arial" w:hAnsi="Arial" w:cs="Arial"/>
          <w:sz w:val="24"/>
          <w:szCs w:val="24"/>
        </w:rPr>
        <w:t>rating</w:t>
      </w:r>
      <w:r w:rsidR="006745F8" w:rsidRPr="006664CA">
        <w:rPr>
          <w:rFonts w:ascii="Arial" w:hAnsi="Arial" w:cs="Arial"/>
          <w:sz w:val="24"/>
          <w:szCs w:val="24"/>
        </w:rPr>
        <w:t xml:space="preserve"> in the new framework.</w:t>
      </w:r>
    </w:p>
    <w:p w14:paraId="7B345290" w14:textId="77777777" w:rsidR="00613AF1" w:rsidRDefault="00613AF1" w:rsidP="007B7612">
      <w:pPr>
        <w:spacing w:after="0"/>
        <w:rPr>
          <w:rFonts w:cs="Arial"/>
          <w:b/>
        </w:rPr>
      </w:pPr>
    </w:p>
    <w:p w14:paraId="215066FC" w14:textId="091E1DB7" w:rsidR="003C3C96" w:rsidRPr="008849D9" w:rsidRDefault="0079405A" w:rsidP="00FD0E93">
      <w:pPr>
        <w:pStyle w:val="Heading3"/>
        <w:spacing w:after="0"/>
        <w:ind w:hanging="284"/>
      </w:pPr>
      <w:bookmarkStart w:id="27" w:name="_Toc450147979"/>
      <w:bookmarkStart w:id="28" w:name="_Toc450886549"/>
      <w:r>
        <w:t>Level of provision</w:t>
      </w:r>
      <w:bookmarkEnd w:id="27"/>
      <w:bookmarkEnd w:id="28"/>
      <w:r w:rsidR="008E444B">
        <w:t xml:space="preserve"> </w:t>
      </w:r>
    </w:p>
    <w:p w14:paraId="248B9C8D" w14:textId="6966A0BE" w:rsidR="003C3C96" w:rsidRPr="006664CA" w:rsidRDefault="00ED08F9" w:rsidP="00AF7684">
      <w:pPr>
        <w:pStyle w:val="ListParagraph"/>
        <w:numPr>
          <w:ilvl w:val="0"/>
          <w:numId w:val="18"/>
        </w:numPr>
        <w:tabs>
          <w:tab w:val="left" w:pos="0"/>
        </w:tabs>
        <w:spacing w:after="0"/>
        <w:ind w:left="142" w:hanging="426"/>
        <w:rPr>
          <w:rFonts w:ascii="Arial" w:hAnsi="Arial" w:cs="Arial"/>
          <w:sz w:val="24"/>
          <w:szCs w:val="24"/>
        </w:rPr>
      </w:pPr>
      <w:r w:rsidRPr="006664CA">
        <w:rPr>
          <w:rFonts w:ascii="Arial" w:hAnsi="Arial" w:cs="Arial"/>
          <w:sz w:val="24"/>
          <w:szCs w:val="24"/>
        </w:rPr>
        <w:t>In Year Two, all p</w:t>
      </w:r>
      <w:r w:rsidR="00D672DA" w:rsidRPr="006664CA">
        <w:rPr>
          <w:rFonts w:ascii="Arial" w:hAnsi="Arial" w:cs="Arial"/>
          <w:sz w:val="24"/>
          <w:szCs w:val="24"/>
        </w:rPr>
        <w:t>rovide</w:t>
      </w:r>
      <w:r w:rsidR="00794A50" w:rsidRPr="006664CA">
        <w:rPr>
          <w:rFonts w:ascii="Arial" w:hAnsi="Arial" w:cs="Arial"/>
          <w:sz w:val="24"/>
          <w:szCs w:val="24"/>
        </w:rPr>
        <w:t>rs that deliver undergraduate provision, including at levels 4 and 5</w:t>
      </w:r>
      <w:r w:rsidR="008B499A" w:rsidRPr="0048556E">
        <w:rPr>
          <w:rStyle w:val="FootnoteReference"/>
          <w:rFonts w:cs="Arial"/>
        </w:rPr>
        <w:footnoteReference w:id="8"/>
      </w:r>
      <w:r w:rsidR="00C6189B" w:rsidRPr="0048556E">
        <w:rPr>
          <w:rStyle w:val="FootnoteReference"/>
          <w:rFonts w:cs="Arial"/>
        </w:rPr>
        <w:t xml:space="preserve"> </w:t>
      </w:r>
      <w:r w:rsidR="003C3C96" w:rsidRPr="006664CA">
        <w:rPr>
          <w:rFonts w:ascii="Arial" w:hAnsi="Arial" w:cs="Arial"/>
          <w:sz w:val="24"/>
          <w:szCs w:val="24"/>
        </w:rPr>
        <w:t xml:space="preserve">will be eligible for </w:t>
      </w:r>
      <w:r w:rsidR="008B72B4" w:rsidRPr="006664CA">
        <w:rPr>
          <w:rFonts w:ascii="Arial" w:hAnsi="Arial" w:cs="Arial"/>
          <w:sz w:val="24"/>
          <w:szCs w:val="24"/>
        </w:rPr>
        <w:t xml:space="preserve">the TEF </w:t>
      </w:r>
      <w:r w:rsidR="008D38CA" w:rsidRPr="006664CA">
        <w:rPr>
          <w:rFonts w:ascii="Arial" w:hAnsi="Arial" w:cs="Arial"/>
          <w:sz w:val="24"/>
          <w:szCs w:val="24"/>
        </w:rPr>
        <w:t>provided they meet the additional requirements below.</w:t>
      </w:r>
      <w:r w:rsidR="00344EE3" w:rsidRPr="006664CA">
        <w:rPr>
          <w:rFonts w:ascii="Arial" w:hAnsi="Arial" w:cs="Arial"/>
          <w:sz w:val="24"/>
          <w:szCs w:val="24"/>
        </w:rPr>
        <w:t xml:space="preserve"> As set out in the White P</w:t>
      </w:r>
      <w:r w:rsidR="000607B1" w:rsidRPr="006664CA">
        <w:rPr>
          <w:rFonts w:ascii="Arial" w:hAnsi="Arial" w:cs="Arial"/>
          <w:sz w:val="24"/>
          <w:szCs w:val="24"/>
        </w:rPr>
        <w:t>aper, we will not be assessing p</w:t>
      </w:r>
      <w:r w:rsidR="00344EE3" w:rsidRPr="006664CA">
        <w:rPr>
          <w:rFonts w:ascii="Arial" w:hAnsi="Arial" w:cs="Arial"/>
          <w:sz w:val="24"/>
          <w:szCs w:val="24"/>
        </w:rPr>
        <w:t xml:space="preserve">ostgraduate provision in the second year of </w:t>
      </w:r>
      <w:r w:rsidR="0075340D" w:rsidRPr="006664CA">
        <w:rPr>
          <w:rFonts w:ascii="Arial" w:hAnsi="Arial" w:cs="Arial"/>
          <w:sz w:val="24"/>
          <w:szCs w:val="24"/>
        </w:rPr>
        <w:t xml:space="preserve">the </w:t>
      </w:r>
      <w:proofErr w:type="gramStart"/>
      <w:r w:rsidR="00344EE3" w:rsidRPr="006664CA">
        <w:rPr>
          <w:rFonts w:ascii="Arial" w:hAnsi="Arial" w:cs="Arial"/>
          <w:sz w:val="24"/>
          <w:szCs w:val="24"/>
        </w:rPr>
        <w:t>TEF</w:t>
      </w:r>
      <w:r w:rsidR="000607B1" w:rsidRPr="006664CA">
        <w:rPr>
          <w:rFonts w:ascii="Arial" w:hAnsi="Arial" w:cs="Arial"/>
          <w:sz w:val="24"/>
          <w:szCs w:val="24"/>
        </w:rPr>
        <w:t>,</w:t>
      </w:r>
      <w:proofErr w:type="gramEnd"/>
      <w:r w:rsidR="000607B1" w:rsidRPr="006664CA">
        <w:rPr>
          <w:rFonts w:ascii="Arial" w:hAnsi="Arial" w:cs="Arial"/>
          <w:sz w:val="24"/>
          <w:szCs w:val="24"/>
        </w:rPr>
        <w:t xml:space="preserve"> </w:t>
      </w:r>
      <w:r w:rsidR="006A07B9" w:rsidRPr="006A07B9">
        <w:rPr>
          <w:rFonts w:ascii="Arial" w:hAnsi="Arial" w:cs="Arial"/>
          <w:sz w:val="24"/>
          <w:szCs w:val="24"/>
        </w:rPr>
        <w:t>therefore all p</w:t>
      </w:r>
      <w:r w:rsidR="0080023C">
        <w:rPr>
          <w:rFonts w:ascii="Arial" w:hAnsi="Arial" w:cs="Arial"/>
          <w:sz w:val="24"/>
          <w:szCs w:val="24"/>
        </w:rPr>
        <w:t>roviders that offer solely post</w:t>
      </w:r>
      <w:r w:rsidR="006A07B9" w:rsidRPr="006A07B9">
        <w:rPr>
          <w:rFonts w:ascii="Arial" w:hAnsi="Arial" w:cs="Arial"/>
          <w:sz w:val="24"/>
          <w:szCs w:val="24"/>
        </w:rPr>
        <w:t>graduate awards will not be eligible to receive a TEF rating</w:t>
      </w:r>
      <w:r w:rsidR="004B4708" w:rsidRPr="006A07B9">
        <w:rPr>
          <w:rFonts w:ascii="Arial" w:hAnsi="Arial" w:cs="Arial"/>
          <w:sz w:val="24"/>
          <w:szCs w:val="24"/>
        </w:rPr>
        <w:t>.</w:t>
      </w:r>
      <w:r w:rsidR="000607B1" w:rsidRPr="006664CA">
        <w:rPr>
          <w:rFonts w:ascii="Arial" w:hAnsi="Arial" w:cs="Arial"/>
          <w:sz w:val="24"/>
          <w:szCs w:val="24"/>
        </w:rPr>
        <w:t xml:space="preserve"> </w:t>
      </w:r>
    </w:p>
    <w:p w14:paraId="1B01A03F" w14:textId="77777777" w:rsidR="003C3C96" w:rsidRDefault="003C3C96" w:rsidP="007B7612">
      <w:pPr>
        <w:spacing w:after="0"/>
        <w:rPr>
          <w:rFonts w:cs="Arial"/>
        </w:rPr>
      </w:pPr>
    </w:p>
    <w:p w14:paraId="286D4E41" w14:textId="6366BDA2" w:rsidR="003C3C96" w:rsidRPr="008849D9" w:rsidRDefault="004A4F03" w:rsidP="00FD0E93">
      <w:pPr>
        <w:pStyle w:val="Heading3"/>
        <w:spacing w:after="0"/>
        <w:ind w:hanging="284"/>
      </w:pPr>
      <w:bookmarkStart w:id="29" w:name="_Toc450147980"/>
      <w:bookmarkStart w:id="30" w:name="_Toc450886550"/>
      <w:r>
        <w:t>Meeting the r</w:t>
      </w:r>
      <w:r w:rsidR="0079405A">
        <w:t>equirements of the broader quality assurance system</w:t>
      </w:r>
      <w:bookmarkEnd w:id="29"/>
      <w:bookmarkEnd w:id="30"/>
    </w:p>
    <w:p w14:paraId="1042C127" w14:textId="6048013C" w:rsidR="00794A50" w:rsidRPr="006664CA" w:rsidRDefault="008B72B4" w:rsidP="00AF7684">
      <w:pPr>
        <w:pStyle w:val="ListParagraph"/>
        <w:numPr>
          <w:ilvl w:val="0"/>
          <w:numId w:val="18"/>
        </w:numPr>
        <w:tabs>
          <w:tab w:val="left" w:pos="0"/>
        </w:tabs>
        <w:spacing w:after="0"/>
        <w:ind w:left="142" w:hanging="426"/>
        <w:rPr>
          <w:rFonts w:ascii="Arial" w:hAnsi="Arial" w:cs="Arial"/>
          <w:sz w:val="24"/>
          <w:szCs w:val="24"/>
        </w:rPr>
      </w:pPr>
      <w:r w:rsidRPr="006664CA">
        <w:rPr>
          <w:rFonts w:ascii="Arial" w:hAnsi="Arial" w:cs="Arial"/>
          <w:sz w:val="24"/>
          <w:szCs w:val="24"/>
        </w:rPr>
        <w:t>A</w:t>
      </w:r>
      <w:r w:rsidR="0079405A" w:rsidRPr="006664CA">
        <w:rPr>
          <w:rFonts w:ascii="Arial" w:hAnsi="Arial" w:cs="Arial"/>
          <w:sz w:val="24"/>
          <w:szCs w:val="24"/>
        </w:rPr>
        <w:t xml:space="preserve"> provider must </w:t>
      </w:r>
      <w:r w:rsidR="003C3C96" w:rsidRPr="006664CA">
        <w:rPr>
          <w:rFonts w:ascii="Arial" w:hAnsi="Arial" w:cs="Arial"/>
          <w:sz w:val="24"/>
          <w:szCs w:val="24"/>
        </w:rPr>
        <w:t xml:space="preserve">meet </w:t>
      </w:r>
      <w:r w:rsidR="009B6410" w:rsidRPr="006664CA">
        <w:rPr>
          <w:rFonts w:ascii="Arial" w:hAnsi="Arial" w:cs="Arial"/>
          <w:sz w:val="24"/>
          <w:szCs w:val="24"/>
        </w:rPr>
        <w:t>the quality requireme</w:t>
      </w:r>
      <w:r w:rsidR="00727518" w:rsidRPr="006664CA">
        <w:rPr>
          <w:rFonts w:ascii="Arial" w:hAnsi="Arial" w:cs="Arial"/>
          <w:sz w:val="24"/>
          <w:szCs w:val="24"/>
        </w:rPr>
        <w:t xml:space="preserve">nts set out in </w:t>
      </w:r>
      <w:r w:rsidR="00AC3197" w:rsidRPr="006664CA">
        <w:rPr>
          <w:rFonts w:ascii="Arial" w:hAnsi="Arial" w:cs="Arial"/>
          <w:b/>
          <w:sz w:val="24"/>
          <w:szCs w:val="24"/>
        </w:rPr>
        <w:t>Annex A</w:t>
      </w:r>
      <w:r w:rsidR="009E664E" w:rsidRPr="006664CA">
        <w:rPr>
          <w:rFonts w:ascii="Arial" w:hAnsi="Arial" w:cs="Arial"/>
          <w:sz w:val="24"/>
          <w:szCs w:val="24"/>
        </w:rPr>
        <w:t xml:space="preserve"> of </w:t>
      </w:r>
      <w:r w:rsidR="00727518" w:rsidRPr="006664CA">
        <w:rPr>
          <w:rFonts w:ascii="Arial" w:hAnsi="Arial" w:cs="Arial"/>
          <w:sz w:val="24"/>
          <w:szCs w:val="24"/>
        </w:rPr>
        <w:t xml:space="preserve">the White Paper </w:t>
      </w:r>
      <w:r w:rsidR="00347C8E" w:rsidRPr="006664CA">
        <w:rPr>
          <w:rFonts w:ascii="Arial" w:hAnsi="Arial" w:cs="Arial"/>
          <w:sz w:val="24"/>
          <w:szCs w:val="24"/>
        </w:rPr>
        <w:t>before it can apply to be assessed for</w:t>
      </w:r>
      <w:r w:rsidR="0090457B" w:rsidRPr="006664CA">
        <w:rPr>
          <w:rFonts w:ascii="Arial" w:hAnsi="Arial" w:cs="Arial"/>
          <w:sz w:val="24"/>
          <w:szCs w:val="24"/>
        </w:rPr>
        <w:t xml:space="preserve"> a higher</w:t>
      </w:r>
      <w:r w:rsidR="00347C8E" w:rsidRPr="006664CA">
        <w:rPr>
          <w:rFonts w:ascii="Arial" w:hAnsi="Arial" w:cs="Arial"/>
          <w:sz w:val="24"/>
          <w:szCs w:val="24"/>
        </w:rPr>
        <w:t xml:space="preserve"> TEF</w:t>
      </w:r>
      <w:r w:rsidR="0090457B" w:rsidRPr="006664CA">
        <w:rPr>
          <w:rFonts w:ascii="Arial" w:hAnsi="Arial" w:cs="Arial"/>
          <w:sz w:val="24"/>
          <w:szCs w:val="24"/>
        </w:rPr>
        <w:t xml:space="preserve"> </w:t>
      </w:r>
      <w:r w:rsidR="0075340D" w:rsidRPr="006664CA">
        <w:rPr>
          <w:rFonts w:ascii="Arial" w:hAnsi="Arial" w:cs="Arial"/>
          <w:sz w:val="24"/>
          <w:szCs w:val="24"/>
        </w:rPr>
        <w:t>rating in Year Two</w:t>
      </w:r>
      <w:r w:rsidR="00347C8E" w:rsidRPr="006664CA">
        <w:rPr>
          <w:rFonts w:ascii="Arial" w:hAnsi="Arial" w:cs="Arial"/>
          <w:sz w:val="24"/>
          <w:szCs w:val="24"/>
        </w:rPr>
        <w:t xml:space="preserve">. </w:t>
      </w:r>
      <w:r w:rsidR="00E92F71" w:rsidRPr="006664CA">
        <w:rPr>
          <w:rFonts w:ascii="Arial" w:hAnsi="Arial" w:cs="Arial"/>
          <w:sz w:val="24"/>
          <w:szCs w:val="24"/>
        </w:rPr>
        <w:t>As noted in the Annex, we will confirm the cut</w:t>
      </w:r>
      <w:r w:rsidR="00081666" w:rsidRPr="006664CA">
        <w:rPr>
          <w:rFonts w:ascii="Arial" w:hAnsi="Arial" w:cs="Arial"/>
          <w:sz w:val="24"/>
          <w:szCs w:val="24"/>
        </w:rPr>
        <w:t>-</w:t>
      </w:r>
      <w:r w:rsidR="00E92F71" w:rsidRPr="006664CA">
        <w:rPr>
          <w:rFonts w:ascii="Arial" w:hAnsi="Arial" w:cs="Arial"/>
          <w:sz w:val="24"/>
          <w:szCs w:val="24"/>
        </w:rPr>
        <w:t xml:space="preserve">off date for eligibility for Year </w:t>
      </w:r>
      <w:r w:rsidR="00081666" w:rsidRPr="006664CA">
        <w:rPr>
          <w:rFonts w:ascii="Arial" w:hAnsi="Arial" w:cs="Arial"/>
          <w:sz w:val="24"/>
          <w:szCs w:val="24"/>
        </w:rPr>
        <w:t>Two</w:t>
      </w:r>
      <w:r w:rsidR="00495BC6" w:rsidRPr="006664CA">
        <w:rPr>
          <w:rFonts w:ascii="Arial" w:hAnsi="Arial" w:cs="Arial"/>
          <w:sz w:val="24"/>
          <w:szCs w:val="24"/>
        </w:rPr>
        <w:t xml:space="preserve"> </w:t>
      </w:r>
      <w:r w:rsidR="00E92F71" w:rsidRPr="006664CA">
        <w:rPr>
          <w:rFonts w:ascii="Arial" w:hAnsi="Arial" w:cs="Arial"/>
          <w:sz w:val="24"/>
          <w:szCs w:val="24"/>
        </w:rPr>
        <w:t xml:space="preserve">in the </w:t>
      </w:r>
      <w:r w:rsidR="00081666" w:rsidRPr="006664CA">
        <w:rPr>
          <w:rFonts w:ascii="Arial" w:hAnsi="Arial" w:cs="Arial"/>
          <w:sz w:val="24"/>
          <w:szCs w:val="24"/>
        </w:rPr>
        <w:t xml:space="preserve">Government’s response to the </w:t>
      </w:r>
      <w:r w:rsidR="00E92F71" w:rsidRPr="006664CA">
        <w:rPr>
          <w:rFonts w:ascii="Arial" w:hAnsi="Arial" w:cs="Arial"/>
          <w:sz w:val="24"/>
          <w:szCs w:val="24"/>
        </w:rPr>
        <w:t xml:space="preserve">Technical Consultation in the </w:t>
      </w:r>
      <w:proofErr w:type="gramStart"/>
      <w:r w:rsidR="00E92F71" w:rsidRPr="006664CA">
        <w:rPr>
          <w:rFonts w:ascii="Arial" w:hAnsi="Arial" w:cs="Arial"/>
          <w:sz w:val="24"/>
          <w:szCs w:val="24"/>
        </w:rPr>
        <w:t>Autumn</w:t>
      </w:r>
      <w:proofErr w:type="gramEnd"/>
      <w:r w:rsidR="00E92F71" w:rsidRPr="006664CA">
        <w:rPr>
          <w:rFonts w:ascii="Arial" w:hAnsi="Arial" w:cs="Arial"/>
          <w:sz w:val="24"/>
          <w:szCs w:val="24"/>
        </w:rPr>
        <w:t xml:space="preserve">. </w:t>
      </w:r>
    </w:p>
    <w:p w14:paraId="6DC97C75" w14:textId="77777777" w:rsidR="00E575D3" w:rsidRPr="008F34A5" w:rsidRDefault="00E575D3" w:rsidP="007B7612">
      <w:pPr>
        <w:spacing w:after="0"/>
        <w:rPr>
          <w:rFonts w:cs="Arial"/>
        </w:rPr>
      </w:pPr>
    </w:p>
    <w:p w14:paraId="65B8942E" w14:textId="03151302" w:rsidR="00FA4A6F" w:rsidRPr="002F2BAC" w:rsidRDefault="00FA4A6F" w:rsidP="00FD0E93">
      <w:pPr>
        <w:pStyle w:val="Heading3"/>
        <w:spacing w:after="0"/>
        <w:ind w:hanging="284"/>
      </w:pPr>
      <w:bookmarkStart w:id="31" w:name="_Toc450147981"/>
      <w:bookmarkStart w:id="32" w:name="_Toc450886551"/>
      <w:r>
        <w:t>Commitment</w:t>
      </w:r>
      <w:r w:rsidR="008E444B">
        <w:t xml:space="preserve"> to </w:t>
      </w:r>
      <w:r w:rsidR="008E444B" w:rsidRPr="008E444B">
        <w:t>w</w:t>
      </w:r>
      <w:r w:rsidR="008E444B">
        <w:t>idening participation and fair access</w:t>
      </w:r>
      <w:bookmarkEnd w:id="31"/>
      <w:bookmarkEnd w:id="32"/>
      <w:r w:rsidR="00AD0B81">
        <w:t xml:space="preserve"> </w:t>
      </w:r>
    </w:p>
    <w:p w14:paraId="75199654" w14:textId="5A86EAA6" w:rsidR="00B15BC4" w:rsidRPr="006664CA" w:rsidRDefault="00FA4A6F" w:rsidP="00AF7684">
      <w:pPr>
        <w:pStyle w:val="ListParagraph"/>
        <w:numPr>
          <w:ilvl w:val="0"/>
          <w:numId w:val="18"/>
        </w:numPr>
        <w:tabs>
          <w:tab w:val="left" w:pos="0"/>
        </w:tabs>
        <w:spacing w:after="0"/>
        <w:ind w:left="142" w:hanging="426"/>
        <w:rPr>
          <w:rFonts w:ascii="Arial" w:hAnsi="Arial" w:cs="Arial"/>
          <w:sz w:val="24"/>
          <w:szCs w:val="24"/>
        </w:rPr>
      </w:pPr>
      <w:r w:rsidRPr="006664CA">
        <w:rPr>
          <w:rFonts w:ascii="Arial" w:hAnsi="Arial" w:cs="Arial"/>
          <w:sz w:val="24"/>
          <w:szCs w:val="24"/>
        </w:rPr>
        <w:t>To participate in the TEF, a provider</w:t>
      </w:r>
      <w:r w:rsidR="00460B9C" w:rsidRPr="006664CA">
        <w:rPr>
          <w:rFonts w:ascii="Arial" w:hAnsi="Arial" w:cs="Arial"/>
          <w:sz w:val="24"/>
          <w:szCs w:val="24"/>
        </w:rPr>
        <w:t xml:space="preserve"> will need to demonstrate</w:t>
      </w:r>
      <w:r w:rsidRPr="006664CA">
        <w:rPr>
          <w:rFonts w:ascii="Arial" w:hAnsi="Arial" w:cs="Arial"/>
          <w:sz w:val="24"/>
          <w:szCs w:val="24"/>
        </w:rPr>
        <w:t xml:space="preserve"> its</w:t>
      </w:r>
      <w:r w:rsidR="00460B9C" w:rsidRPr="006664CA">
        <w:rPr>
          <w:rFonts w:ascii="Arial" w:hAnsi="Arial" w:cs="Arial"/>
          <w:sz w:val="24"/>
          <w:szCs w:val="24"/>
        </w:rPr>
        <w:t xml:space="preserve"> commitmen</w:t>
      </w:r>
      <w:r w:rsidR="00B15BC4" w:rsidRPr="006664CA">
        <w:rPr>
          <w:rFonts w:ascii="Arial" w:hAnsi="Arial" w:cs="Arial"/>
          <w:sz w:val="24"/>
          <w:szCs w:val="24"/>
        </w:rPr>
        <w:t>t to widening participation and fair access. Providers with existing Access Agreement will be able to submit the</w:t>
      </w:r>
      <w:r w:rsidR="00BE2A04" w:rsidRPr="006664CA">
        <w:rPr>
          <w:rFonts w:ascii="Arial" w:hAnsi="Arial" w:cs="Arial"/>
          <w:sz w:val="24"/>
          <w:szCs w:val="24"/>
        </w:rPr>
        <w:t xml:space="preserve">se as proof of their commitment, as we do not wish </w:t>
      </w:r>
      <w:r w:rsidR="00810C48" w:rsidRPr="006664CA">
        <w:rPr>
          <w:rFonts w:ascii="Arial" w:hAnsi="Arial" w:cs="Arial"/>
          <w:sz w:val="24"/>
          <w:szCs w:val="24"/>
        </w:rPr>
        <w:t xml:space="preserve">the </w:t>
      </w:r>
      <w:r w:rsidR="00BE2A04" w:rsidRPr="006664CA">
        <w:rPr>
          <w:rFonts w:ascii="Arial" w:hAnsi="Arial" w:cs="Arial"/>
          <w:sz w:val="24"/>
          <w:szCs w:val="24"/>
        </w:rPr>
        <w:t xml:space="preserve">TEF to duplicate existing access arrangements. </w:t>
      </w:r>
      <w:r w:rsidR="00B15BC4" w:rsidRPr="006664CA">
        <w:rPr>
          <w:rFonts w:ascii="Arial" w:hAnsi="Arial" w:cs="Arial"/>
          <w:sz w:val="24"/>
          <w:szCs w:val="24"/>
        </w:rPr>
        <w:t xml:space="preserve"> </w:t>
      </w:r>
    </w:p>
    <w:p w14:paraId="71A90AC0" w14:textId="77777777" w:rsidR="00FA4A6F" w:rsidRPr="006664CA" w:rsidRDefault="00FA4A6F" w:rsidP="006664CA">
      <w:pPr>
        <w:pStyle w:val="ListParagraph"/>
        <w:tabs>
          <w:tab w:val="left" w:pos="0"/>
        </w:tabs>
        <w:spacing w:after="0"/>
        <w:ind w:left="142"/>
        <w:rPr>
          <w:rFonts w:ascii="Arial" w:hAnsi="Arial" w:cs="Arial"/>
          <w:sz w:val="24"/>
          <w:szCs w:val="24"/>
        </w:rPr>
      </w:pPr>
    </w:p>
    <w:p w14:paraId="7D0E59DD" w14:textId="4564408D" w:rsidR="0032040B" w:rsidRPr="006664CA" w:rsidRDefault="0032040B" w:rsidP="00AF7684">
      <w:pPr>
        <w:pStyle w:val="ListParagraph"/>
        <w:numPr>
          <w:ilvl w:val="0"/>
          <w:numId w:val="18"/>
        </w:numPr>
        <w:tabs>
          <w:tab w:val="left" w:pos="0"/>
        </w:tabs>
        <w:spacing w:after="0"/>
        <w:ind w:left="142" w:hanging="426"/>
        <w:rPr>
          <w:rFonts w:ascii="Arial" w:hAnsi="Arial" w:cs="Arial"/>
          <w:sz w:val="24"/>
          <w:szCs w:val="24"/>
        </w:rPr>
      </w:pPr>
      <w:r w:rsidRPr="006664CA">
        <w:rPr>
          <w:rFonts w:ascii="Arial" w:hAnsi="Arial" w:cs="Arial"/>
          <w:sz w:val="24"/>
          <w:szCs w:val="24"/>
        </w:rPr>
        <w:t>A provider without an Access Agreement that wishes to take part in the TEF must demonstrate what</w:t>
      </w:r>
      <w:r w:rsidR="003D0618" w:rsidRPr="006664CA">
        <w:rPr>
          <w:rFonts w:ascii="Arial" w:hAnsi="Arial" w:cs="Arial"/>
          <w:sz w:val="24"/>
          <w:szCs w:val="24"/>
        </w:rPr>
        <w:t xml:space="preserve"> it</w:t>
      </w:r>
      <w:r w:rsidR="00810C48" w:rsidRPr="006664CA">
        <w:rPr>
          <w:rFonts w:ascii="Arial" w:hAnsi="Arial" w:cs="Arial"/>
          <w:sz w:val="24"/>
          <w:szCs w:val="24"/>
        </w:rPr>
        <w:t xml:space="preserve"> i</w:t>
      </w:r>
      <w:r w:rsidRPr="006664CA">
        <w:rPr>
          <w:rFonts w:ascii="Arial" w:hAnsi="Arial" w:cs="Arial"/>
          <w:sz w:val="24"/>
          <w:szCs w:val="24"/>
        </w:rPr>
        <w:t xml:space="preserve">s doing to widen participation into higher education through submitting a statement capturing </w:t>
      </w:r>
      <w:r w:rsidR="00495BC6" w:rsidRPr="006664CA">
        <w:rPr>
          <w:rFonts w:ascii="Arial" w:hAnsi="Arial" w:cs="Arial"/>
          <w:sz w:val="24"/>
          <w:szCs w:val="24"/>
        </w:rPr>
        <w:t xml:space="preserve">its </w:t>
      </w:r>
      <w:r w:rsidRPr="006664CA">
        <w:rPr>
          <w:rFonts w:ascii="Arial" w:hAnsi="Arial" w:cs="Arial"/>
          <w:sz w:val="24"/>
          <w:szCs w:val="24"/>
        </w:rPr>
        <w:t xml:space="preserve">activity in this area. </w:t>
      </w:r>
      <w:r w:rsidR="004F6E80" w:rsidRPr="006664CA">
        <w:rPr>
          <w:rFonts w:ascii="Arial" w:hAnsi="Arial" w:cs="Arial"/>
          <w:sz w:val="24"/>
          <w:szCs w:val="24"/>
        </w:rPr>
        <w:t>The TEF provider application guidance will provide further detail on the access statements</w:t>
      </w:r>
      <w:r w:rsidR="003A3FC4" w:rsidRPr="006664CA">
        <w:rPr>
          <w:rFonts w:ascii="Arial" w:hAnsi="Arial" w:cs="Arial"/>
          <w:sz w:val="24"/>
          <w:szCs w:val="24"/>
        </w:rPr>
        <w:t xml:space="preserve"> and what they could contain</w:t>
      </w:r>
      <w:r w:rsidR="004F6E80" w:rsidRPr="006664CA">
        <w:rPr>
          <w:rFonts w:ascii="Arial" w:hAnsi="Arial" w:cs="Arial"/>
          <w:sz w:val="24"/>
          <w:szCs w:val="24"/>
        </w:rPr>
        <w:t xml:space="preserve">. </w:t>
      </w:r>
      <w:r w:rsidRPr="006664CA">
        <w:rPr>
          <w:rFonts w:ascii="Arial" w:hAnsi="Arial" w:cs="Arial"/>
          <w:sz w:val="24"/>
          <w:szCs w:val="24"/>
        </w:rPr>
        <w:t>Alongside this statement</w:t>
      </w:r>
      <w:r w:rsidR="002C6203" w:rsidRPr="006664CA">
        <w:rPr>
          <w:rFonts w:ascii="Arial" w:hAnsi="Arial" w:cs="Arial"/>
          <w:sz w:val="24"/>
          <w:szCs w:val="24"/>
        </w:rPr>
        <w:t>,</w:t>
      </w:r>
      <w:r w:rsidRPr="006664CA">
        <w:rPr>
          <w:rFonts w:ascii="Arial" w:hAnsi="Arial" w:cs="Arial"/>
          <w:sz w:val="24"/>
          <w:szCs w:val="24"/>
        </w:rPr>
        <w:t xml:space="preserve"> a provider will be expected to publish data on application, acceptance and progression rates of students broken down by gender, ethnicity and socio-economic background. </w:t>
      </w:r>
    </w:p>
    <w:p w14:paraId="2A9A65B4" w14:textId="77777777" w:rsidR="003D0618" w:rsidRDefault="003D0618" w:rsidP="0032040B">
      <w:pPr>
        <w:spacing w:after="0"/>
        <w:rPr>
          <w:rFonts w:cs="Arial"/>
        </w:rPr>
      </w:pPr>
    </w:p>
    <w:p w14:paraId="32B57572" w14:textId="7817CC43" w:rsidR="008B499A" w:rsidRDefault="0032040B" w:rsidP="00AF7684">
      <w:pPr>
        <w:pStyle w:val="ListParagraph"/>
        <w:numPr>
          <w:ilvl w:val="0"/>
          <w:numId w:val="18"/>
        </w:numPr>
        <w:tabs>
          <w:tab w:val="left" w:pos="0"/>
        </w:tabs>
        <w:spacing w:after="0"/>
        <w:ind w:left="142" w:hanging="426"/>
        <w:rPr>
          <w:rFonts w:ascii="Arial" w:hAnsi="Arial" w:cs="Arial"/>
          <w:sz w:val="24"/>
          <w:szCs w:val="24"/>
        </w:rPr>
      </w:pPr>
      <w:r w:rsidRPr="006664CA">
        <w:rPr>
          <w:rFonts w:ascii="Arial" w:hAnsi="Arial" w:cs="Arial"/>
          <w:sz w:val="24"/>
          <w:szCs w:val="24"/>
        </w:rPr>
        <w:lastRenderedPageBreak/>
        <w:t>The alternative access statements, as with existing Access Agreements, will be published but the alternative access statements will not require approval by the Director of Fair Access.</w:t>
      </w:r>
    </w:p>
    <w:p w14:paraId="44041FA6" w14:textId="77777777" w:rsidR="006664CA" w:rsidRPr="006664CA" w:rsidRDefault="006664CA" w:rsidP="006664CA">
      <w:pPr>
        <w:pStyle w:val="ListParagraph"/>
        <w:tabs>
          <w:tab w:val="left" w:pos="0"/>
        </w:tabs>
        <w:spacing w:after="0"/>
        <w:ind w:left="142"/>
        <w:rPr>
          <w:rFonts w:ascii="Arial" w:hAnsi="Arial" w:cs="Arial"/>
          <w:sz w:val="24"/>
          <w:szCs w:val="24"/>
        </w:rPr>
      </w:pPr>
    </w:p>
    <w:p w14:paraId="7667537A" w14:textId="56E496AD" w:rsidR="008E444B" w:rsidRPr="008F34A5" w:rsidRDefault="008E444B" w:rsidP="00FD0E93">
      <w:pPr>
        <w:pStyle w:val="Heading3"/>
        <w:spacing w:after="0"/>
        <w:ind w:hanging="284"/>
      </w:pPr>
      <w:bookmarkStart w:id="33" w:name="_Toc450147982"/>
      <w:bookmarkStart w:id="34" w:name="_Toc450886552"/>
      <w:r>
        <w:t>Suitable metrics</w:t>
      </w:r>
      <w:bookmarkEnd w:id="33"/>
      <w:bookmarkEnd w:id="34"/>
    </w:p>
    <w:p w14:paraId="74FA70F2" w14:textId="0E466418" w:rsidR="008E444B" w:rsidRPr="00205902" w:rsidRDefault="008E444B" w:rsidP="00AF7684">
      <w:pPr>
        <w:pStyle w:val="ListParagraph"/>
        <w:numPr>
          <w:ilvl w:val="0"/>
          <w:numId w:val="18"/>
        </w:numPr>
        <w:tabs>
          <w:tab w:val="left" w:pos="0"/>
        </w:tabs>
        <w:spacing w:after="0"/>
        <w:ind w:left="142" w:hanging="426"/>
        <w:rPr>
          <w:rFonts w:ascii="Arial" w:hAnsi="Arial" w:cs="Arial"/>
          <w:sz w:val="24"/>
          <w:szCs w:val="24"/>
        </w:rPr>
      </w:pPr>
      <w:r w:rsidRPr="00205902">
        <w:rPr>
          <w:rFonts w:ascii="Arial" w:hAnsi="Arial" w:cs="Arial"/>
          <w:sz w:val="24"/>
          <w:szCs w:val="24"/>
        </w:rPr>
        <w:t xml:space="preserve">Given the key role that core metrics have in informing TEF assessments, providers </w:t>
      </w:r>
      <w:r w:rsidR="00A00E46" w:rsidRPr="00205902">
        <w:rPr>
          <w:rFonts w:ascii="Arial" w:hAnsi="Arial" w:cs="Arial"/>
          <w:sz w:val="24"/>
          <w:szCs w:val="24"/>
        </w:rPr>
        <w:t xml:space="preserve">will </w:t>
      </w:r>
      <w:r w:rsidRPr="00205902">
        <w:rPr>
          <w:rFonts w:ascii="Arial" w:hAnsi="Arial" w:cs="Arial"/>
          <w:sz w:val="24"/>
          <w:szCs w:val="24"/>
        </w:rPr>
        <w:t xml:space="preserve">not be able to apply for a TEF </w:t>
      </w:r>
      <w:r w:rsidR="001A45C3" w:rsidRPr="00205902">
        <w:rPr>
          <w:rFonts w:ascii="Arial" w:hAnsi="Arial" w:cs="Arial"/>
          <w:sz w:val="24"/>
          <w:szCs w:val="24"/>
        </w:rPr>
        <w:t xml:space="preserve">rating </w:t>
      </w:r>
      <w:r w:rsidRPr="00205902">
        <w:rPr>
          <w:rFonts w:ascii="Arial" w:hAnsi="Arial" w:cs="Arial"/>
          <w:sz w:val="24"/>
          <w:szCs w:val="24"/>
        </w:rPr>
        <w:t xml:space="preserve">higher than </w:t>
      </w:r>
      <w:r w:rsidR="001932B4" w:rsidRPr="00205902">
        <w:rPr>
          <w:rFonts w:ascii="Arial" w:hAnsi="Arial" w:cs="Arial"/>
          <w:sz w:val="24"/>
          <w:szCs w:val="24"/>
        </w:rPr>
        <w:t>M</w:t>
      </w:r>
      <w:r w:rsidR="001A45C3" w:rsidRPr="00205902">
        <w:rPr>
          <w:rFonts w:ascii="Arial" w:hAnsi="Arial" w:cs="Arial"/>
          <w:sz w:val="24"/>
          <w:szCs w:val="24"/>
        </w:rPr>
        <w:t>eets</w:t>
      </w:r>
      <w:r w:rsidR="001932B4" w:rsidRPr="00205902">
        <w:rPr>
          <w:rFonts w:ascii="Arial" w:hAnsi="Arial" w:cs="Arial"/>
          <w:sz w:val="24"/>
          <w:szCs w:val="24"/>
        </w:rPr>
        <w:t xml:space="preserve"> Expectations</w:t>
      </w:r>
      <w:r w:rsidR="001A45C3" w:rsidRPr="00205902">
        <w:rPr>
          <w:rFonts w:ascii="Arial" w:hAnsi="Arial" w:cs="Arial"/>
          <w:sz w:val="24"/>
          <w:szCs w:val="24"/>
        </w:rPr>
        <w:t xml:space="preserve"> </w:t>
      </w:r>
      <w:r w:rsidRPr="00205902">
        <w:rPr>
          <w:rFonts w:ascii="Arial" w:hAnsi="Arial" w:cs="Arial"/>
          <w:sz w:val="24"/>
          <w:szCs w:val="24"/>
        </w:rPr>
        <w:t xml:space="preserve">if they do not have a </w:t>
      </w:r>
      <w:r w:rsidRPr="00205902">
        <w:rPr>
          <w:rFonts w:ascii="Arial" w:hAnsi="Arial" w:cs="Arial"/>
          <w:b/>
          <w:sz w:val="24"/>
          <w:szCs w:val="24"/>
        </w:rPr>
        <w:t>minimum set of reportable metrics</w:t>
      </w:r>
      <w:r w:rsidRPr="00205902">
        <w:rPr>
          <w:rFonts w:ascii="Arial" w:hAnsi="Arial" w:cs="Arial"/>
          <w:sz w:val="24"/>
          <w:szCs w:val="24"/>
        </w:rPr>
        <w:t xml:space="preserve"> (reportable metrics are defined in </w:t>
      </w:r>
      <w:r w:rsidRPr="00205902">
        <w:rPr>
          <w:rFonts w:ascii="Arial" w:hAnsi="Arial" w:cs="Arial"/>
          <w:b/>
          <w:sz w:val="24"/>
          <w:szCs w:val="24"/>
        </w:rPr>
        <w:t>Chapter 3</w:t>
      </w:r>
      <w:r w:rsidR="00810C48" w:rsidRPr="00205902">
        <w:rPr>
          <w:rFonts w:ascii="Arial" w:hAnsi="Arial" w:cs="Arial"/>
          <w:b/>
          <w:sz w:val="24"/>
          <w:szCs w:val="24"/>
        </w:rPr>
        <w:t>a</w:t>
      </w:r>
      <w:r w:rsidRPr="00205902">
        <w:rPr>
          <w:rFonts w:ascii="Arial" w:hAnsi="Arial" w:cs="Arial"/>
          <w:b/>
          <w:sz w:val="24"/>
          <w:szCs w:val="24"/>
        </w:rPr>
        <w:t>: Evidence – Metrics</w:t>
      </w:r>
      <w:r w:rsidRPr="00205902">
        <w:rPr>
          <w:rFonts w:ascii="Arial" w:hAnsi="Arial" w:cs="Arial"/>
          <w:sz w:val="24"/>
          <w:szCs w:val="24"/>
        </w:rPr>
        <w:t>).</w:t>
      </w:r>
    </w:p>
    <w:p w14:paraId="46CBD70B" w14:textId="77777777" w:rsidR="008E444B" w:rsidRDefault="008E444B" w:rsidP="008E444B">
      <w:pPr>
        <w:spacing w:after="0"/>
        <w:rPr>
          <w:rFonts w:cs="Arial"/>
        </w:rPr>
      </w:pPr>
    </w:p>
    <w:p w14:paraId="2A4122F7" w14:textId="77777777" w:rsidR="00205902" w:rsidRPr="00205902" w:rsidRDefault="00464E1B" w:rsidP="00AF7684">
      <w:pPr>
        <w:pStyle w:val="ListParagraph"/>
        <w:numPr>
          <w:ilvl w:val="0"/>
          <w:numId w:val="18"/>
        </w:numPr>
        <w:tabs>
          <w:tab w:val="left" w:pos="0"/>
        </w:tabs>
        <w:spacing w:after="0"/>
        <w:ind w:left="142" w:hanging="426"/>
        <w:rPr>
          <w:rFonts w:ascii="Arial" w:hAnsi="Arial" w:cs="Arial"/>
          <w:sz w:val="24"/>
          <w:szCs w:val="24"/>
        </w:rPr>
      </w:pPr>
      <w:r w:rsidRPr="00205902">
        <w:rPr>
          <w:rFonts w:ascii="Arial" w:hAnsi="Arial" w:cs="Arial"/>
          <w:sz w:val="24"/>
          <w:szCs w:val="24"/>
        </w:rPr>
        <w:t xml:space="preserve">The minimum </w:t>
      </w:r>
      <w:proofErr w:type="gramStart"/>
      <w:r w:rsidRPr="00205902">
        <w:rPr>
          <w:rFonts w:ascii="Arial" w:hAnsi="Arial" w:cs="Arial"/>
          <w:sz w:val="24"/>
          <w:szCs w:val="24"/>
        </w:rPr>
        <w:t>set of metrics are</w:t>
      </w:r>
      <w:proofErr w:type="gramEnd"/>
      <w:r w:rsidRPr="00205902">
        <w:rPr>
          <w:rFonts w:ascii="Arial" w:hAnsi="Arial" w:cs="Arial"/>
          <w:sz w:val="24"/>
          <w:szCs w:val="24"/>
        </w:rPr>
        <w:t xml:space="preserve"> at least one reportable metric for each of the three areas from which core metrics are derived (student satisfaction, non-continuation and employment/destinations).</w:t>
      </w:r>
    </w:p>
    <w:p w14:paraId="02AAE078" w14:textId="77777777" w:rsidR="00205902" w:rsidRPr="00205902" w:rsidRDefault="00205902" w:rsidP="00205902">
      <w:pPr>
        <w:pStyle w:val="ListParagraph"/>
        <w:tabs>
          <w:tab w:val="left" w:pos="0"/>
        </w:tabs>
        <w:spacing w:after="0"/>
        <w:ind w:left="142"/>
        <w:rPr>
          <w:rFonts w:ascii="Arial" w:hAnsi="Arial" w:cs="Arial"/>
          <w:sz w:val="24"/>
          <w:szCs w:val="24"/>
        </w:rPr>
      </w:pPr>
    </w:p>
    <w:p w14:paraId="3B5E04D7" w14:textId="7F96CAF8" w:rsidR="00205902" w:rsidRPr="00205902" w:rsidRDefault="001D1D6C" w:rsidP="00AF7684">
      <w:pPr>
        <w:pStyle w:val="ListParagraph"/>
        <w:numPr>
          <w:ilvl w:val="0"/>
          <w:numId w:val="18"/>
        </w:numPr>
        <w:tabs>
          <w:tab w:val="left" w:pos="0"/>
        </w:tabs>
        <w:spacing w:after="0"/>
        <w:ind w:left="142" w:hanging="426"/>
        <w:rPr>
          <w:rFonts w:ascii="Arial" w:hAnsi="Arial" w:cs="Arial"/>
          <w:sz w:val="24"/>
          <w:szCs w:val="24"/>
        </w:rPr>
      </w:pPr>
      <w:r w:rsidRPr="00205902">
        <w:rPr>
          <w:rFonts w:ascii="Arial" w:hAnsi="Arial" w:cs="Arial"/>
          <w:sz w:val="24"/>
          <w:szCs w:val="24"/>
        </w:rPr>
        <w:t xml:space="preserve">We propose in </w:t>
      </w:r>
      <w:r w:rsidRPr="00205902">
        <w:rPr>
          <w:rFonts w:ascii="Arial" w:hAnsi="Arial" w:cs="Arial"/>
          <w:b/>
          <w:sz w:val="24"/>
          <w:szCs w:val="24"/>
        </w:rPr>
        <w:t>Chapter 4: The Assessment Process</w:t>
      </w:r>
      <w:r w:rsidRPr="00205902">
        <w:rPr>
          <w:rFonts w:ascii="Arial" w:hAnsi="Arial" w:cs="Arial"/>
          <w:sz w:val="24"/>
          <w:szCs w:val="24"/>
        </w:rPr>
        <w:t xml:space="preserve"> that where a provider does not have the full three years</w:t>
      </w:r>
      <w:r w:rsidR="0048556E">
        <w:rPr>
          <w:rFonts w:ascii="Arial" w:hAnsi="Arial" w:cs="Arial"/>
          <w:sz w:val="24"/>
          <w:szCs w:val="24"/>
        </w:rPr>
        <w:t xml:space="preserve"> of</w:t>
      </w:r>
      <w:r w:rsidRPr="00205902">
        <w:rPr>
          <w:rFonts w:ascii="Arial" w:hAnsi="Arial" w:cs="Arial"/>
          <w:sz w:val="24"/>
          <w:szCs w:val="24"/>
        </w:rPr>
        <w:t xml:space="preserve"> data for any of the metrics, the duration of the TEF award will be reduced </w:t>
      </w:r>
      <w:r w:rsidR="00AD241D" w:rsidRPr="00205902">
        <w:rPr>
          <w:rFonts w:ascii="Arial" w:hAnsi="Arial" w:cs="Arial"/>
          <w:sz w:val="24"/>
          <w:szCs w:val="24"/>
        </w:rPr>
        <w:t xml:space="preserve">to reflect the number of complete years of data they can provide </w:t>
      </w:r>
      <w:r w:rsidR="003D0618" w:rsidRPr="00205902">
        <w:rPr>
          <w:rFonts w:ascii="Arial" w:hAnsi="Arial" w:cs="Arial"/>
          <w:sz w:val="24"/>
          <w:szCs w:val="24"/>
        </w:rPr>
        <w:t>(i</w:t>
      </w:r>
      <w:r w:rsidR="001708F9">
        <w:rPr>
          <w:rFonts w:ascii="Arial" w:hAnsi="Arial" w:cs="Arial"/>
          <w:sz w:val="24"/>
          <w:szCs w:val="24"/>
        </w:rPr>
        <w:t>.</w:t>
      </w:r>
      <w:r w:rsidR="003D0618" w:rsidRPr="00205902">
        <w:rPr>
          <w:rFonts w:ascii="Arial" w:hAnsi="Arial" w:cs="Arial"/>
          <w:sz w:val="24"/>
          <w:szCs w:val="24"/>
        </w:rPr>
        <w:t>e</w:t>
      </w:r>
      <w:r w:rsidR="001708F9">
        <w:rPr>
          <w:rFonts w:ascii="Arial" w:hAnsi="Arial" w:cs="Arial"/>
          <w:sz w:val="24"/>
          <w:szCs w:val="24"/>
        </w:rPr>
        <w:t>.</w:t>
      </w:r>
      <w:r w:rsidR="003D0618" w:rsidRPr="00205902">
        <w:rPr>
          <w:rFonts w:ascii="Arial" w:hAnsi="Arial" w:cs="Arial"/>
          <w:sz w:val="24"/>
          <w:szCs w:val="24"/>
        </w:rPr>
        <w:t xml:space="preserve"> if the provider only has one year of complete data, then it will receive an award that is valid for one year</w:t>
      </w:r>
      <w:r w:rsidR="003021C8">
        <w:rPr>
          <w:rFonts w:ascii="Arial" w:hAnsi="Arial" w:cs="Arial"/>
          <w:sz w:val="24"/>
          <w:szCs w:val="24"/>
        </w:rPr>
        <w:t xml:space="preserve"> and if it has two years</w:t>
      </w:r>
      <w:r w:rsidR="0075340D" w:rsidRPr="00205902">
        <w:rPr>
          <w:rFonts w:ascii="Arial" w:hAnsi="Arial" w:cs="Arial"/>
          <w:sz w:val="24"/>
          <w:szCs w:val="24"/>
        </w:rPr>
        <w:t xml:space="preserve"> of complete data, it will receive an award that is valid for two years</w:t>
      </w:r>
      <w:r w:rsidR="003D0618" w:rsidRPr="00205902">
        <w:rPr>
          <w:rFonts w:ascii="Arial" w:hAnsi="Arial" w:cs="Arial"/>
          <w:sz w:val="24"/>
          <w:szCs w:val="24"/>
        </w:rPr>
        <w:t xml:space="preserve">) </w:t>
      </w:r>
      <w:r w:rsidR="00AD241D" w:rsidRPr="00205902">
        <w:rPr>
          <w:rFonts w:ascii="Arial" w:hAnsi="Arial" w:cs="Arial"/>
          <w:sz w:val="24"/>
          <w:szCs w:val="24"/>
        </w:rPr>
        <w:t xml:space="preserve">and they will need to reapply if they wish to maintain their award. </w:t>
      </w:r>
    </w:p>
    <w:p w14:paraId="2EB8911F" w14:textId="77777777" w:rsidR="00205902" w:rsidRPr="00205902" w:rsidRDefault="00205902" w:rsidP="00205902">
      <w:pPr>
        <w:pStyle w:val="ListParagraph"/>
        <w:tabs>
          <w:tab w:val="left" w:pos="0"/>
        </w:tabs>
        <w:spacing w:after="0"/>
        <w:ind w:left="142"/>
        <w:rPr>
          <w:rFonts w:ascii="Arial" w:hAnsi="Arial" w:cs="Arial"/>
          <w:sz w:val="24"/>
          <w:szCs w:val="24"/>
        </w:rPr>
      </w:pPr>
    </w:p>
    <w:p w14:paraId="6C72C2AA" w14:textId="77777777" w:rsidR="00205902" w:rsidRPr="00205902" w:rsidRDefault="00E533B0" w:rsidP="00AF7684">
      <w:pPr>
        <w:pStyle w:val="ListParagraph"/>
        <w:numPr>
          <w:ilvl w:val="0"/>
          <w:numId w:val="18"/>
        </w:numPr>
        <w:tabs>
          <w:tab w:val="left" w:pos="0"/>
        </w:tabs>
        <w:spacing w:after="0"/>
        <w:ind w:left="142" w:hanging="426"/>
        <w:rPr>
          <w:rFonts w:ascii="Arial" w:hAnsi="Arial" w:cs="Arial"/>
          <w:sz w:val="24"/>
          <w:szCs w:val="24"/>
        </w:rPr>
      </w:pPr>
      <w:r w:rsidRPr="00205902">
        <w:rPr>
          <w:rFonts w:ascii="Arial" w:hAnsi="Arial" w:cs="Arial"/>
          <w:sz w:val="24"/>
          <w:szCs w:val="24"/>
        </w:rPr>
        <w:t xml:space="preserve">We recognise that this means that some providers, including a substantial number of Alternative Providers and some Further Education Colleges will be unable to apply in Year Two for higher ratings. However, we think it is important to ensure that assessments take into account common factors via the core metrics in order to enable comparable judgments to be made. </w:t>
      </w:r>
    </w:p>
    <w:p w14:paraId="4B3C78B3" w14:textId="77777777" w:rsidR="00205902" w:rsidRPr="00205902" w:rsidRDefault="00205902" w:rsidP="00205902">
      <w:pPr>
        <w:pStyle w:val="ListParagraph"/>
        <w:tabs>
          <w:tab w:val="left" w:pos="0"/>
        </w:tabs>
        <w:spacing w:after="0"/>
        <w:ind w:left="142"/>
        <w:rPr>
          <w:rFonts w:ascii="Arial" w:hAnsi="Arial" w:cs="Arial"/>
          <w:sz w:val="24"/>
          <w:szCs w:val="24"/>
        </w:rPr>
      </w:pPr>
    </w:p>
    <w:p w14:paraId="79B17B2C" w14:textId="506A72EC" w:rsidR="00205902" w:rsidRPr="00552B6D" w:rsidRDefault="00495BC6" w:rsidP="00AF7684">
      <w:pPr>
        <w:pStyle w:val="ListParagraph"/>
        <w:numPr>
          <w:ilvl w:val="0"/>
          <w:numId w:val="18"/>
        </w:numPr>
        <w:tabs>
          <w:tab w:val="left" w:pos="0"/>
        </w:tabs>
        <w:spacing w:after="0"/>
        <w:ind w:left="142" w:hanging="426"/>
        <w:rPr>
          <w:rFonts w:ascii="Arial" w:hAnsi="Arial" w:cs="Arial"/>
          <w:sz w:val="24"/>
          <w:szCs w:val="24"/>
        </w:rPr>
      </w:pPr>
      <w:r w:rsidRPr="00552B6D">
        <w:rPr>
          <w:rFonts w:ascii="Arial" w:hAnsi="Arial" w:cs="Arial"/>
          <w:sz w:val="24"/>
          <w:szCs w:val="24"/>
        </w:rPr>
        <w:t>Providers that opt to apply to the TEF</w:t>
      </w:r>
      <w:r w:rsidR="00552B6D" w:rsidRPr="00552B6D">
        <w:rPr>
          <w:rFonts w:ascii="Arial" w:hAnsi="Arial" w:cs="Arial"/>
          <w:sz w:val="24"/>
          <w:szCs w:val="24"/>
        </w:rPr>
        <w:t>, who</w:t>
      </w:r>
      <w:r w:rsidRPr="00552B6D">
        <w:rPr>
          <w:rFonts w:ascii="Arial" w:hAnsi="Arial" w:cs="Arial"/>
          <w:sz w:val="24"/>
          <w:szCs w:val="24"/>
        </w:rPr>
        <w:t xml:space="preserve"> meet the eligibility requirements for a rating of Meets Expectations but are unable to demonstrate suitable metrics and therefore apply for a higher rating, will receive a rating of Meets Expectations with an acknowledgement that they are unable to apply for higher TEF ratings on procedural grounds. </w:t>
      </w:r>
    </w:p>
    <w:p w14:paraId="343DFEED" w14:textId="77777777" w:rsidR="00205902" w:rsidRPr="00205902" w:rsidRDefault="00205902" w:rsidP="00205902">
      <w:pPr>
        <w:pStyle w:val="ListParagraph"/>
        <w:tabs>
          <w:tab w:val="left" w:pos="0"/>
        </w:tabs>
        <w:spacing w:after="0"/>
        <w:ind w:left="142"/>
        <w:rPr>
          <w:rFonts w:ascii="Arial" w:hAnsi="Arial" w:cs="Arial"/>
          <w:sz w:val="24"/>
          <w:szCs w:val="24"/>
        </w:rPr>
      </w:pPr>
    </w:p>
    <w:p w14:paraId="18A14316" w14:textId="77777777" w:rsidR="00205902" w:rsidRPr="00205902" w:rsidRDefault="00A00E46" w:rsidP="00AF7684">
      <w:pPr>
        <w:pStyle w:val="ListParagraph"/>
        <w:numPr>
          <w:ilvl w:val="0"/>
          <w:numId w:val="18"/>
        </w:numPr>
        <w:tabs>
          <w:tab w:val="left" w:pos="0"/>
        </w:tabs>
        <w:spacing w:after="0"/>
        <w:ind w:left="142" w:hanging="426"/>
        <w:rPr>
          <w:rFonts w:ascii="Arial" w:hAnsi="Arial" w:cs="Arial"/>
          <w:sz w:val="24"/>
          <w:szCs w:val="24"/>
        </w:rPr>
      </w:pPr>
      <w:r w:rsidRPr="00205902">
        <w:rPr>
          <w:rFonts w:ascii="Arial" w:hAnsi="Arial" w:cs="Arial"/>
          <w:sz w:val="24"/>
          <w:szCs w:val="24"/>
        </w:rPr>
        <w:t xml:space="preserve">This </w:t>
      </w:r>
      <w:r w:rsidR="003D0618" w:rsidRPr="00205902">
        <w:rPr>
          <w:rFonts w:ascii="Arial" w:hAnsi="Arial" w:cs="Arial"/>
          <w:sz w:val="24"/>
          <w:szCs w:val="24"/>
        </w:rPr>
        <w:t xml:space="preserve">reflects that they will have </w:t>
      </w:r>
      <w:r w:rsidR="00C46C22" w:rsidRPr="00205902">
        <w:rPr>
          <w:rFonts w:ascii="Arial" w:hAnsi="Arial" w:cs="Arial"/>
          <w:sz w:val="24"/>
          <w:szCs w:val="24"/>
        </w:rPr>
        <w:t xml:space="preserve">met </w:t>
      </w:r>
      <w:r w:rsidR="003D0618" w:rsidRPr="00205902">
        <w:rPr>
          <w:rFonts w:ascii="Arial" w:hAnsi="Arial" w:cs="Arial"/>
          <w:sz w:val="24"/>
          <w:szCs w:val="24"/>
        </w:rPr>
        <w:t>the eligibility criteria, including demonstrating a valid quality assurance review</w:t>
      </w:r>
      <w:r w:rsidR="00C46C22" w:rsidRPr="00205902">
        <w:rPr>
          <w:rFonts w:ascii="Arial" w:hAnsi="Arial" w:cs="Arial"/>
          <w:sz w:val="24"/>
          <w:szCs w:val="24"/>
        </w:rPr>
        <w:t xml:space="preserve"> but</w:t>
      </w:r>
      <w:r w:rsidR="003D0618" w:rsidRPr="00205902">
        <w:rPr>
          <w:rFonts w:ascii="Arial" w:hAnsi="Arial" w:cs="Arial"/>
          <w:sz w:val="24"/>
          <w:szCs w:val="24"/>
        </w:rPr>
        <w:t xml:space="preserve"> </w:t>
      </w:r>
      <w:r w:rsidR="00C46C22" w:rsidRPr="00205902">
        <w:rPr>
          <w:rFonts w:ascii="Arial" w:hAnsi="Arial" w:cs="Arial"/>
          <w:sz w:val="24"/>
          <w:szCs w:val="24"/>
        </w:rPr>
        <w:t>are</w:t>
      </w:r>
      <w:r w:rsidR="003A0D42" w:rsidRPr="00205902">
        <w:rPr>
          <w:rFonts w:ascii="Arial" w:hAnsi="Arial" w:cs="Arial"/>
          <w:sz w:val="24"/>
          <w:szCs w:val="24"/>
        </w:rPr>
        <w:t xml:space="preserve"> unable to apply to be assessed</w:t>
      </w:r>
      <w:r w:rsidR="00C46C22" w:rsidRPr="00205902">
        <w:rPr>
          <w:rFonts w:ascii="Arial" w:hAnsi="Arial" w:cs="Arial"/>
          <w:sz w:val="24"/>
          <w:szCs w:val="24"/>
        </w:rPr>
        <w:t xml:space="preserve"> for a higher rating. A rating of Meets Expectations on procedural grounds </w:t>
      </w:r>
      <w:r w:rsidR="003A0D42" w:rsidRPr="00205902">
        <w:rPr>
          <w:rFonts w:ascii="Arial" w:hAnsi="Arial" w:cs="Arial"/>
          <w:sz w:val="24"/>
          <w:szCs w:val="24"/>
        </w:rPr>
        <w:t>mitigate</w:t>
      </w:r>
      <w:r w:rsidR="00C46C22" w:rsidRPr="00205902">
        <w:rPr>
          <w:rFonts w:ascii="Arial" w:hAnsi="Arial" w:cs="Arial"/>
          <w:sz w:val="24"/>
          <w:szCs w:val="24"/>
        </w:rPr>
        <w:t>s</w:t>
      </w:r>
      <w:r w:rsidR="003A0D42" w:rsidRPr="00205902">
        <w:rPr>
          <w:rFonts w:ascii="Arial" w:hAnsi="Arial" w:cs="Arial"/>
          <w:sz w:val="24"/>
          <w:szCs w:val="24"/>
        </w:rPr>
        <w:t xml:space="preserve"> the reputational impact that this may have on some providers</w:t>
      </w:r>
      <w:r w:rsidR="00C46C22" w:rsidRPr="00205902">
        <w:rPr>
          <w:rFonts w:ascii="Arial" w:hAnsi="Arial" w:cs="Arial"/>
          <w:sz w:val="24"/>
          <w:szCs w:val="24"/>
        </w:rPr>
        <w:t>.</w:t>
      </w:r>
      <w:r w:rsidR="003A0D42" w:rsidRPr="00205902">
        <w:rPr>
          <w:rFonts w:ascii="Arial" w:hAnsi="Arial" w:cs="Arial"/>
          <w:sz w:val="24"/>
          <w:szCs w:val="24"/>
        </w:rPr>
        <w:t xml:space="preserve"> </w:t>
      </w:r>
    </w:p>
    <w:p w14:paraId="350D668A" w14:textId="77777777" w:rsidR="00205902" w:rsidRPr="00205902" w:rsidRDefault="00205902" w:rsidP="00205902">
      <w:pPr>
        <w:pStyle w:val="ListParagraph"/>
        <w:tabs>
          <w:tab w:val="left" w:pos="0"/>
        </w:tabs>
        <w:spacing w:after="0"/>
        <w:ind w:left="142"/>
        <w:rPr>
          <w:rFonts w:ascii="Arial" w:hAnsi="Arial" w:cs="Arial"/>
          <w:sz w:val="24"/>
          <w:szCs w:val="24"/>
        </w:rPr>
      </w:pPr>
    </w:p>
    <w:p w14:paraId="37108F98" w14:textId="7D976BBE" w:rsidR="00524877" w:rsidRPr="00205902" w:rsidRDefault="00D93743" w:rsidP="00AF7684">
      <w:pPr>
        <w:pStyle w:val="ListParagraph"/>
        <w:numPr>
          <w:ilvl w:val="0"/>
          <w:numId w:val="18"/>
        </w:numPr>
        <w:tabs>
          <w:tab w:val="left" w:pos="0"/>
        </w:tabs>
        <w:spacing w:after="0"/>
        <w:ind w:left="142" w:hanging="426"/>
        <w:rPr>
          <w:rFonts w:ascii="Arial" w:hAnsi="Arial" w:cs="Arial"/>
          <w:sz w:val="24"/>
          <w:szCs w:val="24"/>
        </w:rPr>
      </w:pPr>
      <w:r w:rsidRPr="00205902">
        <w:rPr>
          <w:rFonts w:ascii="Arial" w:hAnsi="Arial" w:cs="Arial"/>
          <w:sz w:val="24"/>
          <w:szCs w:val="24"/>
        </w:rPr>
        <w:t>Finally, to minimise burdens at the outset, we do not intend to include a demonstration of compliance with C</w:t>
      </w:r>
      <w:r w:rsidR="00432989" w:rsidRPr="00205902">
        <w:rPr>
          <w:rFonts w:ascii="Arial" w:hAnsi="Arial" w:cs="Arial"/>
          <w:sz w:val="24"/>
          <w:szCs w:val="24"/>
        </w:rPr>
        <w:t xml:space="preserve">ompetition and </w:t>
      </w:r>
      <w:r w:rsidRPr="00205902">
        <w:rPr>
          <w:rFonts w:ascii="Arial" w:hAnsi="Arial" w:cs="Arial"/>
          <w:sz w:val="24"/>
          <w:szCs w:val="24"/>
        </w:rPr>
        <w:t>M</w:t>
      </w:r>
      <w:r w:rsidR="00432989" w:rsidRPr="00205902">
        <w:rPr>
          <w:rFonts w:ascii="Arial" w:hAnsi="Arial" w:cs="Arial"/>
          <w:sz w:val="24"/>
          <w:szCs w:val="24"/>
        </w:rPr>
        <w:t xml:space="preserve">arkets </w:t>
      </w:r>
      <w:r w:rsidRPr="00205902">
        <w:rPr>
          <w:rFonts w:ascii="Arial" w:hAnsi="Arial" w:cs="Arial"/>
          <w:sz w:val="24"/>
          <w:szCs w:val="24"/>
        </w:rPr>
        <w:t>A</w:t>
      </w:r>
      <w:r w:rsidR="00432989" w:rsidRPr="00205902">
        <w:rPr>
          <w:rFonts w:ascii="Arial" w:hAnsi="Arial" w:cs="Arial"/>
          <w:sz w:val="24"/>
          <w:szCs w:val="24"/>
        </w:rPr>
        <w:t>uthority</w:t>
      </w:r>
      <w:r w:rsidRPr="00205902">
        <w:rPr>
          <w:rFonts w:ascii="Arial" w:hAnsi="Arial" w:cs="Arial"/>
          <w:sz w:val="24"/>
          <w:szCs w:val="24"/>
        </w:rPr>
        <w:t xml:space="preserve"> </w:t>
      </w:r>
      <w:r w:rsidR="00432989" w:rsidRPr="00205902">
        <w:rPr>
          <w:rFonts w:ascii="Arial" w:hAnsi="Arial" w:cs="Arial"/>
          <w:sz w:val="24"/>
          <w:szCs w:val="24"/>
        </w:rPr>
        <w:t xml:space="preserve">(CMA) </w:t>
      </w:r>
      <w:r w:rsidRPr="00205902">
        <w:rPr>
          <w:rFonts w:ascii="Arial" w:hAnsi="Arial" w:cs="Arial"/>
          <w:sz w:val="24"/>
          <w:szCs w:val="24"/>
        </w:rPr>
        <w:t xml:space="preserve">guidance on student information as a pre-requisite for </w:t>
      </w:r>
      <w:r w:rsidR="007B65C7" w:rsidRPr="00205902">
        <w:rPr>
          <w:rFonts w:ascii="Arial" w:hAnsi="Arial" w:cs="Arial"/>
          <w:sz w:val="24"/>
          <w:szCs w:val="24"/>
        </w:rPr>
        <w:t>Year Two</w:t>
      </w:r>
      <w:r w:rsidRPr="00205902">
        <w:rPr>
          <w:rFonts w:ascii="Arial" w:hAnsi="Arial" w:cs="Arial"/>
          <w:sz w:val="24"/>
          <w:szCs w:val="24"/>
        </w:rPr>
        <w:t xml:space="preserve">. We have set out further detail on our expectations about future CMA compliance in Year </w:t>
      </w:r>
      <w:r w:rsidR="007B65C7" w:rsidRPr="00205902">
        <w:rPr>
          <w:rFonts w:ascii="Arial" w:hAnsi="Arial" w:cs="Arial"/>
          <w:sz w:val="24"/>
          <w:szCs w:val="24"/>
        </w:rPr>
        <w:t>Three</w:t>
      </w:r>
      <w:r w:rsidRPr="00205902">
        <w:rPr>
          <w:rFonts w:ascii="Arial" w:hAnsi="Arial" w:cs="Arial"/>
          <w:sz w:val="24"/>
          <w:szCs w:val="24"/>
        </w:rPr>
        <w:t xml:space="preserve"> onwards in the White Paper. </w:t>
      </w:r>
    </w:p>
    <w:p w14:paraId="1161890C" w14:textId="77777777" w:rsidR="00524877" w:rsidRDefault="00524877" w:rsidP="006A0B80"/>
    <w:p w14:paraId="65D34821" w14:textId="77777777" w:rsidR="002F2BAC" w:rsidRDefault="002F2BAC" w:rsidP="006A0B80"/>
    <w:p w14:paraId="059C669B" w14:textId="77777777" w:rsidR="00205902" w:rsidRDefault="00205902" w:rsidP="006A0B80"/>
    <w:p w14:paraId="3B6DF838" w14:textId="77777777" w:rsidR="0031533F" w:rsidRDefault="0031533F" w:rsidP="00FD0E93">
      <w:pPr>
        <w:pStyle w:val="Heading2"/>
        <w:ind w:hanging="284"/>
      </w:pPr>
      <w:bookmarkStart w:id="35" w:name="_Toc450147983"/>
      <w:bookmarkStart w:id="36" w:name="_Toc450886553"/>
      <w:r>
        <w:lastRenderedPageBreak/>
        <w:t>3a. Evidence – Metrics</w:t>
      </w:r>
      <w:bookmarkEnd w:id="35"/>
      <w:bookmarkEnd w:id="36"/>
      <w:r>
        <w:t xml:space="preserve"> </w:t>
      </w:r>
    </w:p>
    <w:p w14:paraId="21F40570" w14:textId="77777777" w:rsidR="00205902" w:rsidRDefault="0031533F" w:rsidP="00AF7684">
      <w:pPr>
        <w:pStyle w:val="ListParagraph"/>
        <w:numPr>
          <w:ilvl w:val="0"/>
          <w:numId w:val="18"/>
        </w:numPr>
        <w:tabs>
          <w:tab w:val="left" w:pos="142"/>
        </w:tabs>
        <w:spacing w:after="0"/>
        <w:ind w:left="142" w:hanging="426"/>
        <w:rPr>
          <w:rFonts w:ascii="Arial" w:hAnsi="Arial" w:cs="Arial"/>
          <w:b/>
          <w:sz w:val="24"/>
          <w:szCs w:val="24"/>
        </w:rPr>
      </w:pPr>
      <w:r w:rsidRPr="00205902">
        <w:rPr>
          <w:rFonts w:ascii="Arial" w:hAnsi="Arial" w:cs="Arial"/>
          <w:b/>
          <w:sz w:val="24"/>
          <w:szCs w:val="24"/>
        </w:rPr>
        <w:t>The TEF will draw on currently</w:t>
      </w:r>
      <w:r w:rsidR="00347C8E" w:rsidRPr="00205902">
        <w:rPr>
          <w:rFonts w:ascii="Arial" w:hAnsi="Arial" w:cs="Arial"/>
          <w:b/>
          <w:sz w:val="24"/>
          <w:szCs w:val="24"/>
        </w:rPr>
        <w:t xml:space="preserve"> </w:t>
      </w:r>
      <w:r w:rsidRPr="00205902">
        <w:rPr>
          <w:rFonts w:ascii="Arial" w:hAnsi="Arial" w:cs="Arial"/>
          <w:b/>
          <w:sz w:val="24"/>
          <w:szCs w:val="24"/>
        </w:rPr>
        <w:t>available</w:t>
      </w:r>
      <w:r w:rsidR="007106ED" w:rsidRPr="00205902">
        <w:rPr>
          <w:rFonts w:ascii="Arial" w:hAnsi="Arial" w:cs="Arial"/>
          <w:b/>
          <w:sz w:val="24"/>
          <w:szCs w:val="24"/>
        </w:rPr>
        <w:t>,</w:t>
      </w:r>
      <w:r w:rsidRPr="00205902">
        <w:rPr>
          <w:rFonts w:ascii="Arial" w:hAnsi="Arial" w:cs="Arial"/>
          <w:b/>
          <w:sz w:val="24"/>
          <w:szCs w:val="24"/>
        </w:rPr>
        <w:t xml:space="preserve"> nationally</w:t>
      </w:r>
      <w:r w:rsidR="00347C8E" w:rsidRPr="00205902">
        <w:rPr>
          <w:rFonts w:ascii="Arial" w:hAnsi="Arial" w:cs="Arial"/>
          <w:b/>
          <w:sz w:val="24"/>
          <w:szCs w:val="24"/>
        </w:rPr>
        <w:t xml:space="preserve"> </w:t>
      </w:r>
      <w:r w:rsidRPr="00205902">
        <w:rPr>
          <w:rFonts w:ascii="Arial" w:hAnsi="Arial" w:cs="Arial"/>
          <w:b/>
          <w:sz w:val="24"/>
          <w:szCs w:val="24"/>
        </w:rPr>
        <w:t xml:space="preserve">collected data, to provide assessors with a common set of metrics that relate to each of the aspects of teaching excellence. These metrics will be considered by assessors alongside the </w:t>
      </w:r>
      <w:r w:rsidR="007106ED" w:rsidRPr="00205902">
        <w:rPr>
          <w:rFonts w:ascii="Arial" w:hAnsi="Arial" w:cs="Arial"/>
          <w:b/>
          <w:sz w:val="24"/>
          <w:szCs w:val="24"/>
        </w:rPr>
        <w:t xml:space="preserve">evidence contained in a </w:t>
      </w:r>
      <w:r w:rsidRPr="00205902">
        <w:rPr>
          <w:rFonts w:ascii="Arial" w:hAnsi="Arial" w:cs="Arial"/>
          <w:b/>
          <w:sz w:val="24"/>
          <w:szCs w:val="24"/>
        </w:rPr>
        <w:t xml:space="preserve">provider submission </w:t>
      </w:r>
      <w:r w:rsidR="007106ED" w:rsidRPr="00205902">
        <w:rPr>
          <w:rFonts w:ascii="Arial" w:hAnsi="Arial" w:cs="Arial"/>
          <w:b/>
          <w:sz w:val="24"/>
          <w:szCs w:val="24"/>
        </w:rPr>
        <w:t xml:space="preserve">(see </w:t>
      </w:r>
      <w:r w:rsidR="00CE5A51" w:rsidRPr="00205902">
        <w:rPr>
          <w:rFonts w:ascii="Arial" w:hAnsi="Arial" w:cs="Arial"/>
          <w:b/>
          <w:sz w:val="24"/>
          <w:szCs w:val="24"/>
        </w:rPr>
        <w:t xml:space="preserve">Chapter </w:t>
      </w:r>
      <w:r w:rsidR="007106ED" w:rsidRPr="00205902">
        <w:rPr>
          <w:rFonts w:ascii="Arial" w:hAnsi="Arial" w:cs="Arial"/>
          <w:b/>
          <w:sz w:val="24"/>
          <w:szCs w:val="24"/>
        </w:rPr>
        <w:t>3</w:t>
      </w:r>
      <w:r w:rsidR="00CE5A51" w:rsidRPr="00205902">
        <w:rPr>
          <w:rFonts w:ascii="Arial" w:hAnsi="Arial" w:cs="Arial"/>
          <w:b/>
          <w:sz w:val="24"/>
          <w:szCs w:val="24"/>
        </w:rPr>
        <w:t>b: Evidence – provider submission</w:t>
      </w:r>
      <w:r w:rsidR="007106ED" w:rsidRPr="00205902">
        <w:rPr>
          <w:rFonts w:ascii="Arial" w:hAnsi="Arial" w:cs="Arial"/>
          <w:b/>
          <w:sz w:val="24"/>
          <w:szCs w:val="24"/>
        </w:rPr>
        <w:t xml:space="preserve">) </w:t>
      </w:r>
      <w:r w:rsidRPr="00205902">
        <w:rPr>
          <w:rFonts w:ascii="Arial" w:hAnsi="Arial" w:cs="Arial"/>
          <w:b/>
          <w:sz w:val="24"/>
          <w:szCs w:val="24"/>
        </w:rPr>
        <w:t>to inform their judgements.</w:t>
      </w:r>
    </w:p>
    <w:p w14:paraId="63C72FE8" w14:textId="77777777" w:rsidR="00205902" w:rsidRDefault="00205902" w:rsidP="00205902">
      <w:pPr>
        <w:pStyle w:val="ListParagraph"/>
        <w:tabs>
          <w:tab w:val="left" w:pos="142"/>
        </w:tabs>
        <w:spacing w:after="0"/>
        <w:ind w:left="142"/>
        <w:rPr>
          <w:rFonts w:ascii="Arial" w:hAnsi="Arial" w:cs="Arial"/>
          <w:b/>
          <w:sz w:val="24"/>
          <w:szCs w:val="24"/>
        </w:rPr>
      </w:pPr>
    </w:p>
    <w:p w14:paraId="3B003672" w14:textId="29816332" w:rsidR="0031533F" w:rsidRPr="00205902" w:rsidRDefault="0031533F" w:rsidP="00AF7684">
      <w:pPr>
        <w:pStyle w:val="ListParagraph"/>
        <w:numPr>
          <w:ilvl w:val="0"/>
          <w:numId w:val="18"/>
        </w:numPr>
        <w:tabs>
          <w:tab w:val="left" w:pos="142"/>
        </w:tabs>
        <w:spacing w:after="0"/>
        <w:ind w:left="142" w:hanging="426"/>
        <w:rPr>
          <w:rFonts w:ascii="Arial" w:hAnsi="Arial" w:cs="Arial"/>
          <w:b/>
          <w:sz w:val="24"/>
          <w:szCs w:val="24"/>
        </w:rPr>
      </w:pPr>
      <w:r w:rsidRPr="00205902">
        <w:rPr>
          <w:rFonts w:ascii="Arial" w:hAnsi="Arial" w:cs="Arial"/>
          <w:b/>
          <w:sz w:val="24"/>
          <w:szCs w:val="24"/>
        </w:rPr>
        <w:t>For Year Two, the core metrics will be:</w:t>
      </w:r>
    </w:p>
    <w:p w14:paraId="1235792D" w14:textId="77777777" w:rsidR="0031533F" w:rsidRPr="00A2778F" w:rsidRDefault="0031533F" w:rsidP="00AF7684">
      <w:pPr>
        <w:pStyle w:val="ListParagraph"/>
        <w:numPr>
          <w:ilvl w:val="0"/>
          <w:numId w:val="12"/>
        </w:numPr>
        <w:spacing w:after="0"/>
        <w:ind w:left="426" w:hanging="426"/>
        <w:rPr>
          <w:rFonts w:ascii="Arial" w:hAnsi="Arial" w:cs="Arial"/>
          <w:b/>
          <w:sz w:val="24"/>
          <w:szCs w:val="24"/>
        </w:rPr>
      </w:pPr>
      <w:r w:rsidRPr="00A2778F">
        <w:rPr>
          <w:rFonts w:ascii="Arial" w:hAnsi="Arial" w:cs="Arial"/>
          <w:b/>
          <w:sz w:val="24"/>
          <w:szCs w:val="24"/>
        </w:rPr>
        <w:t>Student views on ‘The teaching on my course’, ‘Assessment and feedback’, and ‘Academic support’ (drawn from the NSS)</w:t>
      </w:r>
      <w:r w:rsidR="00CE5A51">
        <w:rPr>
          <w:rFonts w:ascii="Arial" w:hAnsi="Arial" w:cs="Arial"/>
          <w:b/>
          <w:sz w:val="24"/>
          <w:szCs w:val="24"/>
        </w:rPr>
        <w:t>;</w:t>
      </w:r>
    </w:p>
    <w:p w14:paraId="28766AF2" w14:textId="256867D7" w:rsidR="0031533F" w:rsidRPr="00A2778F" w:rsidRDefault="0031533F" w:rsidP="00AF7684">
      <w:pPr>
        <w:pStyle w:val="ListParagraph"/>
        <w:numPr>
          <w:ilvl w:val="0"/>
          <w:numId w:val="12"/>
        </w:numPr>
        <w:spacing w:after="0"/>
        <w:ind w:left="426" w:hanging="426"/>
        <w:rPr>
          <w:rFonts w:ascii="Arial" w:hAnsi="Arial" w:cs="Arial"/>
          <w:b/>
          <w:sz w:val="24"/>
          <w:szCs w:val="24"/>
        </w:rPr>
      </w:pPr>
      <w:r w:rsidRPr="00A2778F">
        <w:rPr>
          <w:rFonts w:ascii="Arial" w:hAnsi="Arial" w:cs="Arial"/>
          <w:b/>
          <w:sz w:val="24"/>
          <w:szCs w:val="24"/>
        </w:rPr>
        <w:t xml:space="preserve">Non-continuation rates (drawn from HESA and </w:t>
      </w:r>
      <w:r w:rsidR="007106ED">
        <w:rPr>
          <w:rFonts w:ascii="Arial" w:hAnsi="Arial" w:cs="Arial"/>
          <w:b/>
          <w:sz w:val="24"/>
          <w:szCs w:val="24"/>
        </w:rPr>
        <w:t xml:space="preserve">the </w:t>
      </w:r>
      <w:r w:rsidRPr="00A2778F">
        <w:rPr>
          <w:rFonts w:ascii="Arial" w:hAnsi="Arial" w:cs="Arial"/>
          <w:b/>
          <w:sz w:val="24"/>
          <w:szCs w:val="24"/>
        </w:rPr>
        <w:t>I</w:t>
      </w:r>
      <w:r w:rsidR="007106ED">
        <w:rPr>
          <w:rFonts w:ascii="Arial" w:hAnsi="Arial" w:cs="Arial"/>
          <w:b/>
          <w:sz w:val="24"/>
          <w:szCs w:val="24"/>
        </w:rPr>
        <w:t xml:space="preserve">ndividualised </w:t>
      </w:r>
      <w:r w:rsidRPr="00A2778F">
        <w:rPr>
          <w:rFonts w:ascii="Arial" w:hAnsi="Arial" w:cs="Arial"/>
          <w:b/>
          <w:sz w:val="24"/>
          <w:szCs w:val="24"/>
        </w:rPr>
        <w:t>L</w:t>
      </w:r>
      <w:r w:rsidR="007106ED">
        <w:rPr>
          <w:rFonts w:ascii="Arial" w:hAnsi="Arial" w:cs="Arial"/>
          <w:b/>
          <w:sz w:val="24"/>
          <w:szCs w:val="24"/>
        </w:rPr>
        <w:t xml:space="preserve">earner </w:t>
      </w:r>
      <w:r w:rsidRPr="00A2778F">
        <w:rPr>
          <w:rFonts w:ascii="Arial" w:hAnsi="Arial" w:cs="Arial"/>
          <w:b/>
          <w:sz w:val="24"/>
          <w:szCs w:val="24"/>
        </w:rPr>
        <w:t>R</w:t>
      </w:r>
      <w:r w:rsidR="007106ED">
        <w:rPr>
          <w:rFonts w:ascii="Arial" w:hAnsi="Arial" w:cs="Arial"/>
          <w:b/>
          <w:sz w:val="24"/>
          <w:szCs w:val="24"/>
        </w:rPr>
        <w:t>ecord (ILR</w:t>
      </w:r>
      <w:r w:rsidRPr="00A2778F">
        <w:rPr>
          <w:rFonts w:ascii="Arial" w:hAnsi="Arial" w:cs="Arial"/>
          <w:b/>
          <w:sz w:val="24"/>
          <w:szCs w:val="24"/>
        </w:rPr>
        <w:t>)</w:t>
      </w:r>
      <w:r w:rsidR="00431227">
        <w:rPr>
          <w:rFonts w:ascii="Arial" w:hAnsi="Arial" w:cs="Arial"/>
          <w:b/>
          <w:sz w:val="24"/>
          <w:szCs w:val="24"/>
        </w:rPr>
        <w:t>)</w:t>
      </w:r>
      <w:r w:rsidR="00CE5A51">
        <w:rPr>
          <w:rFonts w:ascii="Arial" w:hAnsi="Arial" w:cs="Arial"/>
          <w:b/>
          <w:sz w:val="24"/>
          <w:szCs w:val="24"/>
        </w:rPr>
        <w:t>;</w:t>
      </w:r>
      <w:r w:rsidRPr="00A2778F">
        <w:rPr>
          <w:rFonts w:ascii="Arial" w:hAnsi="Arial" w:cs="Arial"/>
          <w:b/>
          <w:sz w:val="24"/>
          <w:szCs w:val="24"/>
        </w:rPr>
        <w:t xml:space="preserve"> </w:t>
      </w:r>
    </w:p>
    <w:p w14:paraId="61F19736" w14:textId="77777777" w:rsidR="00296AD4" w:rsidRPr="00347C8E" w:rsidRDefault="0031533F" w:rsidP="00AF7684">
      <w:pPr>
        <w:pStyle w:val="ListParagraph"/>
        <w:numPr>
          <w:ilvl w:val="0"/>
          <w:numId w:val="12"/>
        </w:numPr>
        <w:spacing w:after="0"/>
        <w:ind w:left="426" w:hanging="426"/>
        <w:rPr>
          <w:rFonts w:ascii="Arial" w:hAnsi="Arial" w:cs="Arial"/>
          <w:b/>
          <w:sz w:val="24"/>
          <w:szCs w:val="24"/>
        </w:rPr>
      </w:pPr>
      <w:r w:rsidRPr="00A2778F">
        <w:rPr>
          <w:rFonts w:ascii="Arial" w:hAnsi="Arial" w:cs="Arial"/>
          <w:b/>
          <w:sz w:val="24"/>
          <w:szCs w:val="24"/>
        </w:rPr>
        <w:t>Rates of employment or further study, six months after graduation (drawn from the DLHE)</w:t>
      </w:r>
      <w:r w:rsidR="00CE5A51">
        <w:rPr>
          <w:rFonts w:ascii="Arial" w:hAnsi="Arial" w:cs="Arial"/>
          <w:b/>
          <w:sz w:val="24"/>
          <w:szCs w:val="24"/>
        </w:rPr>
        <w:t>.</w:t>
      </w:r>
    </w:p>
    <w:p w14:paraId="0C42CF88" w14:textId="77777777" w:rsidR="0031533F" w:rsidRPr="004A27DC" w:rsidRDefault="0031533F" w:rsidP="0031533F">
      <w:pPr>
        <w:spacing w:after="0"/>
        <w:rPr>
          <w:rFonts w:cs="Arial"/>
          <w:b/>
        </w:rPr>
      </w:pPr>
    </w:p>
    <w:p w14:paraId="66CCB444" w14:textId="585C99AA" w:rsidR="0031533F" w:rsidRPr="007D6190" w:rsidRDefault="007D6190" w:rsidP="007D6190">
      <w:pPr>
        <w:pStyle w:val="ListParagraph"/>
        <w:numPr>
          <w:ilvl w:val="0"/>
          <w:numId w:val="18"/>
        </w:numPr>
        <w:tabs>
          <w:tab w:val="left" w:pos="142"/>
        </w:tabs>
        <w:spacing w:after="0"/>
        <w:ind w:left="142" w:hanging="426"/>
        <w:rPr>
          <w:rFonts w:cs="Arial"/>
          <w:b/>
        </w:rPr>
      </w:pPr>
      <w:r>
        <w:rPr>
          <w:rFonts w:ascii="Arial" w:hAnsi="Arial" w:cs="Arial"/>
          <w:b/>
          <w:sz w:val="24"/>
          <w:szCs w:val="24"/>
        </w:rPr>
        <w:t>We have noted in the White Paper that</w:t>
      </w:r>
      <w:r w:rsidRPr="007D6190">
        <w:rPr>
          <w:rFonts w:ascii="Arial" w:hAnsi="Arial" w:cs="Arial"/>
          <w:b/>
          <w:sz w:val="24"/>
          <w:szCs w:val="24"/>
        </w:rPr>
        <w:t>, in collaboration with HEFCE, we will be doing further development work on the metrics for Year Three onwards, including developing a methodology to measure teaching intensity and incorporating the Longitudinal Education Outcomes dataset</w:t>
      </w:r>
      <w:r w:rsidRPr="007D6190">
        <w:rPr>
          <w:rStyle w:val="FootnoteReference"/>
          <w:rFonts w:ascii="Arial" w:hAnsi="Arial" w:cs="Arial"/>
          <w:b/>
          <w:sz w:val="24"/>
          <w:szCs w:val="24"/>
        </w:rPr>
        <w:footnoteReference w:id="9"/>
      </w:r>
      <w:r w:rsidRPr="007D6190">
        <w:rPr>
          <w:rFonts w:ascii="Arial" w:hAnsi="Arial" w:cs="Arial"/>
          <w:b/>
          <w:sz w:val="24"/>
          <w:szCs w:val="24"/>
        </w:rPr>
        <w:t xml:space="preserve"> with a view to trialling its inclusion</w:t>
      </w:r>
      <w:r>
        <w:rPr>
          <w:rFonts w:ascii="Arial" w:hAnsi="Arial" w:cs="Arial"/>
          <w:b/>
          <w:sz w:val="24"/>
          <w:szCs w:val="24"/>
        </w:rPr>
        <w:t xml:space="preserve"> in the disciplinary pilots in Year Three. All development for TEF Year Three is out of scope for this consultation. </w:t>
      </w:r>
      <w:r w:rsidR="00384225" w:rsidRPr="00205902">
        <w:rPr>
          <w:rFonts w:ascii="Arial" w:hAnsi="Arial" w:cs="Arial"/>
          <w:b/>
          <w:sz w:val="24"/>
          <w:szCs w:val="24"/>
        </w:rPr>
        <w:t xml:space="preserve"> </w:t>
      </w:r>
    </w:p>
    <w:p w14:paraId="3E8AD207" w14:textId="77777777" w:rsidR="007D6190" w:rsidRDefault="007D6190" w:rsidP="007D6190">
      <w:pPr>
        <w:pStyle w:val="ListParagraph"/>
        <w:tabs>
          <w:tab w:val="left" w:pos="142"/>
        </w:tabs>
        <w:spacing w:after="0"/>
        <w:ind w:left="142"/>
        <w:rPr>
          <w:rFonts w:cs="Arial"/>
          <w:b/>
        </w:rPr>
      </w:pPr>
    </w:p>
    <w:p w14:paraId="77BC6BA2" w14:textId="77777777" w:rsidR="007D6190" w:rsidRPr="00205902" w:rsidRDefault="007D6190" w:rsidP="007D6190">
      <w:pPr>
        <w:pStyle w:val="ListParagraph"/>
        <w:numPr>
          <w:ilvl w:val="0"/>
          <w:numId w:val="18"/>
        </w:numPr>
        <w:tabs>
          <w:tab w:val="left" w:pos="142"/>
        </w:tabs>
        <w:spacing w:after="0"/>
        <w:ind w:left="142" w:hanging="426"/>
        <w:rPr>
          <w:rFonts w:ascii="Arial" w:hAnsi="Arial" w:cs="Arial"/>
          <w:b/>
          <w:sz w:val="24"/>
          <w:szCs w:val="24"/>
        </w:rPr>
      </w:pPr>
      <w:r w:rsidRPr="00205902">
        <w:rPr>
          <w:rFonts w:ascii="Arial" w:hAnsi="Arial" w:cs="Arial"/>
          <w:b/>
          <w:sz w:val="24"/>
          <w:szCs w:val="24"/>
        </w:rPr>
        <w:t>We think the metrics should:</w:t>
      </w:r>
    </w:p>
    <w:p w14:paraId="127A1BCB" w14:textId="77777777" w:rsidR="007D6190" w:rsidRPr="00205902" w:rsidRDefault="007D6190" w:rsidP="007D6190">
      <w:pPr>
        <w:pStyle w:val="ListParagraph"/>
        <w:numPr>
          <w:ilvl w:val="0"/>
          <w:numId w:val="14"/>
        </w:numPr>
        <w:spacing w:after="0"/>
        <w:ind w:left="426" w:hanging="426"/>
        <w:rPr>
          <w:rFonts w:ascii="Arial" w:hAnsi="Arial" w:cs="Arial"/>
          <w:b/>
          <w:sz w:val="24"/>
          <w:szCs w:val="24"/>
        </w:rPr>
      </w:pPr>
      <w:r>
        <w:rPr>
          <w:rFonts w:ascii="Arial" w:hAnsi="Arial" w:cs="Arial"/>
          <w:b/>
          <w:sz w:val="24"/>
          <w:szCs w:val="24"/>
        </w:rPr>
        <w:t>B</w:t>
      </w:r>
      <w:r w:rsidRPr="00A00E46">
        <w:rPr>
          <w:rFonts w:ascii="Arial" w:hAnsi="Arial" w:cs="Arial"/>
          <w:b/>
          <w:sz w:val="24"/>
          <w:szCs w:val="24"/>
        </w:rPr>
        <w:t>e benchmarked to take account of differences in student characteristics and the mix</w:t>
      </w:r>
      <w:r>
        <w:rPr>
          <w:rFonts w:ascii="Arial" w:hAnsi="Arial" w:cs="Arial"/>
          <w:b/>
          <w:sz w:val="24"/>
          <w:szCs w:val="24"/>
        </w:rPr>
        <w:t>ture of</w:t>
      </w:r>
      <w:r w:rsidRPr="00A00E46">
        <w:rPr>
          <w:rFonts w:ascii="Arial" w:hAnsi="Arial" w:cs="Arial"/>
          <w:b/>
          <w:sz w:val="24"/>
          <w:szCs w:val="24"/>
        </w:rPr>
        <w:t xml:space="preserve"> subjects taught at different providers. </w:t>
      </w:r>
    </w:p>
    <w:p w14:paraId="7188EA9F" w14:textId="77777777" w:rsidR="007D6190" w:rsidRPr="00A00E46" w:rsidRDefault="007D6190" w:rsidP="007D6190">
      <w:pPr>
        <w:pStyle w:val="ListParagraph"/>
        <w:numPr>
          <w:ilvl w:val="0"/>
          <w:numId w:val="13"/>
        </w:numPr>
        <w:spacing w:after="0"/>
        <w:ind w:left="426" w:hanging="426"/>
        <w:rPr>
          <w:rFonts w:ascii="Arial" w:hAnsi="Arial" w:cs="Arial"/>
          <w:b/>
          <w:sz w:val="24"/>
          <w:szCs w:val="24"/>
        </w:rPr>
      </w:pPr>
      <w:r>
        <w:rPr>
          <w:rFonts w:ascii="Arial" w:hAnsi="Arial" w:cs="Arial"/>
          <w:b/>
          <w:sz w:val="24"/>
          <w:szCs w:val="24"/>
        </w:rPr>
        <w:t>C</w:t>
      </w:r>
      <w:r w:rsidRPr="00A00E46">
        <w:rPr>
          <w:rFonts w:ascii="Arial" w:hAnsi="Arial" w:cs="Arial"/>
          <w:b/>
          <w:sz w:val="24"/>
          <w:szCs w:val="24"/>
        </w:rPr>
        <w:t xml:space="preserve">over a three year </w:t>
      </w:r>
      <w:proofErr w:type="gramStart"/>
      <w:r w:rsidRPr="00A00E46">
        <w:rPr>
          <w:rFonts w:ascii="Arial" w:hAnsi="Arial" w:cs="Arial"/>
          <w:b/>
          <w:sz w:val="24"/>
          <w:szCs w:val="24"/>
        </w:rPr>
        <w:t>period,</w:t>
      </w:r>
      <w:proofErr w:type="gramEnd"/>
      <w:r w:rsidRPr="00A00E46">
        <w:rPr>
          <w:rFonts w:ascii="Arial" w:hAnsi="Arial" w:cs="Arial"/>
          <w:b/>
          <w:sz w:val="24"/>
          <w:szCs w:val="24"/>
        </w:rPr>
        <w:t xml:space="preserve"> be reported separately for full-time and part-time students at each provider, and differences between key student groups within the provider should also be reported.</w:t>
      </w:r>
    </w:p>
    <w:p w14:paraId="66CE20D9" w14:textId="77777777" w:rsidR="007D6190" w:rsidRDefault="007D6190" w:rsidP="007D6190">
      <w:pPr>
        <w:pStyle w:val="ListParagraph"/>
        <w:tabs>
          <w:tab w:val="left" w:pos="142"/>
        </w:tabs>
        <w:spacing w:after="0"/>
        <w:ind w:left="142"/>
        <w:rPr>
          <w:rFonts w:ascii="Arial" w:hAnsi="Arial" w:cs="Arial"/>
          <w:b/>
          <w:sz w:val="24"/>
          <w:szCs w:val="24"/>
        </w:rPr>
      </w:pPr>
    </w:p>
    <w:p w14:paraId="562C7669" w14:textId="77777777" w:rsidR="00296AD4" w:rsidRPr="00205902" w:rsidRDefault="0031533F" w:rsidP="007D6190">
      <w:pPr>
        <w:pStyle w:val="ListParagraph"/>
        <w:numPr>
          <w:ilvl w:val="0"/>
          <w:numId w:val="18"/>
        </w:numPr>
        <w:tabs>
          <w:tab w:val="left" w:pos="142"/>
        </w:tabs>
        <w:spacing w:after="0"/>
        <w:ind w:left="142" w:hanging="426"/>
        <w:rPr>
          <w:rFonts w:ascii="Arial" w:hAnsi="Arial" w:cs="Arial"/>
          <w:b/>
          <w:sz w:val="24"/>
          <w:szCs w:val="24"/>
        </w:rPr>
      </w:pPr>
      <w:r w:rsidRPr="00205902">
        <w:rPr>
          <w:rFonts w:ascii="Arial" w:hAnsi="Arial" w:cs="Arial"/>
          <w:b/>
          <w:sz w:val="24"/>
          <w:szCs w:val="24"/>
        </w:rPr>
        <w:t xml:space="preserve">This section </w:t>
      </w:r>
      <w:r w:rsidR="002531E3" w:rsidRPr="00205902">
        <w:rPr>
          <w:rFonts w:ascii="Arial" w:hAnsi="Arial" w:cs="Arial"/>
          <w:b/>
          <w:sz w:val="24"/>
          <w:szCs w:val="24"/>
        </w:rPr>
        <w:t>identifies</w:t>
      </w:r>
      <w:r w:rsidRPr="00205902">
        <w:rPr>
          <w:rFonts w:ascii="Arial" w:hAnsi="Arial" w:cs="Arial"/>
          <w:b/>
          <w:sz w:val="24"/>
          <w:szCs w:val="24"/>
        </w:rPr>
        <w:t xml:space="preserve"> how the metrics w</w:t>
      </w:r>
      <w:r w:rsidR="002531E3" w:rsidRPr="00205902">
        <w:rPr>
          <w:rFonts w:ascii="Arial" w:hAnsi="Arial" w:cs="Arial"/>
          <w:b/>
          <w:sz w:val="24"/>
          <w:szCs w:val="24"/>
        </w:rPr>
        <w:t>ill</w:t>
      </w:r>
      <w:r w:rsidRPr="00205902">
        <w:rPr>
          <w:rFonts w:ascii="Arial" w:hAnsi="Arial" w:cs="Arial"/>
          <w:b/>
          <w:sz w:val="24"/>
          <w:szCs w:val="24"/>
        </w:rPr>
        <w:t xml:space="preserve"> be defined and benchmarked, and how they would be generated and reported to the assessors. </w:t>
      </w:r>
      <w:r w:rsidRPr="00205902">
        <w:rPr>
          <w:rFonts w:ascii="Arial" w:hAnsi="Arial" w:cs="Arial"/>
          <w:sz w:val="24"/>
          <w:szCs w:val="24"/>
        </w:rPr>
        <w:t xml:space="preserve">The way in which assessors use the metrics alongside other evidence in making judgements is addressed in </w:t>
      </w:r>
      <w:r w:rsidRPr="00205902">
        <w:rPr>
          <w:rFonts w:ascii="Arial" w:hAnsi="Arial" w:cs="Arial"/>
          <w:b/>
          <w:sz w:val="24"/>
          <w:szCs w:val="24"/>
        </w:rPr>
        <w:t>Chapter 4</w:t>
      </w:r>
      <w:r w:rsidR="002531E3" w:rsidRPr="00205902">
        <w:rPr>
          <w:rFonts w:ascii="Arial" w:hAnsi="Arial" w:cs="Arial"/>
          <w:b/>
          <w:sz w:val="24"/>
          <w:szCs w:val="24"/>
        </w:rPr>
        <w:t>: The Assessment Process</w:t>
      </w:r>
      <w:r w:rsidRPr="00205902">
        <w:rPr>
          <w:rFonts w:ascii="Arial" w:hAnsi="Arial" w:cs="Arial"/>
          <w:b/>
          <w:sz w:val="24"/>
          <w:szCs w:val="24"/>
        </w:rPr>
        <w:t>.</w:t>
      </w:r>
    </w:p>
    <w:p w14:paraId="02C76E98" w14:textId="77777777" w:rsidR="0031533F" w:rsidRDefault="0031533F" w:rsidP="0031533F">
      <w:pPr>
        <w:spacing w:after="0"/>
        <w:rPr>
          <w:rFonts w:cs="Arial"/>
        </w:rPr>
      </w:pPr>
    </w:p>
    <w:p w14:paraId="37EA6588" w14:textId="77777777" w:rsidR="00B06F97" w:rsidRPr="00205902" w:rsidRDefault="0031533F" w:rsidP="00AF7684">
      <w:pPr>
        <w:pStyle w:val="ListParagraph"/>
        <w:numPr>
          <w:ilvl w:val="0"/>
          <w:numId w:val="18"/>
        </w:numPr>
        <w:tabs>
          <w:tab w:val="left" w:pos="142"/>
        </w:tabs>
        <w:spacing w:after="0"/>
        <w:ind w:left="142" w:hanging="426"/>
        <w:rPr>
          <w:rFonts w:ascii="Arial" w:hAnsi="Arial" w:cs="Arial"/>
          <w:b/>
          <w:sz w:val="24"/>
          <w:szCs w:val="24"/>
        </w:rPr>
      </w:pPr>
      <w:r w:rsidRPr="00205902">
        <w:rPr>
          <w:rFonts w:ascii="Arial" w:hAnsi="Arial" w:cs="Arial"/>
          <w:sz w:val="24"/>
          <w:szCs w:val="24"/>
        </w:rPr>
        <w:t>In developing proposals for the metrics, we have considered advice and analysis from HEFCE, and drawn on the approach used in the production of the UK Performance Indicators (UK PIs) by the Higher Education Statistics Agency (HESA)</w:t>
      </w:r>
      <w:r w:rsidRPr="002D4660">
        <w:rPr>
          <w:rStyle w:val="FootnoteReference"/>
          <w:rFonts w:cs="Arial"/>
        </w:rPr>
        <w:footnoteReference w:id="10"/>
      </w:r>
      <w:r w:rsidRPr="002D4660">
        <w:rPr>
          <w:rStyle w:val="FootnoteReference"/>
        </w:rPr>
        <w:t>.</w:t>
      </w:r>
      <w:r w:rsidRPr="00205902">
        <w:rPr>
          <w:rFonts w:ascii="Arial" w:hAnsi="Arial" w:cs="Arial"/>
          <w:sz w:val="24"/>
          <w:szCs w:val="24"/>
        </w:rPr>
        <w:t xml:space="preserve"> The UK PIs are well established, have been developed and refined over many years, and are broadly accepted by the sector as robust. Any proposals that diverge from the UK PI approach are made specifically to ensure the metrics are fit for the particular purpose of the TEF. A </w:t>
      </w:r>
      <w:r w:rsidRPr="00205902">
        <w:rPr>
          <w:rFonts w:ascii="Arial" w:hAnsi="Arial" w:cs="Arial"/>
          <w:sz w:val="24"/>
          <w:szCs w:val="24"/>
        </w:rPr>
        <w:lastRenderedPageBreak/>
        <w:t>summary of the similarities and differences between the UK PIs and the TEF metrics is at</w:t>
      </w:r>
      <w:r w:rsidRPr="00205902">
        <w:rPr>
          <w:rFonts w:ascii="Arial" w:hAnsi="Arial" w:cs="Arial"/>
          <w:b/>
          <w:sz w:val="24"/>
          <w:szCs w:val="24"/>
        </w:rPr>
        <w:t xml:space="preserve"> Annex C. </w:t>
      </w:r>
    </w:p>
    <w:p w14:paraId="3645E19C" w14:textId="77777777" w:rsidR="00B06F97" w:rsidRDefault="00B06F97" w:rsidP="00B06F97">
      <w:pPr>
        <w:spacing w:after="0"/>
        <w:rPr>
          <w:rFonts w:cs="Arial"/>
        </w:rPr>
      </w:pPr>
    </w:p>
    <w:p w14:paraId="3F1926DC" w14:textId="77777777" w:rsidR="00205902" w:rsidRDefault="00516F95" w:rsidP="00AF7684">
      <w:pPr>
        <w:pStyle w:val="ListParagraph"/>
        <w:numPr>
          <w:ilvl w:val="0"/>
          <w:numId w:val="18"/>
        </w:numPr>
        <w:tabs>
          <w:tab w:val="left" w:pos="142"/>
        </w:tabs>
        <w:spacing w:after="0"/>
        <w:ind w:left="142" w:hanging="426"/>
        <w:rPr>
          <w:rFonts w:ascii="Arial" w:hAnsi="Arial" w:cs="Arial"/>
          <w:sz w:val="24"/>
          <w:szCs w:val="24"/>
        </w:rPr>
      </w:pPr>
      <w:r w:rsidRPr="00205902">
        <w:rPr>
          <w:rFonts w:ascii="Arial" w:hAnsi="Arial" w:cs="Arial"/>
          <w:sz w:val="24"/>
          <w:szCs w:val="24"/>
        </w:rPr>
        <w:t xml:space="preserve">The Department commissioned the Office for National Statistics (ONS) to provide an independent and expert assessment of the quality and robustness of the sources of information we are proposing to use in the TEF assessment process from </w:t>
      </w:r>
      <w:r w:rsidR="00CE5A51" w:rsidRPr="00205902">
        <w:rPr>
          <w:rFonts w:ascii="Arial" w:hAnsi="Arial" w:cs="Arial"/>
          <w:sz w:val="24"/>
          <w:szCs w:val="24"/>
        </w:rPr>
        <w:t>Year Two</w:t>
      </w:r>
      <w:r w:rsidRPr="00205902">
        <w:rPr>
          <w:rFonts w:ascii="Arial" w:hAnsi="Arial" w:cs="Arial"/>
          <w:sz w:val="24"/>
          <w:szCs w:val="24"/>
        </w:rPr>
        <w:t xml:space="preserve"> onwards</w:t>
      </w:r>
      <w:r w:rsidRPr="004007DA">
        <w:rPr>
          <w:rStyle w:val="FootnoteReference"/>
        </w:rPr>
        <w:footnoteReference w:id="11"/>
      </w:r>
      <w:r w:rsidRPr="004007DA">
        <w:rPr>
          <w:rStyle w:val="FootnoteReference"/>
        </w:rPr>
        <w:t>.</w:t>
      </w:r>
      <w:r w:rsidRPr="00205902">
        <w:rPr>
          <w:rFonts w:ascii="Arial" w:hAnsi="Arial" w:cs="Arial"/>
          <w:sz w:val="24"/>
          <w:szCs w:val="24"/>
        </w:rPr>
        <w:t xml:space="preserve"> The ONS looked at the NSS, the DLHE and HESA’s student record data</w:t>
      </w:r>
      <w:r w:rsidR="00666095" w:rsidRPr="00205902">
        <w:rPr>
          <w:rFonts w:ascii="Arial" w:hAnsi="Arial" w:cs="Arial"/>
          <w:sz w:val="24"/>
          <w:szCs w:val="24"/>
        </w:rPr>
        <w:t xml:space="preserve">. </w:t>
      </w:r>
      <w:r w:rsidRPr="00205902">
        <w:rPr>
          <w:rFonts w:ascii="Arial" w:hAnsi="Arial" w:cs="Arial"/>
          <w:sz w:val="24"/>
          <w:szCs w:val="24"/>
        </w:rPr>
        <w:t xml:space="preserve"> </w:t>
      </w:r>
    </w:p>
    <w:p w14:paraId="7ED45412" w14:textId="77777777" w:rsidR="00205902" w:rsidRDefault="00205902" w:rsidP="00205902">
      <w:pPr>
        <w:pStyle w:val="ListParagraph"/>
        <w:tabs>
          <w:tab w:val="left" w:pos="142"/>
        </w:tabs>
        <w:spacing w:after="0"/>
        <w:ind w:left="142"/>
        <w:rPr>
          <w:rFonts w:ascii="Arial" w:hAnsi="Arial" w:cs="Arial"/>
          <w:sz w:val="24"/>
          <w:szCs w:val="24"/>
        </w:rPr>
      </w:pPr>
    </w:p>
    <w:p w14:paraId="39645A6D" w14:textId="77777777" w:rsidR="00205902" w:rsidRDefault="00516F95" w:rsidP="00AF7684">
      <w:pPr>
        <w:pStyle w:val="ListParagraph"/>
        <w:numPr>
          <w:ilvl w:val="0"/>
          <w:numId w:val="18"/>
        </w:numPr>
        <w:tabs>
          <w:tab w:val="left" w:pos="142"/>
        </w:tabs>
        <w:spacing w:after="0"/>
        <w:ind w:left="142" w:hanging="426"/>
        <w:rPr>
          <w:rFonts w:ascii="Arial" w:hAnsi="Arial" w:cs="Arial"/>
          <w:sz w:val="24"/>
          <w:szCs w:val="24"/>
        </w:rPr>
      </w:pPr>
      <w:r w:rsidRPr="00205902">
        <w:rPr>
          <w:rFonts w:ascii="Arial" w:hAnsi="Arial" w:cs="Arial"/>
          <w:sz w:val="24"/>
          <w:szCs w:val="24"/>
        </w:rPr>
        <w:t>The Government would like to thank the ONS for its work and welcomes its recommendations. These will be considered in the context of the Government’s commitment to continuous improvement of the TEF assessment process, including making best use of relevant evidence and data as these develop and improve over time</w:t>
      </w:r>
      <w:r w:rsidR="00666095" w:rsidRPr="00205902">
        <w:rPr>
          <w:rFonts w:ascii="Arial" w:hAnsi="Arial" w:cs="Arial"/>
          <w:sz w:val="24"/>
          <w:szCs w:val="24"/>
        </w:rPr>
        <w:t>. In particular, it will</w:t>
      </w:r>
      <w:r w:rsidRPr="00205902">
        <w:rPr>
          <w:rFonts w:ascii="Arial" w:hAnsi="Arial" w:cs="Arial"/>
          <w:sz w:val="24"/>
          <w:szCs w:val="24"/>
        </w:rPr>
        <w:t xml:space="preserve"> consider these in the context of ongoing technical reviews into both the DLHE</w:t>
      </w:r>
      <w:r w:rsidR="005A0445" w:rsidRPr="004007DA">
        <w:rPr>
          <w:rStyle w:val="FootnoteReference"/>
        </w:rPr>
        <w:footnoteReference w:id="12"/>
      </w:r>
      <w:r w:rsidRPr="004007DA">
        <w:rPr>
          <w:rStyle w:val="FootnoteReference"/>
        </w:rPr>
        <w:t xml:space="preserve"> </w:t>
      </w:r>
      <w:r w:rsidRPr="00205902">
        <w:rPr>
          <w:rFonts w:ascii="Arial" w:hAnsi="Arial" w:cs="Arial"/>
          <w:sz w:val="24"/>
          <w:szCs w:val="24"/>
        </w:rPr>
        <w:t>and the NSS</w:t>
      </w:r>
      <w:r w:rsidR="005A0445" w:rsidRPr="004007DA">
        <w:rPr>
          <w:rStyle w:val="FootnoteReference"/>
        </w:rPr>
        <w:footnoteReference w:id="13"/>
      </w:r>
      <w:r w:rsidRPr="00205902">
        <w:rPr>
          <w:rFonts w:ascii="Arial" w:hAnsi="Arial" w:cs="Arial"/>
          <w:sz w:val="24"/>
          <w:szCs w:val="24"/>
        </w:rPr>
        <w:t xml:space="preserve">. </w:t>
      </w:r>
    </w:p>
    <w:p w14:paraId="32AA35D8" w14:textId="77777777" w:rsidR="00205902" w:rsidRPr="00205902" w:rsidRDefault="00205902" w:rsidP="00205902">
      <w:pPr>
        <w:pStyle w:val="ListParagraph"/>
        <w:tabs>
          <w:tab w:val="left" w:pos="142"/>
        </w:tabs>
        <w:spacing w:after="0"/>
        <w:ind w:left="142"/>
        <w:rPr>
          <w:rFonts w:ascii="Arial" w:hAnsi="Arial" w:cs="Arial"/>
          <w:sz w:val="24"/>
          <w:szCs w:val="24"/>
        </w:rPr>
      </w:pPr>
    </w:p>
    <w:p w14:paraId="5B2C064F" w14:textId="77777777" w:rsidR="00205902" w:rsidRDefault="00516F95" w:rsidP="00AF7684">
      <w:pPr>
        <w:pStyle w:val="ListParagraph"/>
        <w:numPr>
          <w:ilvl w:val="0"/>
          <w:numId w:val="18"/>
        </w:numPr>
        <w:tabs>
          <w:tab w:val="left" w:pos="142"/>
        </w:tabs>
        <w:spacing w:after="0"/>
        <w:ind w:left="142" w:hanging="426"/>
        <w:rPr>
          <w:rFonts w:ascii="Arial" w:hAnsi="Arial" w:cs="Arial"/>
          <w:sz w:val="24"/>
          <w:szCs w:val="24"/>
        </w:rPr>
      </w:pPr>
      <w:r w:rsidRPr="00205902">
        <w:rPr>
          <w:rFonts w:ascii="Arial" w:hAnsi="Arial" w:cs="Arial"/>
          <w:sz w:val="24"/>
          <w:szCs w:val="24"/>
        </w:rPr>
        <w:t>A key recommendation for the TEF is that statistical techniques should be developed to take account of the possibility that non-respondents may possess different characteristics to respondents. HEFCE and HESA have agreed to develop their methodology to include non-response weighting for TEF Year Three assessments. Waiting for the outcome of these reviews and their consultation process would allow the TEF metrics to develop along the same lines as other uses of the survey data. Given that the NSS and DLHE have high response rates (71%</w:t>
      </w:r>
      <w:r w:rsidR="00943E3B" w:rsidRPr="004007DA">
        <w:rPr>
          <w:rStyle w:val="FootnoteReference"/>
        </w:rPr>
        <w:footnoteReference w:id="14"/>
      </w:r>
      <w:r w:rsidRPr="00205902">
        <w:rPr>
          <w:rFonts w:ascii="Arial" w:hAnsi="Arial" w:cs="Arial"/>
          <w:sz w:val="24"/>
          <w:szCs w:val="24"/>
        </w:rPr>
        <w:t xml:space="preserve"> and 79%</w:t>
      </w:r>
      <w:r w:rsidR="00943E3B" w:rsidRPr="004007DA">
        <w:rPr>
          <w:rStyle w:val="FootnoteReference"/>
        </w:rPr>
        <w:footnoteReference w:id="15"/>
      </w:r>
      <w:r w:rsidRPr="00205902">
        <w:rPr>
          <w:rFonts w:ascii="Arial" w:hAnsi="Arial" w:cs="Arial"/>
          <w:sz w:val="24"/>
          <w:szCs w:val="24"/>
        </w:rPr>
        <w:t xml:space="preserve">) and that the 2015-16 data collection is already underway, we intend to use the current measures for Year Two. This is consistent with our Year Two approach of proposing to use the current UKPI measures as far as possible. All providers will </w:t>
      </w:r>
      <w:r w:rsidR="000B2070" w:rsidRPr="00205902">
        <w:rPr>
          <w:rFonts w:ascii="Arial" w:hAnsi="Arial" w:cs="Arial"/>
          <w:sz w:val="24"/>
          <w:szCs w:val="24"/>
        </w:rPr>
        <w:t>have the opportunity to review</w:t>
      </w:r>
      <w:r w:rsidRPr="00205902">
        <w:rPr>
          <w:rFonts w:ascii="Arial" w:hAnsi="Arial" w:cs="Arial"/>
          <w:sz w:val="24"/>
          <w:szCs w:val="24"/>
        </w:rPr>
        <w:t xml:space="preserve"> their metrics before assessment begins. </w:t>
      </w:r>
    </w:p>
    <w:p w14:paraId="46E06A52" w14:textId="77777777" w:rsidR="00205902" w:rsidRPr="00205902" w:rsidRDefault="00205902" w:rsidP="00205902">
      <w:pPr>
        <w:pStyle w:val="ListParagraph"/>
        <w:tabs>
          <w:tab w:val="left" w:pos="142"/>
        </w:tabs>
        <w:spacing w:after="0"/>
        <w:ind w:left="142"/>
        <w:rPr>
          <w:rFonts w:ascii="Arial" w:hAnsi="Arial" w:cs="Arial"/>
          <w:sz w:val="24"/>
          <w:szCs w:val="24"/>
        </w:rPr>
      </w:pPr>
    </w:p>
    <w:p w14:paraId="4D43C726" w14:textId="6633D187" w:rsidR="004F28DB" w:rsidRPr="00861D77" w:rsidRDefault="004F28DB" w:rsidP="00861D77">
      <w:pPr>
        <w:pStyle w:val="ListParagraph"/>
        <w:numPr>
          <w:ilvl w:val="0"/>
          <w:numId w:val="18"/>
        </w:numPr>
        <w:tabs>
          <w:tab w:val="left" w:pos="142"/>
        </w:tabs>
        <w:spacing w:after="0"/>
        <w:ind w:left="142" w:hanging="426"/>
        <w:rPr>
          <w:rFonts w:ascii="Arial" w:hAnsi="Arial" w:cs="Arial"/>
          <w:sz w:val="24"/>
          <w:szCs w:val="24"/>
        </w:rPr>
      </w:pPr>
      <w:r>
        <w:rPr>
          <w:rFonts w:ascii="Arial" w:hAnsi="Arial" w:cs="Arial"/>
          <w:sz w:val="24"/>
          <w:szCs w:val="24"/>
        </w:rPr>
        <w:t xml:space="preserve">The Government will also work with </w:t>
      </w:r>
      <w:r w:rsidRPr="00205902">
        <w:rPr>
          <w:rFonts w:ascii="Arial" w:hAnsi="Arial" w:cs="Arial"/>
          <w:sz w:val="24"/>
          <w:szCs w:val="24"/>
        </w:rPr>
        <w:t>HESA</w:t>
      </w:r>
      <w:r>
        <w:rPr>
          <w:rFonts w:ascii="Arial" w:hAnsi="Arial" w:cs="Arial"/>
          <w:sz w:val="24"/>
          <w:szCs w:val="24"/>
        </w:rPr>
        <w:t xml:space="preserve">, HEFCE and the ONS to review </w:t>
      </w:r>
      <w:r w:rsidRPr="00205902">
        <w:rPr>
          <w:rFonts w:ascii="Arial" w:hAnsi="Arial" w:cs="Arial"/>
          <w:sz w:val="24"/>
          <w:szCs w:val="24"/>
        </w:rPr>
        <w:t xml:space="preserve">the benchmarking approach taken </w:t>
      </w:r>
      <w:r>
        <w:rPr>
          <w:rFonts w:ascii="Arial" w:hAnsi="Arial" w:cs="Arial"/>
          <w:sz w:val="24"/>
          <w:szCs w:val="24"/>
        </w:rPr>
        <w:t>within the TEF assessment process to ensure that it remains robust as TEF develops and the data sources it uses evolve</w:t>
      </w:r>
      <w:r w:rsidRPr="00205902">
        <w:rPr>
          <w:rFonts w:ascii="Arial" w:hAnsi="Arial" w:cs="Arial"/>
          <w:sz w:val="24"/>
          <w:szCs w:val="24"/>
        </w:rPr>
        <w:t>.</w:t>
      </w:r>
    </w:p>
    <w:p w14:paraId="2A5BB73D" w14:textId="77777777" w:rsidR="00205902" w:rsidRPr="00205902" w:rsidRDefault="00205902" w:rsidP="00205902">
      <w:pPr>
        <w:pStyle w:val="ListParagraph"/>
        <w:tabs>
          <w:tab w:val="left" w:pos="142"/>
        </w:tabs>
        <w:spacing w:after="0"/>
        <w:ind w:left="142"/>
        <w:rPr>
          <w:rFonts w:ascii="Arial" w:hAnsi="Arial" w:cs="Arial"/>
          <w:sz w:val="24"/>
          <w:szCs w:val="24"/>
        </w:rPr>
      </w:pPr>
    </w:p>
    <w:p w14:paraId="4674F0BE" w14:textId="77777777" w:rsidR="0031533F" w:rsidRDefault="0031533F" w:rsidP="00FD0E93">
      <w:pPr>
        <w:pStyle w:val="Heading3"/>
        <w:spacing w:after="0"/>
        <w:ind w:hanging="284"/>
      </w:pPr>
      <w:bookmarkStart w:id="37" w:name="_Toc450147984"/>
      <w:bookmarkStart w:id="38" w:name="_Toc450886554"/>
      <w:r>
        <w:t>Defining the metrics</w:t>
      </w:r>
      <w:bookmarkEnd w:id="37"/>
      <w:bookmarkEnd w:id="38"/>
      <w:r>
        <w:t xml:space="preserve"> </w:t>
      </w:r>
    </w:p>
    <w:p w14:paraId="0F4483EA" w14:textId="3F0FA03E" w:rsidR="0031533F" w:rsidRPr="00205902" w:rsidRDefault="002531E3" w:rsidP="00AF7684">
      <w:pPr>
        <w:pStyle w:val="ListParagraph"/>
        <w:numPr>
          <w:ilvl w:val="0"/>
          <w:numId w:val="18"/>
        </w:numPr>
        <w:tabs>
          <w:tab w:val="left" w:pos="142"/>
        </w:tabs>
        <w:spacing w:after="0"/>
        <w:ind w:left="142" w:hanging="426"/>
        <w:rPr>
          <w:rFonts w:ascii="Arial" w:hAnsi="Arial" w:cs="Arial"/>
          <w:sz w:val="24"/>
          <w:szCs w:val="24"/>
        </w:rPr>
      </w:pPr>
      <w:r w:rsidRPr="00205902">
        <w:rPr>
          <w:rFonts w:ascii="Arial" w:hAnsi="Arial" w:cs="Arial"/>
          <w:sz w:val="24"/>
          <w:szCs w:val="24"/>
        </w:rPr>
        <w:t>D</w:t>
      </w:r>
      <w:r w:rsidR="0031533F" w:rsidRPr="00205902">
        <w:rPr>
          <w:rFonts w:ascii="Arial" w:hAnsi="Arial" w:cs="Arial"/>
          <w:sz w:val="24"/>
          <w:szCs w:val="24"/>
        </w:rPr>
        <w:t xml:space="preserve">efinitions for each of the metrics are below. </w:t>
      </w:r>
      <w:r w:rsidR="007F6675" w:rsidRPr="00205902">
        <w:rPr>
          <w:rFonts w:ascii="Arial" w:hAnsi="Arial" w:cs="Arial"/>
          <w:sz w:val="24"/>
          <w:szCs w:val="24"/>
        </w:rPr>
        <w:t>E</w:t>
      </w:r>
      <w:r w:rsidR="0031533F" w:rsidRPr="00205902">
        <w:rPr>
          <w:rFonts w:ascii="Arial" w:hAnsi="Arial" w:cs="Arial"/>
          <w:sz w:val="24"/>
          <w:szCs w:val="24"/>
        </w:rPr>
        <w:t>ach metric will comprise:</w:t>
      </w:r>
    </w:p>
    <w:p w14:paraId="52856825" w14:textId="77777777" w:rsidR="0031533F" w:rsidRDefault="0031533F" w:rsidP="00AF7684">
      <w:pPr>
        <w:numPr>
          <w:ilvl w:val="0"/>
          <w:numId w:val="23"/>
        </w:numPr>
        <w:spacing w:after="0"/>
        <w:rPr>
          <w:rFonts w:cs="Arial"/>
        </w:rPr>
      </w:pPr>
      <w:r>
        <w:rPr>
          <w:rFonts w:cs="Arial"/>
        </w:rPr>
        <w:t xml:space="preserve">The </w:t>
      </w:r>
      <w:r w:rsidRPr="002E43D2">
        <w:rPr>
          <w:rFonts w:cs="Arial"/>
          <w:b/>
        </w:rPr>
        <w:t>indicator</w:t>
      </w:r>
      <w:r>
        <w:rPr>
          <w:rFonts w:cs="Arial"/>
        </w:rPr>
        <w:t xml:space="preserve"> (the percentage achieved by the provider).</w:t>
      </w:r>
    </w:p>
    <w:p w14:paraId="62F93FDC" w14:textId="77777777" w:rsidR="0031533F" w:rsidRDefault="0031533F" w:rsidP="00AF7684">
      <w:pPr>
        <w:numPr>
          <w:ilvl w:val="0"/>
          <w:numId w:val="23"/>
        </w:numPr>
        <w:spacing w:after="0"/>
        <w:rPr>
          <w:rFonts w:cs="Arial"/>
        </w:rPr>
      </w:pPr>
      <w:r w:rsidRPr="003D32F7">
        <w:rPr>
          <w:rFonts w:cs="Arial"/>
        </w:rPr>
        <w:t xml:space="preserve">A </w:t>
      </w:r>
      <w:r w:rsidRPr="002E43D2">
        <w:rPr>
          <w:rFonts w:cs="Arial"/>
          <w:b/>
        </w:rPr>
        <w:t>benchmark</w:t>
      </w:r>
      <w:r>
        <w:rPr>
          <w:rFonts w:cs="Arial"/>
        </w:rPr>
        <w:t xml:space="preserve"> (the sector average of the indicator, adjusted to take account of the </w:t>
      </w:r>
      <w:r w:rsidRPr="003D32F7">
        <w:rPr>
          <w:rFonts w:cs="Arial"/>
        </w:rPr>
        <w:t xml:space="preserve">particular subject mix and </w:t>
      </w:r>
      <w:r>
        <w:rPr>
          <w:rFonts w:cs="Arial"/>
        </w:rPr>
        <w:t xml:space="preserve">student </w:t>
      </w:r>
      <w:r w:rsidRPr="003D32F7">
        <w:rPr>
          <w:rFonts w:cs="Arial"/>
        </w:rPr>
        <w:t>characteristics</w:t>
      </w:r>
      <w:r>
        <w:rPr>
          <w:rFonts w:cs="Arial"/>
        </w:rPr>
        <w:t xml:space="preserve"> of the provider). </w:t>
      </w:r>
    </w:p>
    <w:p w14:paraId="0F13D4C2" w14:textId="64CBC743" w:rsidR="0031533F" w:rsidRDefault="0031533F" w:rsidP="00AF7684">
      <w:pPr>
        <w:numPr>
          <w:ilvl w:val="0"/>
          <w:numId w:val="23"/>
        </w:numPr>
        <w:spacing w:after="0"/>
        <w:rPr>
          <w:rFonts w:cs="Arial"/>
        </w:rPr>
      </w:pPr>
      <w:r w:rsidRPr="003D32F7">
        <w:rPr>
          <w:rFonts w:cs="Arial"/>
        </w:rPr>
        <w:t xml:space="preserve">A </w:t>
      </w:r>
      <w:r w:rsidRPr="002E43D2">
        <w:rPr>
          <w:rFonts w:cs="Arial"/>
          <w:b/>
        </w:rPr>
        <w:t>flag</w:t>
      </w:r>
      <w:r w:rsidRPr="003D32F7">
        <w:rPr>
          <w:rFonts w:cs="Arial"/>
        </w:rPr>
        <w:t xml:space="preserve"> to show whether the difference between the indicator and the benchmark is significant</w:t>
      </w:r>
      <w:r>
        <w:rPr>
          <w:rFonts w:cs="Arial"/>
        </w:rPr>
        <w:t xml:space="preserve"> </w:t>
      </w:r>
      <w:r w:rsidR="00464E1B">
        <w:rPr>
          <w:rFonts w:cs="Arial"/>
        </w:rPr>
        <w:t>(to allow further differentiation, a measure of that difference will be included)</w:t>
      </w:r>
      <w:r w:rsidR="00464E1B" w:rsidRPr="003D32F7">
        <w:rPr>
          <w:rFonts w:cs="Arial"/>
        </w:rPr>
        <w:t>.</w:t>
      </w:r>
    </w:p>
    <w:p w14:paraId="06D5D74B" w14:textId="77777777" w:rsidR="0031533F" w:rsidRDefault="0031533F" w:rsidP="0031533F">
      <w:pPr>
        <w:spacing w:after="0"/>
        <w:rPr>
          <w:rFonts w:cs="Arial"/>
          <w:b/>
        </w:rPr>
      </w:pPr>
    </w:p>
    <w:p w14:paraId="2990439B" w14:textId="77777777" w:rsidR="00C94052" w:rsidRDefault="00C94052" w:rsidP="0031533F">
      <w:pPr>
        <w:spacing w:after="0"/>
        <w:rPr>
          <w:rFonts w:cs="Arial"/>
          <w:b/>
        </w:rPr>
      </w:pPr>
    </w:p>
    <w:p w14:paraId="1E7E5E56" w14:textId="77777777" w:rsidR="00C94052" w:rsidRDefault="00C94052" w:rsidP="0031533F">
      <w:pPr>
        <w:spacing w:after="0"/>
        <w:rPr>
          <w:rFonts w:cs="Arial"/>
          <w:b/>
        </w:rPr>
      </w:pPr>
    </w:p>
    <w:p w14:paraId="54B1104B" w14:textId="77777777" w:rsidR="0031533F" w:rsidRPr="00220699" w:rsidRDefault="0031533F" w:rsidP="00FD0E93">
      <w:pPr>
        <w:pStyle w:val="Heading3"/>
        <w:spacing w:after="0"/>
        <w:ind w:hanging="284"/>
      </w:pPr>
      <w:bookmarkStart w:id="39" w:name="_Toc450147985"/>
      <w:bookmarkStart w:id="40" w:name="_Toc450886555"/>
      <w:r>
        <w:lastRenderedPageBreak/>
        <w:t>Student satisfaction with teaching and learning</w:t>
      </w:r>
      <w:bookmarkEnd w:id="39"/>
      <w:bookmarkEnd w:id="40"/>
      <w:r>
        <w:t xml:space="preserve"> </w:t>
      </w:r>
    </w:p>
    <w:p w14:paraId="27CAE1FE" w14:textId="29E4FE4F" w:rsidR="0031533F" w:rsidRPr="00205902" w:rsidRDefault="0031533F" w:rsidP="00AF7684">
      <w:pPr>
        <w:pStyle w:val="ListParagraph"/>
        <w:numPr>
          <w:ilvl w:val="0"/>
          <w:numId w:val="18"/>
        </w:numPr>
        <w:tabs>
          <w:tab w:val="left" w:pos="142"/>
        </w:tabs>
        <w:spacing w:after="0"/>
        <w:ind w:left="142" w:hanging="426"/>
        <w:rPr>
          <w:rFonts w:ascii="Arial" w:hAnsi="Arial" w:cs="Arial"/>
          <w:sz w:val="24"/>
          <w:szCs w:val="24"/>
        </w:rPr>
      </w:pPr>
      <w:r w:rsidRPr="00205902">
        <w:rPr>
          <w:rFonts w:ascii="Arial" w:hAnsi="Arial" w:cs="Arial"/>
          <w:sz w:val="24"/>
          <w:szCs w:val="24"/>
        </w:rPr>
        <w:t xml:space="preserve">Through the NSS, final year undergraduate students provide feedback on various aspects of their courses. For the TEF, we </w:t>
      </w:r>
      <w:r w:rsidR="001703B9" w:rsidRPr="00205902">
        <w:rPr>
          <w:rFonts w:ascii="Arial" w:hAnsi="Arial" w:cs="Arial"/>
          <w:sz w:val="24"/>
          <w:szCs w:val="24"/>
        </w:rPr>
        <w:t xml:space="preserve">intend </w:t>
      </w:r>
      <w:r w:rsidRPr="00205902">
        <w:rPr>
          <w:rFonts w:ascii="Arial" w:hAnsi="Arial" w:cs="Arial"/>
          <w:sz w:val="24"/>
          <w:szCs w:val="24"/>
        </w:rPr>
        <w:t xml:space="preserve">to construct metrics from those groups of NSS questions (‘scales’) which relate most directly to the quality of teaching and learning. </w:t>
      </w:r>
      <w:r w:rsidR="00296AD4" w:rsidRPr="00205902">
        <w:rPr>
          <w:rFonts w:ascii="Arial" w:hAnsi="Arial" w:cs="Arial"/>
          <w:sz w:val="24"/>
          <w:szCs w:val="24"/>
        </w:rPr>
        <w:t>T</w:t>
      </w:r>
      <w:r w:rsidRPr="00205902">
        <w:rPr>
          <w:rFonts w:ascii="Arial" w:hAnsi="Arial" w:cs="Arial"/>
          <w:sz w:val="24"/>
          <w:szCs w:val="24"/>
        </w:rPr>
        <w:t>hese are:</w:t>
      </w:r>
    </w:p>
    <w:p w14:paraId="2D4C9176" w14:textId="77777777" w:rsidR="0031533F" w:rsidRPr="00872454" w:rsidRDefault="0031533F" w:rsidP="00AF7684">
      <w:pPr>
        <w:pStyle w:val="NormalWeb"/>
        <w:numPr>
          <w:ilvl w:val="0"/>
          <w:numId w:val="9"/>
        </w:numPr>
        <w:spacing w:before="0" w:beforeAutospacing="0" w:after="0" w:afterAutospacing="0"/>
        <w:rPr>
          <w:rFonts w:ascii="Arial" w:hAnsi="Arial" w:cs="Arial"/>
        </w:rPr>
      </w:pPr>
      <w:r w:rsidRPr="00872454">
        <w:rPr>
          <w:rFonts w:ascii="Arial" w:hAnsi="Arial" w:cs="Arial"/>
          <w:b/>
        </w:rPr>
        <w:t>The teaching on my course</w:t>
      </w:r>
      <w:r w:rsidRPr="00872454">
        <w:rPr>
          <w:rFonts w:ascii="Arial" w:hAnsi="Arial" w:cs="Arial"/>
        </w:rPr>
        <w:t xml:space="preserve"> (NSS questions 1-4)</w:t>
      </w:r>
    </w:p>
    <w:p w14:paraId="6D751A94" w14:textId="77777777" w:rsidR="0031533F" w:rsidRPr="00872454" w:rsidRDefault="0031533F" w:rsidP="00AF7684">
      <w:pPr>
        <w:pStyle w:val="NormalWeb"/>
        <w:numPr>
          <w:ilvl w:val="0"/>
          <w:numId w:val="9"/>
        </w:numPr>
        <w:spacing w:before="0" w:beforeAutospacing="0" w:after="0" w:afterAutospacing="0"/>
        <w:rPr>
          <w:rFonts w:ascii="Arial" w:hAnsi="Arial" w:cs="Arial"/>
        </w:rPr>
      </w:pPr>
      <w:r w:rsidRPr="00872454">
        <w:rPr>
          <w:rFonts w:ascii="Arial" w:hAnsi="Arial" w:cs="Arial"/>
          <w:b/>
        </w:rPr>
        <w:t>Assessment and feedback</w:t>
      </w:r>
      <w:r w:rsidRPr="00872454">
        <w:rPr>
          <w:rFonts w:ascii="Arial" w:hAnsi="Arial" w:cs="Arial"/>
        </w:rPr>
        <w:t xml:space="preserve"> (NSS questions 5-9)</w:t>
      </w:r>
    </w:p>
    <w:p w14:paraId="4089A13E" w14:textId="77777777" w:rsidR="0031533F" w:rsidRPr="00872454" w:rsidRDefault="0031533F" w:rsidP="00AF7684">
      <w:pPr>
        <w:pStyle w:val="NormalWeb"/>
        <w:numPr>
          <w:ilvl w:val="0"/>
          <w:numId w:val="9"/>
        </w:numPr>
        <w:spacing w:before="0" w:beforeAutospacing="0" w:after="0" w:afterAutospacing="0"/>
        <w:rPr>
          <w:rFonts w:ascii="Arial" w:hAnsi="Arial" w:cs="Arial"/>
        </w:rPr>
      </w:pPr>
      <w:r w:rsidRPr="00872454">
        <w:rPr>
          <w:rFonts w:ascii="Arial" w:hAnsi="Arial" w:cs="Arial"/>
          <w:b/>
        </w:rPr>
        <w:t>Academic support</w:t>
      </w:r>
      <w:r w:rsidRPr="00872454">
        <w:rPr>
          <w:rFonts w:ascii="Arial" w:hAnsi="Arial" w:cs="Arial"/>
        </w:rPr>
        <w:t xml:space="preserve"> (NSS questions 10-12)</w:t>
      </w:r>
    </w:p>
    <w:p w14:paraId="7AFB9C90" w14:textId="77777777" w:rsidR="0031533F" w:rsidRDefault="0031533F" w:rsidP="0031533F">
      <w:pPr>
        <w:spacing w:after="0"/>
        <w:rPr>
          <w:rFonts w:cs="Arial"/>
        </w:rPr>
      </w:pPr>
    </w:p>
    <w:p w14:paraId="21B246BC" w14:textId="77777777" w:rsidR="0031533F" w:rsidRPr="00C20AD3" w:rsidRDefault="0031533F" w:rsidP="00AF7684">
      <w:pPr>
        <w:pStyle w:val="ListParagraph"/>
        <w:numPr>
          <w:ilvl w:val="0"/>
          <w:numId w:val="18"/>
        </w:numPr>
        <w:tabs>
          <w:tab w:val="left" w:pos="142"/>
        </w:tabs>
        <w:spacing w:after="0"/>
        <w:ind w:left="142" w:hanging="426"/>
        <w:rPr>
          <w:rFonts w:ascii="Arial" w:hAnsi="Arial" w:cs="Arial"/>
          <w:b/>
          <w:sz w:val="24"/>
          <w:szCs w:val="24"/>
        </w:rPr>
      </w:pPr>
      <w:r w:rsidRPr="00C20AD3">
        <w:rPr>
          <w:rFonts w:ascii="Arial" w:hAnsi="Arial" w:cs="Arial"/>
          <w:sz w:val="24"/>
          <w:szCs w:val="24"/>
        </w:rPr>
        <w:t xml:space="preserve">For each of the three scales, </w:t>
      </w:r>
      <w:r w:rsidRPr="00C20AD3">
        <w:rPr>
          <w:rFonts w:ascii="Arial" w:hAnsi="Arial" w:cs="Arial"/>
          <w:b/>
          <w:sz w:val="24"/>
          <w:szCs w:val="24"/>
        </w:rPr>
        <w:t>the metric will indicate the extent to which each student agrees</w:t>
      </w:r>
      <w:r w:rsidRPr="004007DA">
        <w:rPr>
          <w:rStyle w:val="FootnoteReference"/>
        </w:rPr>
        <w:footnoteReference w:id="16"/>
      </w:r>
      <w:r w:rsidRPr="004007DA">
        <w:rPr>
          <w:rStyle w:val="FootnoteReference"/>
        </w:rPr>
        <w:t xml:space="preserve"> </w:t>
      </w:r>
      <w:r w:rsidRPr="00C20AD3">
        <w:rPr>
          <w:rFonts w:ascii="Arial" w:hAnsi="Arial" w:cs="Arial"/>
          <w:b/>
          <w:sz w:val="24"/>
          <w:szCs w:val="24"/>
        </w:rPr>
        <w:t xml:space="preserve">with the statements in that scale, averaged across all students at the provider. </w:t>
      </w:r>
    </w:p>
    <w:p w14:paraId="4F506F0A" w14:textId="77777777" w:rsidR="0031533F" w:rsidRDefault="0031533F" w:rsidP="0031533F">
      <w:pPr>
        <w:spacing w:after="0"/>
        <w:rPr>
          <w:rFonts w:cs="Arial"/>
        </w:rPr>
      </w:pPr>
    </w:p>
    <w:p w14:paraId="5BC0BD2E" w14:textId="77777777" w:rsidR="0031533F" w:rsidRPr="00C20AD3" w:rsidRDefault="0031533F" w:rsidP="00AF7684">
      <w:pPr>
        <w:pStyle w:val="ListParagraph"/>
        <w:numPr>
          <w:ilvl w:val="0"/>
          <w:numId w:val="18"/>
        </w:numPr>
        <w:tabs>
          <w:tab w:val="left" w:pos="142"/>
        </w:tabs>
        <w:spacing w:after="0"/>
        <w:ind w:left="142" w:hanging="426"/>
        <w:rPr>
          <w:rFonts w:ascii="Arial" w:hAnsi="Arial" w:cs="Arial"/>
          <w:sz w:val="24"/>
          <w:szCs w:val="24"/>
        </w:rPr>
      </w:pPr>
      <w:r w:rsidRPr="00C20AD3">
        <w:rPr>
          <w:rFonts w:ascii="Arial" w:hAnsi="Arial" w:cs="Arial"/>
          <w:sz w:val="24"/>
          <w:szCs w:val="24"/>
        </w:rPr>
        <w:t xml:space="preserve">We do not </w:t>
      </w:r>
      <w:r w:rsidR="00296AD4" w:rsidRPr="00C20AD3">
        <w:rPr>
          <w:rFonts w:ascii="Arial" w:hAnsi="Arial" w:cs="Arial"/>
          <w:sz w:val="24"/>
          <w:szCs w:val="24"/>
        </w:rPr>
        <w:t>i</w:t>
      </w:r>
      <w:r w:rsidR="001D6BEC" w:rsidRPr="00C20AD3">
        <w:rPr>
          <w:rFonts w:ascii="Arial" w:hAnsi="Arial" w:cs="Arial"/>
          <w:sz w:val="24"/>
          <w:szCs w:val="24"/>
        </w:rPr>
        <w:t>n</w:t>
      </w:r>
      <w:r w:rsidR="00296AD4" w:rsidRPr="00C20AD3">
        <w:rPr>
          <w:rFonts w:ascii="Arial" w:hAnsi="Arial" w:cs="Arial"/>
          <w:sz w:val="24"/>
          <w:szCs w:val="24"/>
        </w:rPr>
        <w:t xml:space="preserve">tend </w:t>
      </w:r>
      <w:r w:rsidRPr="00C20AD3">
        <w:rPr>
          <w:rFonts w:ascii="Arial" w:hAnsi="Arial" w:cs="Arial"/>
          <w:sz w:val="24"/>
          <w:szCs w:val="24"/>
        </w:rPr>
        <w:t>to use learning resources (NSS questions 16-18) as these questions are currently under review and, in their current form, the direct relationship to the aspects of quality within the TEF assessment framework (</w:t>
      </w:r>
      <w:r w:rsidRPr="00C20AD3">
        <w:rPr>
          <w:rFonts w:ascii="Arial" w:hAnsi="Arial" w:cs="Arial"/>
          <w:b/>
          <w:sz w:val="24"/>
          <w:szCs w:val="24"/>
        </w:rPr>
        <w:t>Chapter 1: The Assessment Framework</w:t>
      </w:r>
      <w:r w:rsidRPr="00C20AD3">
        <w:rPr>
          <w:rFonts w:ascii="Arial" w:hAnsi="Arial" w:cs="Arial"/>
          <w:sz w:val="24"/>
          <w:szCs w:val="24"/>
        </w:rPr>
        <w:t>) appears weaker. Providers will, if they wish to, have an opportunity to present evidence as to the impact of their learning resources and facilities as part of the provider submission (</w:t>
      </w:r>
      <w:r w:rsidRPr="00C20AD3">
        <w:rPr>
          <w:rFonts w:ascii="Arial" w:hAnsi="Arial" w:cs="Arial"/>
          <w:b/>
          <w:sz w:val="24"/>
          <w:szCs w:val="24"/>
        </w:rPr>
        <w:t>Chapter 3b: Evidence – provider submission</w:t>
      </w:r>
      <w:r w:rsidRPr="00C20AD3">
        <w:rPr>
          <w:rFonts w:ascii="Arial" w:hAnsi="Arial" w:cs="Arial"/>
          <w:sz w:val="24"/>
          <w:szCs w:val="24"/>
        </w:rPr>
        <w:t>).</w:t>
      </w:r>
    </w:p>
    <w:p w14:paraId="0C2672CB" w14:textId="77777777" w:rsidR="009E664E" w:rsidRPr="00B30048" w:rsidRDefault="009E664E" w:rsidP="00B30048">
      <w:pPr>
        <w:spacing w:after="0"/>
        <w:rPr>
          <w:rFonts w:cs="Arial"/>
        </w:rPr>
      </w:pPr>
    </w:p>
    <w:p w14:paraId="3A0E8A7F" w14:textId="77777777" w:rsidR="0031533F" w:rsidRPr="00220699" w:rsidRDefault="0031533F" w:rsidP="00FD0E93">
      <w:pPr>
        <w:pStyle w:val="Heading3"/>
        <w:spacing w:after="0"/>
        <w:ind w:hanging="284"/>
      </w:pPr>
      <w:bookmarkStart w:id="41" w:name="_Toc450147986"/>
      <w:bookmarkStart w:id="42" w:name="_Toc450886556"/>
      <w:r>
        <w:t>N</w:t>
      </w:r>
      <w:r w:rsidRPr="00C03551">
        <w:t>on-continuation</w:t>
      </w:r>
      <w:bookmarkEnd w:id="41"/>
      <w:bookmarkEnd w:id="42"/>
    </w:p>
    <w:p w14:paraId="6C9AC25B" w14:textId="430B53A0" w:rsidR="00322BB5" w:rsidRDefault="0031533F" w:rsidP="00AF7684">
      <w:pPr>
        <w:pStyle w:val="ListParagraph"/>
        <w:numPr>
          <w:ilvl w:val="0"/>
          <w:numId w:val="18"/>
        </w:numPr>
        <w:tabs>
          <w:tab w:val="left" w:pos="142"/>
        </w:tabs>
        <w:spacing w:after="0"/>
        <w:ind w:left="142" w:hanging="426"/>
        <w:rPr>
          <w:rFonts w:ascii="Arial" w:hAnsi="Arial" w:cs="Arial"/>
          <w:sz w:val="24"/>
          <w:szCs w:val="24"/>
        </w:rPr>
      </w:pPr>
      <w:r w:rsidRPr="00C20AD3">
        <w:rPr>
          <w:rFonts w:ascii="Arial" w:hAnsi="Arial" w:cs="Arial"/>
          <w:sz w:val="24"/>
          <w:szCs w:val="24"/>
        </w:rPr>
        <w:t xml:space="preserve">We </w:t>
      </w:r>
      <w:r w:rsidR="00296AD4" w:rsidRPr="00C20AD3">
        <w:rPr>
          <w:rFonts w:ascii="Arial" w:hAnsi="Arial" w:cs="Arial"/>
          <w:sz w:val="24"/>
          <w:szCs w:val="24"/>
        </w:rPr>
        <w:t xml:space="preserve">intend </w:t>
      </w:r>
      <w:r w:rsidRPr="00C20AD3">
        <w:rPr>
          <w:rFonts w:ascii="Arial" w:hAnsi="Arial" w:cs="Arial"/>
          <w:sz w:val="24"/>
          <w:szCs w:val="24"/>
        </w:rPr>
        <w:t>to use the definition of non-continuation used in the UK PIs</w:t>
      </w:r>
      <w:r w:rsidR="0037246D" w:rsidRPr="004007DA">
        <w:rPr>
          <w:rStyle w:val="FootnoteReference"/>
        </w:rPr>
        <w:footnoteReference w:id="17"/>
      </w:r>
      <w:r w:rsidR="004007DA">
        <w:rPr>
          <w:rFonts w:ascii="Arial" w:hAnsi="Arial" w:cs="Arial"/>
          <w:sz w:val="24"/>
          <w:szCs w:val="24"/>
        </w:rPr>
        <w:t>.</w:t>
      </w:r>
      <w:r w:rsidRPr="00C20AD3">
        <w:rPr>
          <w:rFonts w:ascii="Arial" w:hAnsi="Arial" w:cs="Arial"/>
          <w:sz w:val="24"/>
          <w:szCs w:val="24"/>
        </w:rPr>
        <w:t xml:space="preserve"> This considers students who start their course in a particular year and indicates </w:t>
      </w:r>
      <w:r w:rsidRPr="00C20AD3">
        <w:rPr>
          <w:rFonts w:ascii="Arial" w:hAnsi="Arial" w:cs="Arial"/>
          <w:b/>
          <w:sz w:val="24"/>
          <w:szCs w:val="24"/>
        </w:rPr>
        <w:t xml:space="preserve">the </w:t>
      </w:r>
      <w:proofErr w:type="gramStart"/>
      <w:r w:rsidRPr="00C20AD3">
        <w:rPr>
          <w:rFonts w:ascii="Arial" w:hAnsi="Arial" w:cs="Arial"/>
          <w:b/>
          <w:sz w:val="24"/>
          <w:szCs w:val="24"/>
        </w:rPr>
        <w:t xml:space="preserve">percentage </w:t>
      </w:r>
      <w:r w:rsidR="00560E1F" w:rsidRPr="00C20AD3">
        <w:rPr>
          <w:rFonts w:ascii="Arial" w:hAnsi="Arial" w:cs="Arial"/>
          <w:b/>
          <w:sz w:val="24"/>
          <w:szCs w:val="24"/>
        </w:rPr>
        <w:t>that</w:t>
      </w:r>
      <w:r w:rsidRPr="00C20AD3">
        <w:rPr>
          <w:rFonts w:ascii="Arial" w:hAnsi="Arial" w:cs="Arial"/>
          <w:b/>
          <w:sz w:val="24"/>
          <w:szCs w:val="24"/>
        </w:rPr>
        <w:t xml:space="preserve"> are</w:t>
      </w:r>
      <w:proofErr w:type="gramEnd"/>
      <w:r w:rsidRPr="00C20AD3">
        <w:rPr>
          <w:rFonts w:ascii="Arial" w:hAnsi="Arial" w:cs="Arial"/>
          <w:b/>
          <w:sz w:val="24"/>
          <w:szCs w:val="24"/>
        </w:rPr>
        <w:t xml:space="preserve"> no longer in higher education (whether at the same or a different provider) one year later (for full-time students) or two years later (for part-time students)</w:t>
      </w:r>
      <w:r w:rsidR="007F6675" w:rsidRPr="00C20AD3">
        <w:rPr>
          <w:rFonts w:ascii="Arial" w:hAnsi="Arial" w:cs="Arial"/>
          <w:sz w:val="24"/>
          <w:szCs w:val="24"/>
        </w:rPr>
        <w:t>.</w:t>
      </w:r>
      <w:r w:rsidRPr="00C20AD3">
        <w:rPr>
          <w:rFonts w:ascii="Arial" w:hAnsi="Arial" w:cs="Arial"/>
          <w:sz w:val="24"/>
          <w:szCs w:val="24"/>
        </w:rPr>
        <w:t xml:space="preserve"> The duration for both full and part time students means that they have had the opportunity to undertake a material part of their provision.</w:t>
      </w:r>
      <w:r w:rsidR="00B82CC5" w:rsidRPr="00C20AD3">
        <w:rPr>
          <w:rFonts w:ascii="Arial" w:hAnsi="Arial" w:cs="Arial"/>
          <w:sz w:val="24"/>
          <w:szCs w:val="24"/>
        </w:rPr>
        <w:t xml:space="preserve"> </w:t>
      </w:r>
    </w:p>
    <w:p w14:paraId="2D2B1FA8" w14:textId="77777777" w:rsidR="00322BB5" w:rsidRDefault="00322BB5" w:rsidP="00322BB5">
      <w:pPr>
        <w:pStyle w:val="ListParagraph"/>
        <w:tabs>
          <w:tab w:val="left" w:pos="142"/>
        </w:tabs>
        <w:spacing w:after="0"/>
        <w:ind w:left="142"/>
        <w:rPr>
          <w:rFonts w:ascii="Arial" w:hAnsi="Arial" w:cs="Arial"/>
          <w:sz w:val="24"/>
          <w:szCs w:val="24"/>
        </w:rPr>
      </w:pPr>
    </w:p>
    <w:p w14:paraId="5AE3FF2E" w14:textId="17DE226C" w:rsidR="0031533F" w:rsidRPr="00C20AD3" w:rsidRDefault="00322BB5" w:rsidP="00AF7684">
      <w:pPr>
        <w:pStyle w:val="ListParagraph"/>
        <w:numPr>
          <w:ilvl w:val="0"/>
          <w:numId w:val="18"/>
        </w:numPr>
        <w:tabs>
          <w:tab w:val="left" w:pos="142"/>
        </w:tabs>
        <w:spacing w:after="0"/>
        <w:ind w:left="142" w:hanging="426"/>
        <w:rPr>
          <w:rFonts w:ascii="Arial" w:hAnsi="Arial" w:cs="Arial"/>
          <w:sz w:val="24"/>
          <w:szCs w:val="24"/>
        </w:rPr>
      </w:pPr>
      <w:r>
        <w:rPr>
          <w:rFonts w:ascii="Arial" w:hAnsi="Arial" w:cs="Arial"/>
          <w:sz w:val="24"/>
          <w:szCs w:val="24"/>
        </w:rPr>
        <w:t>We recognise that t</w:t>
      </w:r>
      <w:r w:rsidR="00EA3017" w:rsidRPr="00C20AD3">
        <w:rPr>
          <w:rFonts w:ascii="Arial" w:hAnsi="Arial" w:cs="Arial"/>
          <w:sz w:val="24"/>
          <w:szCs w:val="24"/>
        </w:rPr>
        <w:t xml:space="preserve">he ability to switch course part-way through, within the same or a different provider, is important to student choice. As set out in the White Paper, we are launching a call for evidence on credit transfer, which can play an important part in supporting students to switch course. In assessing retention rates, the TEF will not </w:t>
      </w:r>
      <w:r>
        <w:rPr>
          <w:rFonts w:ascii="Arial" w:hAnsi="Arial" w:cs="Arial"/>
          <w:sz w:val="24"/>
          <w:szCs w:val="24"/>
        </w:rPr>
        <w:t>disadvantage</w:t>
      </w:r>
      <w:r w:rsidR="00EA3017" w:rsidRPr="00C20AD3">
        <w:rPr>
          <w:rFonts w:ascii="Arial" w:hAnsi="Arial" w:cs="Arial"/>
          <w:sz w:val="24"/>
          <w:szCs w:val="24"/>
        </w:rPr>
        <w:t xml:space="preserve"> providers whose students have left part-way through a course to continue their studies elsewhere. </w:t>
      </w:r>
      <w:r w:rsidR="002A27DC" w:rsidRPr="00C20AD3">
        <w:rPr>
          <w:rFonts w:ascii="Arial" w:hAnsi="Arial" w:cs="Arial"/>
          <w:sz w:val="24"/>
          <w:szCs w:val="24"/>
        </w:rPr>
        <w:t>Students who leave part-way through their course to study at a different provider are not counted as dropping out provided they</w:t>
      </w:r>
      <w:r w:rsidR="00B82CC5" w:rsidRPr="00C20AD3">
        <w:rPr>
          <w:rFonts w:ascii="Arial" w:hAnsi="Arial" w:cs="Arial"/>
          <w:sz w:val="24"/>
          <w:szCs w:val="24"/>
        </w:rPr>
        <w:t xml:space="preserve"> begin their new course the following year after leaving</w:t>
      </w:r>
      <w:r w:rsidR="002A27DC" w:rsidRPr="00C20AD3">
        <w:rPr>
          <w:rFonts w:ascii="Arial" w:hAnsi="Arial" w:cs="Arial"/>
          <w:sz w:val="24"/>
          <w:szCs w:val="24"/>
        </w:rPr>
        <w:t xml:space="preserve"> (for full-time students) or in either of the </w:t>
      </w:r>
      <w:r w:rsidR="00CE481A" w:rsidRPr="00C20AD3">
        <w:rPr>
          <w:rFonts w:ascii="Arial" w:hAnsi="Arial" w:cs="Arial"/>
          <w:sz w:val="24"/>
          <w:szCs w:val="24"/>
        </w:rPr>
        <w:t xml:space="preserve">following </w:t>
      </w:r>
      <w:r w:rsidR="002A27DC" w:rsidRPr="00C20AD3">
        <w:rPr>
          <w:rFonts w:ascii="Arial" w:hAnsi="Arial" w:cs="Arial"/>
          <w:sz w:val="24"/>
          <w:szCs w:val="24"/>
        </w:rPr>
        <w:t>two years after leaving (for part-time students)</w:t>
      </w:r>
      <w:r w:rsidR="00B82CC5" w:rsidRPr="00C20AD3">
        <w:rPr>
          <w:rFonts w:ascii="Arial" w:hAnsi="Arial" w:cs="Arial"/>
          <w:sz w:val="24"/>
          <w:szCs w:val="24"/>
        </w:rPr>
        <w:t xml:space="preserve">. </w:t>
      </w:r>
    </w:p>
    <w:p w14:paraId="77C167C4" w14:textId="77777777" w:rsidR="0031533F" w:rsidRPr="000F35E4" w:rsidRDefault="0031533F" w:rsidP="0031533F">
      <w:pPr>
        <w:spacing w:after="0"/>
        <w:rPr>
          <w:rFonts w:cs="Arial"/>
          <w:b/>
        </w:rPr>
      </w:pPr>
    </w:p>
    <w:p w14:paraId="51B6C529" w14:textId="77777777" w:rsidR="0031533F" w:rsidRPr="005A0445" w:rsidRDefault="0031533F" w:rsidP="00FD0E93">
      <w:pPr>
        <w:pStyle w:val="Heading3"/>
        <w:spacing w:after="0"/>
        <w:ind w:hanging="284"/>
      </w:pPr>
      <w:bookmarkStart w:id="43" w:name="_Toc450147987"/>
      <w:bookmarkStart w:id="44" w:name="_Toc450886557"/>
      <w:r w:rsidRPr="005A0445">
        <w:t>Employment/destinations</w:t>
      </w:r>
      <w:bookmarkEnd w:id="43"/>
      <w:bookmarkEnd w:id="44"/>
    </w:p>
    <w:p w14:paraId="396A353F" w14:textId="4C556672" w:rsidR="00F937DF" w:rsidRPr="00F937DF" w:rsidRDefault="00F937DF" w:rsidP="00AF7684">
      <w:pPr>
        <w:pStyle w:val="ListParagraph"/>
        <w:numPr>
          <w:ilvl w:val="0"/>
          <w:numId w:val="18"/>
        </w:numPr>
        <w:tabs>
          <w:tab w:val="left" w:pos="142"/>
        </w:tabs>
        <w:spacing w:after="0"/>
        <w:ind w:left="142" w:hanging="426"/>
        <w:rPr>
          <w:rFonts w:ascii="Arial" w:hAnsi="Arial" w:cs="Arial"/>
          <w:b/>
          <w:sz w:val="24"/>
          <w:szCs w:val="24"/>
        </w:rPr>
      </w:pPr>
      <w:r w:rsidRPr="00F937DF">
        <w:rPr>
          <w:rFonts w:ascii="Arial" w:hAnsi="Arial" w:cs="Arial"/>
          <w:sz w:val="24"/>
          <w:szCs w:val="24"/>
        </w:rPr>
        <w:t xml:space="preserve">We intend to use an adapted version of the UK PI employment indicator which </w:t>
      </w:r>
      <w:r w:rsidRPr="00093DA6">
        <w:rPr>
          <w:rFonts w:ascii="Arial" w:hAnsi="Arial" w:cs="Arial"/>
          <w:b/>
          <w:sz w:val="24"/>
          <w:szCs w:val="24"/>
        </w:rPr>
        <w:t>measures the proportion of the provider’s graduates who are working or studying (or both) six months after graduation</w:t>
      </w:r>
      <w:r w:rsidR="00EB3E3F" w:rsidRPr="004007DA">
        <w:rPr>
          <w:rStyle w:val="FootnoteReference"/>
        </w:rPr>
        <w:footnoteReference w:id="18"/>
      </w:r>
      <w:r w:rsidRPr="00093DA6">
        <w:rPr>
          <w:rFonts w:ascii="Arial" w:hAnsi="Arial" w:cs="Arial"/>
          <w:b/>
          <w:sz w:val="24"/>
          <w:szCs w:val="24"/>
        </w:rPr>
        <w:t>, as a percentage of all graduates</w:t>
      </w:r>
      <w:r w:rsidRPr="00F937DF">
        <w:rPr>
          <w:rFonts w:ascii="Arial" w:hAnsi="Arial" w:cs="Arial"/>
          <w:sz w:val="24"/>
          <w:szCs w:val="24"/>
        </w:rPr>
        <w:t xml:space="preserve">. This covers a wide range of positive outcomes, including those who are self-employed, freelancing or doing </w:t>
      </w:r>
      <w:r w:rsidRPr="00F937DF">
        <w:rPr>
          <w:rFonts w:ascii="Arial" w:hAnsi="Arial" w:cs="Arial"/>
          <w:sz w:val="24"/>
          <w:szCs w:val="24"/>
        </w:rPr>
        <w:lastRenderedPageBreak/>
        <w:t>unpaid or voluntary work. It differs from the UK PI definition in that it includes in the denominator those who are retired, in ill health, looking after the home or family, or taking time out to travel or similar. The proposed definition thus indicates the level of employment or further study across the whole cohort, which is consistent with the internationally agreed definition used in official measures of employment</w:t>
      </w:r>
      <w:r w:rsidRPr="004007DA">
        <w:rPr>
          <w:rStyle w:val="FootnoteReference"/>
        </w:rPr>
        <w:footnoteReference w:id="19"/>
      </w:r>
      <w:r w:rsidRPr="00F937DF">
        <w:rPr>
          <w:rFonts w:ascii="Arial" w:hAnsi="Arial" w:cs="Arial"/>
          <w:sz w:val="24"/>
          <w:szCs w:val="24"/>
        </w:rPr>
        <w:t>.</w:t>
      </w:r>
    </w:p>
    <w:p w14:paraId="5650D1FA" w14:textId="77777777" w:rsidR="0031533F" w:rsidRPr="00F7750B" w:rsidRDefault="0031533F" w:rsidP="0031533F">
      <w:pPr>
        <w:spacing w:after="0"/>
        <w:rPr>
          <w:rFonts w:cs="Arial"/>
        </w:rPr>
      </w:pPr>
    </w:p>
    <w:p w14:paraId="07CF8D09" w14:textId="526C981F" w:rsidR="00C20AD3" w:rsidRDefault="0031533F" w:rsidP="00AF7684">
      <w:pPr>
        <w:pStyle w:val="ListParagraph"/>
        <w:numPr>
          <w:ilvl w:val="0"/>
          <w:numId w:val="18"/>
        </w:numPr>
        <w:tabs>
          <w:tab w:val="left" w:pos="142"/>
        </w:tabs>
        <w:spacing w:after="0"/>
        <w:ind w:left="142" w:hanging="426"/>
        <w:rPr>
          <w:rFonts w:ascii="Arial" w:hAnsi="Arial" w:cs="Arial"/>
          <w:sz w:val="24"/>
          <w:szCs w:val="24"/>
        </w:rPr>
      </w:pPr>
      <w:r w:rsidRPr="00C20AD3">
        <w:rPr>
          <w:rFonts w:ascii="Arial" w:hAnsi="Arial" w:cs="Arial"/>
          <w:sz w:val="24"/>
          <w:szCs w:val="24"/>
        </w:rPr>
        <w:t xml:space="preserve">We recognise that, while the current employment indicator has value as a broad measure of outcomes, it does not fully capture whether or not that employment utilises the skills gained through </w:t>
      </w:r>
      <w:r w:rsidR="001703B9" w:rsidRPr="00C20AD3">
        <w:rPr>
          <w:rFonts w:ascii="Arial" w:hAnsi="Arial" w:cs="Arial"/>
          <w:sz w:val="24"/>
          <w:szCs w:val="24"/>
        </w:rPr>
        <w:t>higher e</w:t>
      </w:r>
      <w:r w:rsidRPr="00C20AD3">
        <w:rPr>
          <w:rFonts w:ascii="Arial" w:hAnsi="Arial" w:cs="Arial"/>
          <w:sz w:val="24"/>
          <w:szCs w:val="24"/>
        </w:rPr>
        <w:t xml:space="preserve">ducation. Therefore we </w:t>
      </w:r>
      <w:r w:rsidR="00315A86" w:rsidRPr="00C20AD3">
        <w:rPr>
          <w:rFonts w:ascii="Arial" w:hAnsi="Arial" w:cs="Arial"/>
          <w:sz w:val="24"/>
          <w:szCs w:val="24"/>
        </w:rPr>
        <w:t>are considering</w:t>
      </w:r>
      <w:r w:rsidRPr="00C20AD3">
        <w:rPr>
          <w:rFonts w:ascii="Arial" w:hAnsi="Arial" w:cs="Arial"/>
          <w:sz w:val="24"/>
          <w:szCs w:val="24"/>
        </w:rPr>
        <w:t xml:space="preserve"> an additional metric that measures the proportion of graduates who are studying or working in highly skilled employment</w:t>
      </w:r>
      <w:r w:rsidR="001703B9" w:rsidRPr="00C20AD3">
        <w:rPr>
          <w:rFonts w:ascii="Arial" w:hAnsi="Arial" w:cs="Arial"/>
          <w:sz w:val="24"/>
          <w:szCs w:val="24"/>
        </w:rPr>
        <w:t xml:space="preserve"> and are consulting here on how we might define</w:t>
      </w:r>
      <w:r w:rsidR="00861D77">
        <w:rPr>
          <w:rFonts w:ascii="Arial" w:hAnsi="Arial" w:cs="Arial"/>
          <w:sz w:val="24"/>
          <w:szCs w:val="24"/>
        </w:rPr>
        <w:t xml:space="preserve"> and use</w:t>
      </w:r>
      <w:r w:rsidR="001703B9" w:rsidRPr="00C20AD3">
        <w:rPr>
          <w:rFonts w:ascii="Arial" w:hAnsi="Arial" w:cs="Arial"/>
          <w:sz w:val="24"/>
          <w:szCs w:val="24"/>
        </w:rPr>
        <w:t xml:space="preserve"> this measure</w:t>
      </w:r>
      <w:r w:rsidRPr="00C20AD3">
        <w:rPr>
          <w:rFonts w:ascii="Arial" w:hAnsi="Arial" w:cs="Arial"/>
          <w:sz w:val="24"/>
          <w:szCs w:val="24"/>
        </w:rPr>
        <w:t xml:space="preserve">. </w:t>
      </w:r>
    </w:p>
    <w:p w14:paraId="5996FBF7" w14:textId="77777777" w:rsidR="00C20AD3" w:rsidRDefault="00C20AD3" w:rsidP="00C20AD3">
      <w:pPr>
        <w:pStyle w:val="ListParagraph"/>
        <w:tabs>
          <w:tab w:val="left" w:pos="142"/>
        </w:tabs>
        <w:spacing w:after="0"/>
        <w:ind w:left="142"/>
        <w:rPr>
          <w:rFonts w:ascii="Arial" w:hAnsi="Arial" w:cs="Arial"/>
          <w:sz w:val="24"/>
          <w:szCs w:val="24"/>
        </w:rPr>
      </w:pPr>
    </w:p>
    <w:p w14:paraId="2C97D210" w14:textId="77777777" w:rsidR="00C20AD3" w:rsidRDefault="0031533F" w:rsidP="00AF7684">
      <w:pPr>
        <w:pStyle w:val="ListParagraph"/>
        <w:numPr>
          <w:ilvl w:val="0"/>
          <w:numId w:val="18"/>
        </w:numPr>
        <w:tabs>
          <w:tab w:val="left" w:pos="142"/>
        </w:tabs>
        <w:spacing w:after="0"/>
        <w:ind w:left="142" w:hanging="426"/>
        <w:rPr>
          <w:rFonts w:ascii="Arial" w:hAnsi="Arial" w:cs="Arial"/>
          <w:sz w:val="24"/>
          <w:szCs w:val="24"/>
        </w:rPr>
      </w:pPr>
      <w:r w:rsidRPr="00C20AD3">
        <w:rPr>
          <w:rFonts w:ascii="Arial" w:hAnsi="Arial" w:cs="Arial"/>
          <w:sz w:val="24"/>
          <w:szCs w:val="24"/>
        </w:rPr>
        <w:t xml:space="preserve">Having explored a number of options for defining highly skilled employment, we propose using the </w:t>
      </w:r>
      <w:r w:rsidR="001703B9" w:rsidRPr="00C20AD3">
        <w:rPr>
          <w:rFonts w:ascii="Arial" w:hAnsi="Arial" w:cs="Arial"/>
          <w:sz w:val="24"/>
          <w:szCs w:val="24"/>
        </w:rPr>
        <w:t>ONS</w:t>
      </w:r>
      <w:r w:rsidRPr="00C20AD3">
        <w:rPr>
          <w:rFonts w:ascii="Arial" w:hAnsi="Arial" w:cs="Arial"/>
          <w:sz w:val="24"/>
          <w:szCs w:val="24"/>
        </w:rPr>
        <w:t xml:space="preserve"> Standard Occupational Classification (SOC) groups 1-3</w:t>
      </w:r>
      <w:r w:rsidRPr="004007DA">
        <w:rPr>
          <w:rStyle w:val="FootnoteReference"/>
        </w:rPr>
        <w:footnoteReference w:id="20"/>
      </w:r>
      <w:r w:rsidRPr="00C20AD3">
        <w:rPr>
          <w:rFonts w:ascii="Arial" w:hAnsi="Arial" w:cs="Arial"/>
          <w:sz w:val="24"/>
          <w:szCs w:val="24"/>
        </w:rPr>
        <w:t xml:space="preserve">, as used by HEFCE and HESA and published in </w:t>
      </w:r>
      <w:proofErr w:type="spellStart"/>
      <w:r w:rsidRPr="00C20AD3">
        <w:rPr>
          <w:rFonts w:ascii="Arial" w:hAnsi="Arial" w:cs="Arial"/>
          <w:sz w:val="24"/>
          <w:szCs w:val="24"/>
        </w:rPr>
        <w:t>UniStats</w:t>
      </w:r>
      <w:proofErr w:type="spellEnd"/>
      <w:r w:rsidRPr="00C20AD3">
        <w:rPr>
          <w:rFonts w:ascii="Arial" w:hAnsi="Arial" w:cs="Arial"/>
          <w:sz w:val="24"/>
          <w:szCs w:val="24"/>
        </w:rPr>
        <w:t>. Since research</w:t>
      </w:r>
      <w:r w:rsidRPr="004007DA">
        <w:rPr>
          <w:rStyle w:val="FootnoteReference"/>
        </w:rPr>
        <w:footnoteReference w:id="21"/>
      </w:r>
      <w:r w:rsidRPr="00C20AD3">
        <w:rPr>
          <w:rFonts w:ascii="Arial" w:hAnsi="Arial" w:cs="Arial"/>
          <w:sz w:val="24"/>
          <w:szCs w:val="24"/>
        </w:rPr>
        <w:t xml:space="preserve"> suggests that not all occupations contained within SOC groups 1 and 3 are necessarily high value ‘graduate jobs’, we considered using a more refined measure. But as there is no universally accepted list of such jobs</w:t>
      </w:r>
      <w:r w:rsidR="001703B9" w:rsidRPr="00C20AD3">
        <w:rPr>
          <w:rFonts w:ascii="Arial" w:hAnsi="Arial" w:cs="Arial"/>
          <w:sz w:val="24"/>
          <w:szCs w:val="24"/>
        </w:rPr>
        <w:t>,</w:t>
      </w:r>
      <w:r w:rsidRPr="00C20AD3">
        <w:rPr>
          <w:rFonts w:ascii="Arial" w:hAnsi="Arial" w:cs="Arial"/>
          <w:sz w:val="24"/>
          <w:szCs w:val="24"/>
        </w:rPr>
        <w:t xml:space="preserve"> we believe that using an easily</w:t>
      </w:r>
      <w:r w:rsidR="008F0CBD" w:rsidRPr="00C20AD3">
        <w:rPr>
          <w:rFonts w:ascii="Arial" w:hAnsi="Arial" w:cs="Arial"/>
          <w:sz w:val="24"/>
          <w:szCs w:val="24"/>
        </w:rPr>
        <w:t xml:space="preserve"> </w:t>
      </w:r>
      <w:r w:rsidRPr="00C20AD3">
        <w:rPr>
          <w:rFonts w:ascii="Arial" w:hAnsi="Arial" w:cs="Arial"/>
          <w:sz w:val="24"/>
          <w:szCs w:val="24"/>
        </w:rPr>
        <w:t>interpreted, widely used and readily</w:t>
      </w:r>
      <w:r w:rsidR="008F0CBD" w:rsidRPr="00C20AD3">
        <w:rPr>
          <w:rFonts w:ascii="Arial" w:hAnsi="Arial" w:cs="Arial"/>
          <w:sz w:val="24"/>
          <w:szCs w:val="24"/>
        </w:rPr>
        <w:t xml:space="preserve"> </w:t>
      </w:r>
      <w:r w:rsidRPr="00C20AD3">
        <w:rPr>
          <w:rFonts w:ascii="Arial" w:hAnsi="Arial" w:cs="Arial"/>
          <w:sz w:val="24"/>
          <w:szCs w:val="24"/>
        </w:rPr>
        <w:t xml:space="preserve">available definition </w:t>
      </w:r>
      <w:r w:rsidR="001703B9" w:rsidRPr="00C20AD3">
        <w:rPr>
          <w:rFonts w:ascii="Arial" w:hAnsi="Arial" w:cs="Arial"/>
          <w:sz w:val="24"/>
          <w:szCs w:val="24"/>
        </w:rPr>
        <w:t xml:space="preserve">may be </w:t>
      </w:r>
      <w:r w:rsidRPr="00C20AD3">
        <w:rPr>
          <w:rFonts w:ascii="Arial" w:hAnsi="Arial" w:cs="Arial"/>
          <w:sz w:val="24"/>
          <w:szCs w:val="24"/>
        </w:rPr>
        <w:t xml:space="preserve">the most suitable approach.  </w:t>
      </w:r>
    </w:p>
    <w:p w14:paraId="104D2719" w14:textId="77777777" w:rsidR="00C20AD3" w:rsidRPr="00C20AD3" w:rsidRDefault="00C20AD3" w:rsidP="00C20AD3">
      <w:pPr>
        <w:pStyle w:val="ListParagraph"/>
        <w:tabs>
          <w:tab w:val="left" w:pos="142"/>
        </w:tabs>
        <w:spacing w:after="0"/>
        <w:ind w:left="142"/>
        <w:rPr>
          <w:rFonts w:ascii="Arial" w:hAnsi="Arial" w:cs="Arial"/>
          <w:sz w:val="24"/>
          <w:szCs w:val="24"/>
        </w:rPr>
      </w:pPr>
    </w:p>
    <w:p w14:paraId="63A5DE00" w14:textId="77777777" w:rsidR="00C20AD3" w:rsidRDefault="00C05FAE" w:rsidP="00AF7684">
      <w:pPr>
        <w:pStyle w:val="ListParagraph"/>
        <w:numPr>
          <w:ilvl w:val="0"/>
          <w:numId w:val="18"/>
        </w:numPr>
        <w:tabs>
          <w:tab w:val="left" w:pos="142"/>
        </w:tabs>
        <w:spacing w:after="0"/>
        <w:ind w:left="142" w:hanging="426"/>
        <w:rPr>
          <w:rFonts w:ascii="Arial" w:hAnsi="Arial" w:cs="Arial"/>
          <w:sz w:val="24"/>
          <w:szCs w:val="24"/>
        </w:rPr>
      </w:pPr>
      <w:r w:rsidRPr="00C20AD3">
        <w:rPr>
          <w:rFonts w:ascii="Arial" w:hAnsi="Arial" w:cs="Arial"/>
          <w:sz w:val="24"/>
          <w:szCs w:val="24"/>
        </w:rPr>
        <w:t>While in principle a measure of highly skilled employment is one of the principal outcomes on which teaching excellence should be assessed, we acknowledge a number of difficulties inherent in the high</w:t>
      </w:r>
      <w:r w:rsidR="001703B9" w:rsidRPr="00C20AD3">
        <w:rPr>
          <w:rFonts w:ascii="Arial" w:hAnsi="Arial" w:cs="Arial"/>
          <w:sz w:val="24"/>
          <w:szCs w:val="24"/>
        </w:rPr>
        <w:t>ly</w:t>
      </w:r>
      <w:r w:rsidRPr="00C20AD3">
        <w:rPr>
          <w:rFonts w:ascii="Arial" w:hAnsi="Arial" w:cs="Arial"/>
          <w:sz w:val="24"/>
          <w:szCs w:val="24"/>
        </w:rPr>
        <w:t xml:space="preserve"> skilled job metric. At present, occupation can only be measured six months after graduation through the DLHE survey. This may distort results if students with particular characteristics take longer to transition into long-term career occupations than others, and these characteristics are not taken account of in the benchmarks. Furthermore, analysis of the proposed metric suggests that the distribution of </w:t>
      </w:r>
      <w:r w:rsidR="001703B9" w:rsidRPr="00C20AD3">
        <w:rPr>
          <w:rFonts w:ascii="Arial" w:hAnsi="Arial" w:cs="Arial"/>
          <w:sz w:val="24"/>
          <w:szCs w:val="24"/>
        </w:rPr>
        <w:t xml:space="preserve">providers’ </w:t>
      </w:r>
      <w:r w:rsidRPr="00C20AD3">
        <w:rPr>
          <w:rFonts w:ascii="Arial" w:hAnsi="Arial" w:cs="Arial"/>
          <w:sz w:val="24"/>
          <w:szCs w:val="24"/>
        </w:rPr>
        <w:t xml:space="preserve">performance </w:t>
      </w:r>
      <w:r w:rsidR="001703B9" w:rsidRPr="00C20AD3">
        <w:rPr>
          <w:rFonts w:ascii="Arial" w:hAnsi="Arial" w:cs="Arial"/>
          <w:sz w:val="24"/>
          <w:szCs w:val="24"/>
        </w:rPr>
        <w:t xml:space="preserve">based on this measure </w:t>
      </w:r>
      <w:r w:rsidRPr="00C20AD3">
        <w:rPr>
          <w:rFonts w:ascii="Arial" w:hAnsi="Arial" w:cs="Arial"/>
          <w:sz w:val="24"/>
          <w:szCs w:val="24"/>
        </w:rPr>
        <w:t xml:space="preserve">differs from some of the other metrics. This may be a valid reflection of teaching quality or it may be driven by the presence of other factors not accounted for in the benchmarks, such as </w:t>
      </w:r>
      <w:r w:rsidR="001703B9" w:rsidRPr="00C20AD3">
        <w:rPr>
          <w:rFonts w:ascii="Arial" w:hAnsi="Arial" w:cs="Arial"/>
          <w:sz w:val="24"/>
          <w:szCs w:val="24"/>
        </w:rPr>
        <w:t xml:space="preserve">the provider’s </w:t>
      </w:r>
      <w:r w:rsidRPr="00C20AD3">
        <w:rPr>
          <w:rFonts w:ascii="Arial" w:hAnsi="Arial" w:cs="Arial"/>
          <w:sz w:val="24"/>
          <w:szCs w:val="24"/>
        </w:rPr>
        <w:t>reputation and location.</w:t>
      </w:r>
    </w:p>
    <w:p w14:paraId="7AE1A0ED" w14:textId="77777777" w:rsidR="00C20AD3" w:rsidRPr="00C20AD3" w:rsidRDefault="00C20AD3" w:rsidP="00C20AD3">
      <w:pPr>
        <w:pStyle w:val="ListParagraph"/>
        <w:tabs>
          <w:tab w:val="left" w:pos="142"/>
        </w:tabs>
        <w:spacing w:after="0"/>
        <w:ind w:left="142"/>
        <w:rPr>
          <w:rFonts w:ascii="Arial" w:hAnsi="Arial" w:cs="Arial"/>
          <w:sz w:val="24"/>
          <w:szCs w:val="24"/>
        </w:rPr>
      </w:pPr>
    </w:p>
    <w:p w14:paraId="234C57E7" w14:textId="77777777" w:rsidR="00861D77" w:rsidRDefault="00861D77" w:rsidP="00861D77">
      <w:pPr>
        <w:pStyle w:val="ListParagraph"/>
        <w:numPr>
          <w:ilvl w:val="0"/>
          <w:numId w:val="18"/>
        </w:numPr>
        <w:tabs>
          <w:tab w:val="left" w:pos="142"/>
        </w:tabs>
        <w:spacing w:after="0"/>
        <w:ind w:left="142" w:hanging="426"/>
        <w:rPr>
          <w:rFonts w:ascii="Arial" w:hAnsi="Arial" w:cs="Arial"/>
          <w:sz w:val="24"/>
          <w:szCs w:val="24"/>
        </w:rPr>
      </w:pPr>
      <w:r w:rsidRPr="00F937DF">
        <w:rPr>
          <w:rFonts w:ascii="Arial" w:hAnsi="Arial" w:cs="Arial"/>
          <w:sz w:val="24"/>
          <w:szCs w:val="24"/>
        </w:rPr>
        <w:t>We will con</w:t>
      </w:r>
      <w:r>
        <w:rPr>
          <w:rFonts w:ascii="Arial" w:hAnsi="Arial" w:cs="Arial"/>
          <w:sz w:val="24"/>
          <w:szCs w:val="24"/>
        </w:rPr>
        <w:t xml:space="preserve">tinue to explore these issues </w:t>
      </w:r>
      <w:r w:rsidRPr="00F937DF">
        <w:rPr>
          <w:rFonts w:ascii="Arial" w:hAnsi="Arial" w:cs="Arial"/>
          <w:sz w:val="24"/>
          <w:szCs w:val="24"/>
        </w:rPr>
        <w:t>du</w:t>
      </w:r>
      <w:r>
        <w:rPr>
          <w:rFonts w:ascii="Arial" w:hAnsi="Arial" w:cs="Arial"/>
          <w:sz w:val="24"/>
          <w:szCs w:val="24"/>
        </w:rPr>
        <w:t>r</w:t>
      </w:r>
      <w:r w:rsidRPr="00F937DF">
        <w:rPr>
          <w:rFonts w:ascii="Arial" w:hAnsi="Arial" w:cs="Arial"/>
          <w:sz w:val="24"/>
          <w:szCs w:val="24"/>
        </w:rPr>
        <w:t xml:space="preserve">ing </w:t>
      </w:r>
      <w:r>
        <w:rPr>
          <w:rFonts w:ascii="Arial" w:hAnsi="Arial" w:cs="Arial"/>
          <w:sz w:val="24"/>
          <w:szCs w:val="24"/>
        </w:rPr>
        <w:t xml:space="preserve">the consultation period, reflecting on the responses to this consultation, in order </w:t>
      </w:r>
      <w:r w:rsidRPr="00F937DF">
        <w:rPr>
          <w:rFonts w:ascii="Arial" w:hAnsi="Arial" w:cs="Arial"/>
          <w:sz w:val="24"/>
          <w:szCs w:val="24"/>
        </w:rPr>
        <w:t>to inform a final decision on whether or not a highly skilled employment measure should be included as one of the TEF metrics for Year Two.</w:t>
      </w:r>
    </w:p>
    <w:p w14:paraId="3CE7A2CD" w14:textId="77777777" w:rsidR="00C20AD3" w:rsidRPr="00861D77" w:rsidRDefault="00C20AD3" w:rsidP="00861D77">
      <w:pPr>
        <w:tabs>
          <w:tab w:val="left" w:pos="142"/>
        </w:tabs>
        <w:spacing w:after="0"/>
        <w:rPr>
          <w:rFonts w:cs="Arial"/>
        </w:rPr>
      </w:pPr>
    </w:p>
    <w:p w14:paraId="328DC0F6" w14:textId="552B5315" w:rsidR="002D4660" w:rsidRPr="00C94052" w:rsidRDefault="00AE23AC" w:rsidP="00C94052">
      <w:pPr>
        <w:pStyle w:val="ListParagraph"/>
        <w:numPr>
          <w:ilvl w:val="0"/>
          <w:numId w:val="18"/>
        </w:numPr>
        <w:ind w:left="142" w:hanging="426"/>
        <w:rPr>
          <w:rFonts w:ascii="Arial" w:hAnsi="Arial" w:cs="Arial"/>
          <w:sz w:val="24"/>
          <w:szCs w:val="24"/>
        </w:rPr>
      </w:pPr>
      <w:r w:rsidRPr="00AE23AC">
        <w:rPr>
          <w:rFonts w:ascii="Arial" w:hAnsi="Arial" w:cs="Arial"/>
          <w:sz w:val="24"/>
          <w:szCs w:val="24"/>
        </w:rPr>
        <w:t xml:space="preserve">At the same time, we are exploring options for developing a better measure of higher skilled employment for use in TEF Year Three and future years. This is likely to take into </w:t>
      </w:r>
      <w:r w:rsidRPr="00AE23AC">
        <w:rPr>
          <w:rFonts w:ascii="Arial" w:hAnsi="Arial" w:cs="Arial"/>
          <w:sz w:val="24"/>
          <w:szCs w:val="24"/>
        </w:rPr>
        <w:lastRenderedPageBreak/>
        <w:t>account any outcomes from the 2016 ONS review of the SOC as well as the development of the Longitudinal Education Outcomes dataset</w:t>
      </w:r>
      <w:r>
        <w:rPr>
          <w:rFonts w:ascii="Arial" w:hAnsi="Arial" w:cs="Arial"/>
          <w:sz w:val="24"/>
          <w:szCs w:val="24"/>
        </w:rPr>
        <w:t>,</w:t>
      </w:r>
      <w:r w:rsidRPr="00AE23AC">
        <w:rPr>
          <w:rFonts w:ascii="Arial" w:hAnsi="Arial" w:cs="Arial"/>
          <w:sz w:val="24"/>
          <w:szCs w:val="24"/>
        </w:rPr>
        <w:t xml:space="preserve"> which will provide us with a greater understanding of student’s employment outcomes.  </w:t>
      </w:r>
    </w:p>
    <w:p w14:paraId="0F9A482A" w14:textId="0790E8BA" w:rsidR="00666095" w:rsidRPr="00E26CC1" w:rsidRDefault="0031533F" w:rsidP="00706B72">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rPr>
          <w:rFonts w:ascii="Arial" w:hAnsi="Arial" w:cs="Arial"/>
          <w:b/>
        </w:rPr>
      </w:pPr>
      <w:r w:rsidRPr="00E26CC1">
        <w:rPr>
          <w:rFonts w:ascii="Arial" w:hAnsi="Arial" w:cs="Arial"/>
          <w:b/>
        </w:rPr>
        <w:t>Q</w:t>
      </w:r>
      <w:r w:rsidR="00666095" w:rsidRPr="00E26CC1">
        <w:rPr>
          <w:rFonts w:ascii="Arial" w:hAnsi="Arial" w:cs="Arial"/>
          <w:b/>
        </w:rPr>
        <w:t>2:</w:t>
      </w:r>
      <w:r w:rsidRPr="00E26CC1">
        <w:rPr>
          <w:rFonts w:ascii="Arial" w:hAnsi="Arial" w:cs="Arial"/>
          <w:b/>
        </w:rPr>
        <w:t xml:space="preserve"> </w:t>
      </w:r>
    </w:p>
    <w:p w14:paraId="44FA6AD4" w14:textId="72D5551B" w:rsidR="00F937DF" w:rsidRPr="00E26CC1" w:rsidRDefault="00F937DF" w:rsidP="00706B72">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rPr>
          <w:rFonts w:ascii="Arial" w:hAnsi="Arial" w:cs="Arial"/>
          <w:b/>
        </w:rPr>
      </w:pPr>
      <w:r w:rsidRPr="00E26CC1">
        <w:rPr>
          <w:rFonts w:ascii="Arial" w:hAnsi="Arial" w:cs="Arial"/>
          <w:b/>
        </w:rPr>
        <w:t xml:space="preserve">A) How should we include a highly skilled employment metric as part of the TEF? </w:t>
      </w:r>
    </w:p>
    <w:p w14:paraId="7512372F" w14:textId="77777777" w:rsidR="00706B72" w:rsidRPr="00E26CC1" w:rsidRDefault="00706B72" w:rsidP="00706B72">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rPr>
          <w:rFonts w:ascii="Arial" w:hAnsi="Arial" w:cs="Arial"/>
          <w:b/>
        </w:rPr>
      </w:pPr>
    </w:p>
    <w:p w14:paraId="209BAB06" w14:textId="52806F0E" w:rsidR="00666095" w:rsidRPr="00E26CC1" w:rsidRDefault="00F937DF" w:rsidP="00F937DF">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rPr>
          <w:rFonts w:ascii="Arial" w:hAnsi="Arial" w:cs="Arial"/>
          <w:b/>
        </w:rPr>
      </w:pPr>
      <w:r w:rsidRPr="00E26CC1">
        <w:rPr>
          <w:rFonts w:ascii="Arial" w:hAnsi="Arial" w:cs="Arial"/>
          <w:b/>
        </w:rPr>
        <w:t>B) If included as a core metric, should we adopt employment in Standard Occupational Classification (SOC) groups 1-3 as a measure of graduates entering highly skilled jobs?</w:t>
      </w:r>
    </w:p>
    <w:p w14:paraId="364ACF10" w14:textId="77777777" w:rsidR="00F937DF" w:rsidRPr="00E26CC1" w:rsidRDefault="00F937DF" w:rsidP="00F937DF">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rPr>
          <w:rFonts w:ascii="Arial" w:hAnsi="Arial" w:cs="Arial"/>
          <w:b/>
        </w:rPr>
      </w:pPr>
    </w:p>
    <w:p w14:paraId="0EFCDAFA" w14:textId="77777777" w:rsidR="00666095" w:rsidRPr="00E26CC1" w:rsidRDefault="00666095" w:rsidP="0031533F">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rPr>
          <w:rFonts w:ascii="Arial" w:hAnsi="Arial" w:cs="Arial"/>
          <w:b/>
        </w:rPr>
      </w:pPr>
      <w:r w:rsidRPr="00E26CC1">
        <w:rPr>
          <w:rFonts w:ascii="Arial" w:hAnsi="Arial" w:cs="Arial"/>
          <w:b/>
        </w:rPr>
        <w:t xml:space="preserve">C) Do you agree with our proposal to include all graduates in the calculation of the employment/destination metrics? </w:t>
      </w:r>
    </w:p>
    <w:p w14:paraId="15695B7A" w14:textId="77777777" w:rsidR="00666095" w:rsidRPr="00E26CC1" w:rsidRDefault="00666095" w:rsidP="0031533F">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rPr>
          <w:rFonts w:ascii="Arial" w:hAnsi="Arial" w:cs="Arial"/>
          <w:b/>
        </w:rPr>
      </w:pPr>
    </w:p>
    <w:p w14:paraId="05E702B5" w14:textId="77777777" w:rsidR="0031533F" w:rsidRPr="00E26CC1" w:rsidRDefault="00384E03" w:rsidP="0031533F">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rPr>
          <w:rFonts w:ascii="Arial" w:hAnsi="Arial" w:cs="Arial"/>
          <w:b/>
        </w:rPr>
      </w:pPr>
      <w:r w:rsidRPr="00E26CC1">
        <w:rPr>
          <w:rFonts w:ascii="Arial" w:hAnsi="Arial" w:cs="Arial"/>
          <w:b/>
        </w:rPr>
        <w:t>P</w:t>
      </w:r>
      <w:r w:rsidR="0031533F" w:rsidRPr="00E26CC1">
        <w:rPr>
          <w:rFonts w:ascii="Arial" w:hAnsi="Arial" w:cs="Arial"/>
          <w:b/>
        </w:rPr>
        <w:t xml:space="preserve">lease outline your reasons and suggest </w:t>
      </w:r>
      <w:r w:rsidRPr="00E26CC1">
        <w:rPr>
          <w:rFonts w:ascii="Arial" w:hAnsi="Arial" w:cs="Arial"/>
          <w:b/>
        </w:rPr>
        <w:t xml:space="preserve">any </w:t>
      </w:r>
      <w:r w:rsidR="0031533F" w:rsidRPr="00E26CC1">
        <w:rPr>
          <w:rFonts w:ascii="Arial" w:hAnsi="Arial" w:cs="Arial"/>
          <w:b/>
        </w:rPr>
        <w:t xml:space="preserve">alternatives. </w:t>
      </w:r>
    </w:p>
    <w:p w14:paraId="0A5F93C1" w14:textId="77777777" w:rsidR="0031533F" w:rsidRPr="00220699" w:rsidRDefault="0031533F" w:rsidP="0031533F">
      <w:pPr>
        <w:spacing w:after="0"/>
        <w:rPr>
          <w:lang w:eastAsia="en-GB"/>
        </w:rPr>
      </w:pPr>
    </w:p>
    <w:p w14:paraId="0FB3F6DB" w14:textId="77777777" w:rsidR="0031533F" w:rsidRDefault="0031533F" w:rsidP="00FD0E93">
      <w:pPr>
        <w:pStyle w:val="Heading3"/>
        <w:spacing w:after="0"/>
        <w:ind w:hanging="284"/>
      </w:pPr>
      <w:bookmarkStart w:id="45" w:name="_Toc450147988"/>
      <w:bookmarkStart w:id="46" w:name="_Toc450886558"/>
      <w:r w:rsidRPr="009640E5">
        <w:t>Benchmarking</w:t>
      </w:r>
      <w:bookmarkEnd w:id="45"/>
      <w:bookmarkEnd w:id="46"/>
    </w:p>
    <w:p w14:paraId="0611FBB1" w14:textId="5C60C4E4" w:rsidR="0031533F" w:rsidRPr="00C20AD3" w:rsidRDefault="0031533F" w:rsidP="00AF7684">
      <w:pPr>
        <w:pStyle w:val="ListParagraph"/>
        <w:numPr>
          <w:ilvl w:val="0"/>
          <w:numId w:val="18"/>
        </w:numPr>
        <w:tabs>
          <w:tab w:val="left" w:pos="142"/>
        </w:tabs>
        <w:spacing w:after="0"/>
        <w:ind w:left="142" w:hanging="426"/>
        <w:rPr>
          <w:rFonts w:ascii="Arial" w:hAnsi="Arial" w:cs="Arial"/>
          <w:sz w:val="24"/>
          <w:szCs w:val="24"/>
        </w:rPr>
      </w:pPr>
      <w:r w:rsidRPr="00C20AD3">
        <w:rPr>
          <w:rFonts w:ascii="Arial" w:hAnsi="Arial" w:cs="Arial"/>
          <w:sz w:val="24"/>
          <w:szCs w:val="24"/>
        </w:rPr>
        <w:t xml:space="preserve">The quality of teaching is not the only factor that affects </w:t>
      </w:r>
      <w:r w:rsidR="00847007" w:rsidRPr="00C20AD3">
        <w:rPr>
          <w:rFonts w:ascii="Arial" w:hAnsi="Arial" w:cs="Arial"/>
          <w:sz w:val="24"/>
          <w:szCs w:val="24"/>
        </w:rPr>
        <w:t>how satisfied students are and</w:t>
      </w:r>
      <w:r w:rsidRPr="00C20AD3">
        <w:rPr>
          <w:rFonts w:ascii="Arial" w:hAnsi="Arial" w:cs="Arial"/>
          <w:sz w:val="24"/>
          <w:szCs w:val="24"/>
        </w:rPr>
        <w:t xml:space="preserve"> rates of non-continuation, </w:t>
      </w:r>
      <w:r w:rsidR="00847007" w:rsidRPr="00C20AD3">
        <w:rPr>
          <w:rFonts w:ascii="Arial" w:hAnsi="Arial" w:cs="Arial"/>
          <w:sz w:val="24"/>
          <w:szCs w:val="24"/>
        </w:rPr>
        <w:t xml:space="preserve">and </w:t>
      </w:r>
      <w:r w:rsidRPr="00C20AD3">
        <w:rPr>
          <w:rFonts w:ascii="Arial" w:hAnsi="Arial" w:cs="Arial"/>
          <w:sz w:val="24"/>
          <w:szCs w:val="24"/>
        </w:rPr>
        <w:t>employment</w:t>
      </w:r>
      <w:r w:rsidR="00847007" w:rsidRPr="00C20AD3">
        <w:rPr>
          <w:rFonts w:ascii="Arial" w:hAnsi="Arial" w:cs="Arial"/>
          <w:sz w:val="24"/>
          <w:szCs w:val="24"/>
        </w:rPr>
        <w:t>/destination</w:t>
      </w:r>
      <w:r w:rsidRPr="00C20AD3">
        <w:rPr>
          <w:rFonts w:ascii="Arial" w:hAnsi="Arial" w:cs="Arial"/>
          <w:sz w:val="24"/>
          <w:szCs w:val="24"/>
        </w:rPr>
        <w:t xml:space="preserve">. We need to take account of other factors that have an </w:t>
      </w:r>
      <w:r w:rsidR="00847007" w:rsidRPr="00C20AD3">
        <w:rPr>
          <w:rFonts w:ascii="Arial" w:hAnsi="Arial" w:cs="Arial"/>
          <w:sz w:val="24"/>
          <w:szCs w:val="24"/>
        </w:rPr>
        <w:t>e</w:t>
      </w:r>
      <w:r w:rsidRPr="00C20AD3">
        <w:rPr>
          <w:rFonts w:ascii="Arial" w:hAnsi="Arial" w:cs="Arial"/>
          <w:sz w:val="24"/>
          <w:szCs w:val="24"/>
        </w:rPr>
        <w:t xml:space="preserve">ffect but </w:t>
      </w:r>
      <w:r w:rsidR="00847007" w:rsidRPr="00C20AD3">
        <w:rPr>
          <w:rFonts w:ascii="Arial" w:hAnsi="Arial" w:cs="Arial"/>
          <w:sz w:val="24"/>
          <w:szCs w:val="24"/>
        </w:rPr>
        <w:t xml:space="preserve">which </w:t>
      </w:r>
      <w:r w:rsidRPr="00C20AD3">
        <w:rPr>
          <w:rFonts w:ascii="Arial" w:hAnsi="Arial" w:cs="Arial"/>
          <w:sz w:val="24"/>
          <w:szCs w:val="24"/>
        </w:rPr>
        <w:t xml:space="preserve">are not </w:t>
      </w:r>
      <w:r w:rsidR="00847007" w:rsidRPr="00C20AD3">
        <w:rPr>
          <w:rFonts w:ascii="Arial" w:hAnsi="Arial" w:cs="Arial"/>
          <w:sz w:val="24"/>
          <w:szCs w:val="24"/>
        </w:rPr>
        <w:t>under the control of a</w:t>
      </w:r>
      <w:r w:rsidRPr="00C20AD3">
        <w:rPr>
          <w:rFonts w:ascii="Arial" w:hAnsi="Arial" w:cs="Arial"/>
          <w:sz w:val="24"/>
          <w:szCs w:val="24"/>
        </w:rPr>
        <w:t xml:space="preserve"> provider, specifically students’ characteristics and the subjects they study. We believe this is best accomplished through </w:t>
      </w:r>
      <w:r w:rsidR="00847007" w:rsidRPr="00C20AD3">
        <w:rPr>
          <w:rFonts w:ascii="Arial" w:hAnsi="Arial" w:cs="Arial"/>
          <w:sz w:val="24"/>
          <w:szCs w:val="24"/>
        </w:rPr>
        <w:t>the use of</w:t>
      </w:r>
      <w:r w:rsidRPr="00C20AD3">
        <w:rPr>
          <w:rFonts w:ascii="Arial" w:hAnsi="Arial" w:cs="Arial"/>
          <w:sz w:val="24"/>
          <w:szCs w:val="24"/>
        </w:rPr>
        <w:t xml:space="preserve"> benchmarks. Benchmarks take the sector average for a particular indicator and adjust it for each </w:t>
      </w:r>
      <w:r w:rsidR="00847007" w:rsidRPr="00C20AD3">
        <w:rPr>
          <w:rFonts w:ascii="Arial" w:hAnsi="Arial" w:cs="Arial"/>
          <w:sz w:val="24"/>
          <w:szCs w:val="24"/>
        </w:rPr>
        <w:t xml:space="preserve">provider </w:t>
      </w:r>
      <w:r w:rsidRPr="00C20AD3">
        <w:rPr>
          <w:rFonts w:ascii="Arial" w:hAnsi="Arial" w:cs="Arial"/>
          <w:sz w:val="24"/>
          <w:szCs w:val="24"/>
        </w:rPr>
        <w:t xml:space="preserve">to account for the differing proportions of students with certain characteristics (including subject studied) at each </w:t>
      </w:r>
      <w:r w:rsidR="00847007" w:rsidRPr="00C20AD3">
        <w:rPr>
          <w:rFonts w:ascii="Arial" w:hAnsi="Arial" w:cs="Arial"/>
          <w:sz w:val="24"/>
          <w:szCs w:val="24"/>
        </w:rPr>
        <w:t>provider</w:t>
      </w:r>
      <w:r w:rsidR="004007DA">
        <w:rPr>
          <w:rFonts w:ascii="Arial" w:hAnsi="Arial" w:cs="Arial"/>
          <w:sz w:val="24"/>
          <w:szCs w:val="24"/>
        </w:rPr>
        <w:t>.</w:t>
      </w:r>
      <w:r w:rsidRPr="003021C8">
        <w:rPr>
          <w:rStyle w:val="FootnoteReference"/>
          <w:rFonts w:cs="Arial"/>
        </w:rPr>
        <w:footnoteReference w:id="22"/>
      </w:r>
    </w:p>
    <w:p w14:paraId="7AF15764" w14:textId="1F99ECCF" w:rsidR="0031533F" w:rsidRPr="00706B72" w:rsidRDefault="0031533F" w:rsidP="00C20AD3">
      <w:pPr>
        <w:pStyle w:val="ListParagraph"/>
        <w:tabs>
          <w:tab w:val="left" w:pos="142"/>
        </w:tabs>
        <w:spacing w:after="0"/>
        <w:ind w:left="142"/>
        <w:rPr>
          <w:rFonts w:ascii="Arial" w:hAnsi="Arial" w:cs="Arial"/>
          <w:sz w:val="16"/>
          <w:szCs w:val="16"/>
        </w:rPr>
      </w:pPr>
    </w:p>
    <w:p w14:paraId="6C431840" w14:textId="77777777" w:rsidR="00C20AD3" w:rsidRDefault="0031533F" w:rsidP="00AF7684">
      <w:pPr>
        <w:pStyle w:val="ListParagraph"/>
        <w:numPr>
          <w:ilvl w:val="0"/>
          <w:numId w:val="18"/>
        </w:numPr>
        <w:tabs>
          <w:tab w:val="left" w:pos="142"/>
        </w:tabs>
        <w:spacing w:after="0"/>
        <w:ind w:left="142" w:hanging="426"/>
        <w:rPr>
          <w:rFonts w:ascii="Arial" w:hAnsi="Arial" w:cs="Arial"/>
          <w:sz w:val="24"/>
          <w:szCs w:val="24"/>
        </w:rPr>
      </w:pPr>
      <w:r w:rsidRPr="00C20AD3">
        <w:rPr>
          <w:rFonts w:ascii="Arial" w:hAnsi="Arial" w:cs="Arial"/>
          <w:sz w:val="24"/>
          <w:szCs w:val="24"/>
        </w:rPr>
        <w:t>The method of benchmarking in the UK PIs is well</w:t>
      </w:r>
      <w:r w:rsidR="00847007" w:rsidRPr="00C20AD3">
        <w:rPr>
          <w:rFonts w:ascii="Arial" w:hAnsi="Arial" w:cs="Arial"/>
          <w:sz w:val="24"/>
          <w:szCs w:val="24"/>
        </w:rPr>
        <w:t>-</w:t>
      </w:r>
      <w:r w:rsidRPr="00C20AD3">
        <w:rPr>
          <w:rFonts w:ascii="Arial" w:hAnsi="Arial" w:cs="Arial"/>
          <w:sz w:val="24"/>
          <w:szCs w:val="24"/>
        </w:rPr>
        <w:t xml:space="preserve">established, having identified the key factors that affect performance and developed a methodology for taking them into account. </w:t>
      </w:r>
    </w:p>
    <w:p w14:paraId="3C797A07" w14:textId="77777777" w:rsidR="00C20AD3" w:rsidRPr="00706B72" w:rsidRDefault="00C20AD3" w:rsidP="00BF2866">
      <w:pPr>
        <w:pStyle w:val="ListParagraph"/>
        <w:tabs>
          <w:tab w:val="left" w:pos="142"/>
        </w:tabs>
        <w:spacing w:after="0"/>
        <w:ind w:left="142" w:hanging="426"/>
        <w:rPr>
          <w:rFonts w:ascii="Arial" w:hAnsi="Arial" w:cs="Arial"/>
          <w:sz w:val="16"/>
          <w:szCs w:val="16"/>
        </w:rPr>
      </w:pPr>
    </w:p>
    <w:p w14:paraId="54B02D29" w14:textId="3B74EB87" w:rsidR="00C94052" w:rsidRPr="00C94052" w:rsidRDefault="0031533F" w:rsidP="00C94052">
      <w:pPr>
        <w:pStyle w:val="ListParagraph"/>
        <w:numPr>
          <w:ilvl w:val="0"/>
          <w:numId w:val="18"/>
        </w:numPr>
        <w:tabs>
          <w:tab w:val="left" w:pos="142"/>
        </w:tabs>
        <w:spacing w:after="0"/>
        <w:ind w:left="142" w:hanging="426"/>
        <w:rPr>
          <w:rFonts w:ascii="Arial" w:hAnsi="Arial" w:cs="Arial"/>
          <w:sz w:val="24"/>
          <w:szCs w:val="24"/>
        </w:rPr>
      </w:pPr>
      <w:r w:rsidRPr="00C20AD3">
        <w:rPr>
          <w:rFonts w:ascii="Arial" w:hAnsi="Arial" w:cs="Arial"/>
          <w:b/>
          <w:sz w:val="24"/>
          <w:szCs w:val="24"/>
        </w:rPr>
        <w:t xml:space="preserve">Figure </w:t>
      </w:r>
      <w:r w:rsidR="00B53A16" w:rsidRPr="00C20AD3">
        <w:rPr>
          <w:rFonts w:ascii="Arial" w:hAnsi="Arial" w:cs="Arial"/>
          <w:b/>
          <w:sz w:val="24"/>
          <w:szCs w:val="24"/>
        </w:rPr>
        <w:t>5</w:t>
      </w:r>
      <w:r w:rsidRPr="00C20AD3">
        <w:rPr>
          <w:rFonts w:ascii="Arial" w:hAnsi="Arial" w:cs="Arial"/>
          <w:sz w:val="24"/>
          <w:szCs w:val="24"/>
        </w:rPr>
        <w:t xml:space="preserve"> summarises </w:t>
      </w:r>
      <w:r w:rsidR="00CD6633" w:rsidRPr="00C20AD3">
        <w:rPr>
          <w:rFonts w:ascii="Arial" w:hAnsi="Arial" w:cs="Arial"/>
          <w:sz w:val="24"/>
          <w:szCs w:val="24"/>
        </w:rPr>
        <w:t xml:space="preserve">the </w:t>
      </w:r>
      <w:r w:rsidRPr="00C20AD3">
        <w:rPr>
          <w:rFonts w:ascii="Arial" w:hAnsi="Arial" w:cs="Arial"/>
          <w:sz w:val="24"/>
          <w:szCs w:val="24"/>
        </w:rPr>
        <w:t xml:space="preserve">factors we </w:t>
      </w:r>
      <w:r w:rsidR="00BF2866" w:rsidRPr="00C20AD3">
        <w:rPr>
          <w:rFonts w:ascii="Arial" w:hAnsi="Arial" w:cs="Arial"/>
          <w:sz w:val="24"/>
          <w:szCs w:val="24"/>
        </w:rPr>
        <w:t>propose to</w:t>
      </w:r>
      <w:r w:rsidRPr="00C20AD3">
        <w:rPr>
          <w:rFonts w:ascii="Arial" w:hAnsi="Arial" w:cs="Arial"/>
          <w:sz w:val="24"/>
          <w:szCs w:val="24"/>
        </w:rPr>
        <w:t xml:space="preserve"> use in benchmarking the TEF metrics.</w:t>
      </w:r>
      <w:r w:rsidR="00BF2866">
        <w:rPr>
          <w:rFonts w:ascii="Arial" w:hAnsi="Arial" w:cs="Arial"/>
          <w:sz w:val="24"/>
          <w:szCs w:val="24"/>
        </w:rPr>
        <w:t xml:space="preserve"> </w:t>
      </w:r>
      <w:r w:rsidR="00BF2866" w:rsidRPr="00BF2866">
        <w:rPr>
          <w:rFonts w:ascii="Arial" w:hAnsi="Arial" w:cs="Arial"/>
          <w:sz w:val="24"/>
          <w:szCs w:val="24"/>
        </w:rPr>
        <w:t>The factors are the same as those used in the UKPI benchmarks</w:t>
      </w:r>
      <w:r w:rsidRPr="00C20AD3">
        <w:rPr>
          <w:rFonts w:ascii="Arial" w:hAnsi="Arial" w:cs="Arial"/>
          <w:sz w:val="24"/>
          <w:szCs w:val="24"/>
        </w:rPr>
        <w:t>; a factor has been excluded if it is considered that the</w:t>
      </w:r>
      <w:r w:rsidR="00CD6633" w:rsidRPr="00C20AD3">
        <w:rPr>
          <w:rFonts w:ascii="Arial" w:hAnsi="Arial" w:cs="Arial"/>
          <w:sz w:val="24"/>
          <w:szCs w:val="24"/>
        </w:rPr>
        <w:t xml:space="preserve"> provider</w:t>
      </w:r>
      <w:r w:rsidRPr="00C20AD3">
        <w:rPr>
          <w:rFonts w:ascii="Arial" w:hAnsi="Arial" w:cs="Arial"/>
          <w:sz w:val="24"/>
          <w:szCs w:val="24"/>
        </w:rPr>
        <w:t xml:space="preserve"> should be taking action to overcome the differentiation (for example, POLAR quintiles</w:t>
      </w:r>
      <w:r w:rsidR="00CD6633" w:rsidRPr="004007DA">
        <w:rPr>
          <w:rStyle w:val="FootnoteReference"/>
          <w:rFonts w:cs="Arial"/>
        </w:rPr>
        <w:footnoteReference w:id="23"/>
      </w:r>
      <w:r w:rsidRPr="004007DA">
        <w:rPr>
          <w:rStyle w:val="FootnoteReference"/>
        </w:rPr>
        <w:t xml:space="preserve"> </w:t>
      </w:r>
      <w:r w:rsidRPr="00C20AD3">
        <w:rPr>
          <w:rFonts w:ascii="Arial" w:hAnsi="Arial" w:cs="Arial"/>
          <w:sz w:val="24"/>
          <w:szCs w:val="24"/>
        </w:rPr>
        <w:t xml:space="preserve">are not taken into account). HESA </w:t>
      </w:r>
      <w:r w:rsidR="00CD6633" w:rsidRPr="00C20AD3">
        <w:rPr>
          <w:rFonts w:ascii="Arial" w:hAnsi="Arial" w:cs="Arial"/>
          <w:sz w:val="24"/>
          <w:szCs w:val="24"/>
        </w:rPr>
        <w:t xml:space="preserve">is </w:t>
      </w:r>
      <w:r w:rsidRPr="00C20AD3">
        <w:rPr>
          <w:rFonts w:ascii="Arial" w:hAnsi="Arial" w:cs="Arial"/>
          <w:sz w:val="24"/>
          <w:szCs w:val="24"/>
        </w:rPr>
        <w:t>currently chairing a review</w:t>
      </w:r>
      <w:r w:rsidRPr="004007DA">
        <w:rPr>
          <w:rStyle w:val="FootnoteReference"/>
          <w:rFonts w:cs="Arial"/>
        </w:rPr>
        <w:footnoteReference w:id="24"/>
      </w:r>
      <w:r w:rsidRPr="00C20AD3">
        <w:rPr>
          <w:rFonts w:ascii="Arial" w:hAnsi="Arial" w:cs="Arial"/>
          <w:sz w:val="24"/>
          <w:szCs w:val="24"/>
        </w:rPr>
        <w:t xml:space="preserve"> of these benchmarks.</w:t>
      </w:r>
    </w:p>
    <w:p w14:paraId="5E6C0110" w14:textId="77777777" w:rsidR="00C20AD3" w:rsidRPr="00706B72" w:rsidRDefault="00C20AD3" w:rsidP="00C20AD3">
      <w:pPr>
        <w:pStyle w:val="ListParagraph"/>
        <w:tabs>
          <w:tab w:val="left" w:pos="142"/>
        </w:tabs>
        <w:spacing w:after="0"/>
        <w:ind w:left="142"/>
        <w:rPr>
          <w:rFonts w:ascii="Arial" w:hAnsi="Arial" w:cs="Arial"/>
          <w:sz w:val="16"/>
          <w:szCs w:val="16"/>
        </w:rPr>
      </w:pPr>
    </w:p>
    <w:p w14:paraId="1FFA1759" w14:textId="73A6BB4A" w:rsidR="0031533F" w:rsidRPr="00C20AD3" w:rsidRDefault="0031533F" w:rsidP="00AF7684">
      <w:pPr>
        <w:pStyle w:val="ListParagraph"/>
        <w:numPr>
          <w:ilvl w:val="0"/>
          <w:numId w:val="18"/>
        </w:numPr>
        <w:tabs>
          <w:tab w:val="left" w:pos="142"/>
        </w:tabs>
        <w:spacing w:after="0"/>
        <w:ind w:left="142" w:hanging="426"/>
        <w:rPr>
          <w:rFonts w:ascii="Arial" w:hAnsi="Arial" w:cs="Arial"/>
          <w:sz w:val="24"/>
          <w:szCs w:val="24"/>
        </w:rPr>
      </w:pPr>
      <w:r w:rsidRPr="00C20AD3">
        <w:rPr>
          <w:rFonts w:ascii="Arial" w:hAnsi="Arial" w:cs="Arial"/>
          <w:b/>
          <w:sz w:val="24"/>
          <w:szCs w:val="24"/>
        </w:rPr>
        <w:t xml:space="preserve">Figure </w:t>
      </w:r>
      <w:r w:rsidR="00B53A16" w:rsidRPr="00C20AD3">
        <w:rPr>
          <w:rFonts w:ascii="Arial" w:hAnsi="Arial" w:cs="Arial"/>
          <w:b/>
          <w:sz w:val="24"/>
          <w:szCs w:val="24"/>
        </w:rPr>
        <w:t>5</w:t>
      </w:r>
      <w:r w:rsidRPr="00C20AD3">
        <w:rPr>
          <w:rFonts w:ascii="Arial" w:hAnsi="Arial" w:cs="Arial"/>
          <w:b/>
          <w:sz w:val="24"/>
          <w:szCs w:val="24"/>
        </w:rPr>
        <w:t>: Factors that will be used in benchmarking</w:t>
      </w:r>
      <w:r w:rsidR="00CD6633" w:rsidRPr="00C20AD3">
        <w:rPr>
          <w:rFonts w:ascii="Arial" w:hAnsi="Arial" w:cs="Arial"/>
          <w:b/>
          <w:sz w:val="24"/>
          <w:szCs w:val="24"/>
        </w:rPr>
        <w:t xml:space="preserve"> TEF metric</w:t>
      </w:r>
    </w:p>
    <w:tbl>
      <w:tblPr>
        <w:tblStyle w:val="Table-lightbluegrid"/>
        <w:tblW w:w="8046" w:type="dxa"/>
        <w:tblLayout w:type="fixed"/>
        <w:tblLook w:val="04A0" w:firstRow="1" w:lastRow="0" w:firstColumn="1" w:lastColumn="0" w:noHBand="0" w:noVBand="1"/>
      </w:tblPr>
      <w:tblGrid>
        <w:gridCol w:w="2694"/>
        <w:gridCol w:w="1667"/>
        <w:gridCol w:w="1701"/>
        <w:gridCol w:w="1984"/>
      </w:tblGrid>
      <w:tr w:rsidR="0031533F" w:rsidRPr="00275190" w14:paraId="5BE33475" w14:textId="77777777" w:rsidTr="00B873AB">
        <w:trPr>
          <w:cnfStyle w:val="100000000000" w:firstRow="1" w:lastRow="0" w:firstColumn="0" w:lastColumn="0" w:oddVBand="0" w:evenVBand="0" w:oddHBand="0" w:evenHBand="0" w:firstRowFirstColumn="0" w:firstRowLastColumn="0" w:lastRowFirstColumn="0" w:lastRowLastColumn="0"/>
        </w:trPr>
        <w:tc>
          <w:tcPr>
            <w:tcW w:w="2694" w:type="dxa"/>
            <w:hideMark/>
          </w:tcPr>
          <w:p w14:paraId="585E7E95" w14:textId="77777777" w:rsidR="0031533F" w:rsidRPr="00275190" w:rsidRDefault="0031533F" w:rsidP="0031533F">
            <w:pPr>
              <w:pStyle w:val="NormalWeb"/>
              <w:rPr>
                <w:rFonts w:ascii="Arial" w:hAnsi="Arial" w:cs="Arial"/>
                <w:sz w:val="22"/>
                <w:szCs w:val="22"/>
              </w:rPr>
            </w:pPr>
            <w:r w:rsidRPr="00275190">
              <w:rPr>
                <w:rFonts w:ascii="Arial" w:hAnsi="Arial" w:cs="Arial"/>
                <w:b/>
                <w:bCs/>
                <w:sz w:val="22"/>
                <w:szCs w:val="22"/>
              </w:rPr>
              <w:t>Factor</w:t>
            </w:r>
          </w:p>
        </w:tc>
        <w:tc>
          <w:tcPr>
            <w:tcW w:w="1667" w:type="dxa"/>
          </w:tcPr>
          <w:p w14:paraId="3C2AFE62" w14:textId="77777777" w:rsidR="0031533F" w:rsidRPr="00275190" w:rsidRDefault="0031533F" w:rsidP="0031533F">
            <w:pPr>
              <w:pStyle w:val="NormalWeb"/>
              <w:spacing w:before="0" w:beforeAutospacing="0" w:after="0" w:afterAutospacing="0"/>
              <w:rPr>
                <w:rFonts w:ascii="Arial" w:hAnsi="Arial" w:cs="Arial"/>
                <w:b/>
                <w:bCs/>
                <w:sz w:val="22"/>
                <w:szCs w:val="22"/>
              </w:rPr>
            </w:pPr>
            <w:r w:rsidRPr="00275190">
              <w:rPr>
                <w:rFonts w:ascii="Arial" w:hAnsi="Arial" w:cs="Arial"/>
                <w:b/>
                <w:bCs/>
                <w:sz w:val="22"/>
                <w:szCs w:val="22"/>
              </w:rPr>
              <w:t>Student satisfaction</w:t>
            </w:r>
          </w:p>
        </w:tc>
        <w:tc>
          <w:tcPr>
            <w:tcW w:w="1701" w:type="dxa"/>
            <w:hideMark/>
          </w:tcPr>
          <w:p w14:paraId="586DD0CA" w14:textId="77777777" w:rsidR="0031533F" w:rsidRPr="00275190" w:rsidRDefault="0031533F" w:rsidP="0031533F">
            <w:pPr>
              <w:pStyle w:val="NormalWeb"/>
              <w:spacing w:before="0" w:beforeAutospacing="0" w:after="0" w:afterAutospacing="0"/>
              <w:rPr>
                <w:rFonts w:ascii="Arial" w:hAnsi="Arial" w:cs="Arial"/>
                <w:sz w:val="22"/>
                <w:szCs w:val="22"/>
              </w:rPr>
            </w:pPr>
            <w:r w:rsidRPr="00275190">
              <w:rPr>
                <w:rFonts w:ascii="Arial" w:hAnsi="Arial" w:cs="Arial"/>
                <w:b/>
                <w:bCs/>
                <w:sz w:val="22"/>
                <w:szCs w:val="22"/>
              </w:rPr>
              <w:t>Non-continuation</w:t>
            </w:r>
          </w:p>
        </w:tc>
        <w:tc>
          <w:tcPr>
            <w:tcW w:w="1984" w:type="dxa"/>
            <w:hideMark/>
          </w:tcPr>
          <w:p w14:paraId="07EFB166" w14:textId="77777777" w:rsidR="0031533F" w:rsidRDefault="0031533F" w:rsidP="0031533F">
            <w:pPr>
              <w:pStyle w:val="NormalWeb"/>
              <w:spacing w:before="0" w:beforeAutospacing="0" w:after="0" w:afterAutospacing="0"/>
              <w:rPr>
                <w:rFonts w:ascii="Arial" w:hAnsi="Arial" w:cs="Arial"/>
                <w:b/>
                <w:bCs/>
                <w:sz w:val="22"/>
                <w:szCs w:val="22"/>
              </w:rPr>
            </w:pPr>
            <w:r w:rsidRPr="00275190">
              <w:rPr>
                <w:rFonts w:ascii="Arial" w:hAnsi="Arial" w:cs="Arial"/>
                <w:b/>
                <w:bCs/>
                <w:sz w:val="22"/>
                <w:szCs w:val="22"/>
              </w:rPr>
              <w:t>Employment/</w:t>
            </w:r>
          </w:p>
          <w:p w14:paraId="11754BA2" w14:textId="77777777" w:rsidR="0031533F" w:rsidRPr="00275190" w:rsidRDefault="0031533F" w:rsidP="0031533F">
            <w:pPr>
              <w:pStyle w:val="NormalWeb"/>
              <w:spacing w:before="0" w:beforeAutospacing="0" w:after="0" w:afterAutospacing="0"/>
              <w:rPr>
                <w:rFonts w:ascii="Arial" w:hAnsi="Arial" w:cs="Arial"/>
                <w:sz w:val="22"/>
                <w:szCs w:val="22"/>
              </w:rPr>
            </w:pPr>
            <w:r w:rsidRPr="00275190">
              <w:rPr>
                <w:rFonts w:ascii="Arial" w:hAnsi="Arial" w:cs="Arial"/>
                <w:b/>
                <w:bCs/>
                <w:sz w:val="22"/>
                <w:szCs w:val="22"/>
              </w:rPr>
              <w:t>destinations</w:t>
            </w:r>
            <w:r>
              <w:rPr>
                <w:rStyle w:val="FootnoteReference"/>
                <w:rFonts w:ascii="Arial" w:hAnsi="Arial" w:cs="Arial"/>
                <w:b/>
                <w:bCs/>
                <w:sz w:val="22"/>
                <w:szCs w:val="22"/>
              </w:rPr>
              <w:footnoteReference w:id="25"/>
            </w:r>
          </w:p>
        </w:tc>
      </w:tr>
      <w:tr w:rsidR="0031533F" w:rsidRPr="00275190" w14:paraId="35F2BADB" w14:textId="77777777" w:rsidTr="00B873AB">
        <w:tc>
          <w:tcPr>
            <w:tcW w:w="2694" w:type="dxa"/>
            <w:shd w:val="clear" w:color="auto" w:fill="B6DDE8" w:themeFill="accent5" w:themeFillTint="66"/>
            <w:hideMark/>
          </w:tcPr>
          <w:p w14:paraId="36604598" w14:textId="77777777" w:rsidR="0031533F" w:rsidRPr="00275190" w:rsidRDefault="0031533F" w:rsidP="0031533F">
            <w:pPr>
              <w:pStyle w:val="NormalWeb"/>
              <w:rPr>
                <w:rFonts w:ascii="Arial" w:hAnsi="Arial" w:cs="Arial"/>
                <w:sz w:val="22"/>
                <w:szCs w:val="22"/>
              </w:rPr>
            </w:pPr>
            <w:r w:rsidRPr="00275190">
              <w:rPr>
                <w:rFonts w:ascii="Arial" w:hAnsi="Arial" w:cs="Arial"/>
                <w:b/>
                <w:bCs/>
                <w:sz w:val="22"/>
                <w:szCs w:val="22"/>
              </w:rPr>
              <w:t>Subject of study </w:t>
            </w:r>
          </w:p>
        </w:tc>
        <w:tc>
          <w:tcPr>
            <w:tcW w:w="1667" w:type="dxa"/>
          </w:tcPr>
          <w:p w14:paraId="265AB0F0" w14:textId="77777777" w:rsidR="0031533F" w:rsidRPr="00275190" w:rsidRDefault="0031533F" w:rsidP="0031533F">
            <w:pPr>
              <w:pStyle w:val="NormalWeb"/>
              <w:spacing w:before="0" w:beforeAutospacing="0" w:after="0" w:afterAutospacing="0"/>
              <w:jc w:val="center"/>
              <w:rPr>
                <w:rFonts w:cs="Arial"/>
                <w:sz w:val="22"/>
                <w:szCs w:val="22"/>
              </w:rPr>
            </w:pPr>
            <w:r w:rsidRPr="00275190">
              <w:rPr>
                <w:rFonts w:cs="Arial"/>
                <w:sz w:val="22"/>
                <w:szCs w:val="22"/>
              </w:rPr>
              <w:sym w:font="Wingdings" w:char="F0FC"/>
            </w:r>
          </w:p>
        </w:tc>
        <w:tc>
          <w:tcPr>
            <w:tcW w:w="1701" w:type="dxa"/>
            <w:hideMark/>
          </w:tcPr>
          <w:p w14:paraId="00429D11" w14:textId="77777777" w:rsidR="0031533F" w:rsidRPr="00275190" w:rsidRDefault="0031533F" w:rsidP="0031533F">
            <w:pPr>
              <w:pStyle w:val="NormalWeb"/>
              <w:spacing w:before="0" w:beforeAutospacing="0" w:after="0" w:afterAutospacing="0"/>
              <w:jc w:val="center"/>
              <w:rPr>
                <w:rFonts w:cs="Arial"/>
                <w:sz w:val="22"/>
                <w:szCs w:val="22"/>
              </w:rPr>
            </w:pPr>
            <w:r w:rsidRPr="00275190">
              <w:rPr>
                <w:rFonts w:cs="Arial"/>
                <w:sz w:val="22"/>
                <w:szCs w:val="22"/>
              </w:rPr>
              <w:sym w:font="Wingdings" w:char="F0FC"/>
            </w:r>
          </w:p>
        </w:tc>
        <w:tc>
          <w:tcPr>
            <w:tcW w:w="1984" w:type="dxa"/>
            <w:hideMark/>
          </w:tcPr>
          <w:p w14:paraId="1690394B" w14:textId="77777777" w:rsidR="0031533F" w:rsidRPr="00275190" w:rsidRDefault="0031533F" w:rsidP="0031533F">
            <w:pPr>
              <w:pStyle w:val="NormalWeb"/>
              <w:spacing w:before="0" w:beforeAutospacing="0" w:after="0" w:afterAutospacing="0"/>
              <w:jc w:val="center"/>
              <w:rPr>
                <w:rFonts w:cs="Arial"/>
                <w:sz w:val="22"/>
                <w:szCs w:val="22"/>
              </w:rPr>
            </w:pPr>
            <w:r w:rsidRPr="00275190">
              <w:rPr>
                <w:rFonts w:cs="Arial"/>
                <w:sz w:val="22"/>
                <w:szCs w:val="22"/>
              </w:rPr>
              <w:sym w:font="Wingdings" w:char="F0FC"/>
            </w:r>
          </w:p>
        </w:tc>
      </w:tr>
      <w:tr w:rsidR="0031533F" w:rsidRPr="00275190" w14:paraId="35E35619" w14:textId="77777777" w:rsidTr="00B873AB">
        <w:tc>
          <w:tcPr>
            <w:tcW w:w="2694" w:type="dxa"/>
            <w:shd w:val="clear" w:color="auto" w:fill="B6DDE8" w:themeFill="accent5" w:themeFillTint="66"/>
            <w:hideMark/>
          </w:tcPr>
          <w:p w14:paraId="3BF725C7" w14:textId="77777777" w:rsidR="0031533F" w:rsidRPr="00275190" w:rsidRDefault="0031533F" w:rsidP="0031533F">
            <w:pPr>
              <w:pStyle w:val="NormalWeb"/>
              <w:rPr>
                <w:rFonts w:ascii="Arial" w:hAnsi="Arial" w:cs="Arial"/>
                <w:sz w:val="22"/>
                <w:szCs w:val="22"/>
              </w:rPr>
            </w:pPr>
            <w:r w:rsidRPr="00275190">
              <w:rPr>
                <w:rFonts w:ascii="Arial" w:hAnsi="Arial" w:cs="Arial"/>
                <w:b/>
                <w:bCs/>
                <w:sz w:val="22"/>
                <w:szCs w:val="22"/>
              </w:rPr>
              <w:t>Entry qualifications </w:t>
            </w:r>
          </w:p>
        </w:tc>
        <w:tc>
          <w:tcPr>
            <w:tcW w:w="1667" w:type="dxa"/>
          </w:tcPr>
          <w:p w14:paraId="13711485" w14:textId="77777777" w:rsidR="0031533F" w:rsidRPr="00275190" w:rsidRDefault="0031533F" w:rsidP="0031533F">
            <w:pPr>
              <w:pStyle w:val="NormalWeb"/>
              <w:spacing w:before="0" w:beforeAutospacing="0" w:after="0" w:afterAutospacing="0"/>
              <w:jc w:val="center"/>
              <w:rPr>
                <w:rFonts w:cs="Arial"/>
                <w:sz w:val="22"/>
                <w:szCs w:val="22"/>
              </w:rPr>
            </w:pPr>
          </w:p>
        </w:tc>
        <w:tc>
          <w:tcPr>
            <w:tcW w:w="1701" w:type="dxa"/>
            <w:hideMark/>
          </w:tcPr>
          <w:p w14:paraId="742CE1E5" w14:textId="77777777" w:rsidR="0031533F" w:rsidRPr="00275190" w:rsidRDefault="0031533F" w:rsidP="0031533F">
            <w:pPr>
              <w:pStyle w:val="NormalWeb"/>
              <w:spacing w:before="0" w:beforeAutospacing="0" w:after="0" w:afterAutospacing="0"/>
              <w:jc w:val="center"/>
              <w:rPr>
                <w:rFonts w:cs="Arial"/>
                <w:sz w:val="22"/>
                <w:szCs w:val="22"/>
              </w:rPr>
            </w:pPr>
            <w:r w:rsidRPr="00275190">
              <w:rPr>
                <w:rFonts w:cs="Arial"/>
                <w:sz w:val="22"/>
                <w:szCs w:val="22"/>
              </w:rPr>
              <w:sym w:font="Wingdings" w:char="F0FC"/>
            </w:r>
          </w:p>
        </w:tc>
        <w:tc>
          <w:tcPr>
            <w:tcW w:w="1984" w:type="dxa"/>
            <w:hideMark/>
          </w:tcPr>
          <w:p w14:paraId="78E2F524" w14:textId="77777777" w:rsidR="0031533F" w:rsidRPr="00275190" w:rsidRDefault="0031533F" w:rsidP="0031533F">
            <w:pPr>
              <w:pStyle w:val="NormalWeb"/>
              <w:spacing w:before="0" w:beforeAutospacing="0" w:after="0" w:afterAutospacing="0"/>
              <w:jc w:val="center"/>
              <w:rPr>
                <w:rFonts w:cs="Arial"/>
                <w:sz w:val="22"/>
                <w:szCs w:val="22"/>
              </w:rPr>
            </w:pPr>
            <w:r w:rsidRPr="00275190">
              <w:rPr>
                <w:rFonts w:cs="Arial"/>
                <w:sz w:val="22"/>
                <w:szCs w:val="22"/>
              </w:rPr>
              <w:sym w:font="Wingdings" w:char="F0FC"/>
            </w:r>
          </w:p>
        </w:tc>
      </w:tr>
      <w:tr w:rsidR="0031533F" w:rsidRPr="00275190" w14:paraId="59D3BD05" w14:textId="77777777" w:rsidTr="00B873AB">
        <w:tc>
          <w:tcPr>
            <w:tcW w:w="2694" w:type="dxa"/>
            <w:shd w:val="clear" w:color="auto" w:fill="B6DDE8" w:themeFill="accent5" w:themeFillTint="66"/>
            <w:hideMark/>
          </w:tcPr>
          <w:p w14:paraId="6D6AC5D6" w14:textId="77777777" w:rsidR="0031533F" w:rsidRPr="00275190" w:rsidRDefault="0031533F" w:rsidP="00723663">
            <w:pPr>
              <w:pStyle w:val="NormalWeb"/>
              <w:rPr>
                <w:rFonts w:ascii="Arial" w:hAnsi="Arial" w:cs="Arial"/>
                <w:sz w:val="22"/>
                <w:szCs w:val="22"/>
              </w:rPr>
            </w:pPr>
            <w:r w:rsidRPr="00275190">
              <w:rPr>
                <w:rFonts w:ascii="Arial" w:hAnsi="Arial" w:cs="Arial"/>
                <w:b/>
                <w:bCs/>
                <w:sz w:val="22"/>
                <w:szCs w:val="22"/>
              </w:rPr>
              <w:t>Age on entry </w:t>
            </w:r>
          </w:p>
        </w:tc>
        <w:tc>
          <w:tcPr>
            <w:tcW w:w="1667" w:type="dxa"/>
          </w:tcPr>
          <w:p w14:paraId="34348AE5" w14:textId="77777777" w:rsidR="0031533F" w:rsidRPr="00275190" w:rsidRDefault="0031533F" w:rsidP="0031533F">
            <w:pPr>
              <w:pStyle w:val="NormalWeb"/>
              <w:spacing w:before="0" w:beforeAutospacing="0" w:after="0" w:afterAutospacing="0"/>
              <w:jc w:val="center"/>
              <w:rPr>
                <w:rFonts w:cs="Arial"/>
                <w:sz w:val="22"/>
                <w:szCs w:val="22"/>
              </w:rPr>
            </w:pPr>
            <w:r w:rsidRPr="00275190">
              <w:rPr>
                <w:rFonts w:cs="Arial"/>
                <w:sz w:val="22"/>
                <w:szCs w:val="22"/>
              </w:rPr>
              <w:sym w:font="Wingdings" w:char="F0FC"/>
            </w:r>
          </w:p>
        </w:tc>
        <w:tc>
          <w:tcPr>
            <w:tcW w:w="1701" w:type="dxa"/>
            <w:hideMark/>
          </w:tcPr>
          <w:p w14:paraId="5EC1393F" w14:textId="77777777" w:rsidR="0031533F" w:rsidRPr="00275190" w:rsidRDefault="0031533F" w:rsidP="0031533F">
            <w:pPr>
              <w:pStyle w:val="NormalWeb"/>
              <w:spacing w:before="0" w:beforeAutospacing="0" w:after="0" w:afterAutospacing="0"/>
              <w:jc w:val="center"/>
              <w:rPr>
                <w:rFonts w:cs="Arial"/>
                <w:sz w:val="22"/>
                <w:szCs w:val="22"/>
              </w:rPr>
            </w:pPr>
            <w:r w:rsidRPr="00275190">
              <w:rPr>
                <w:rFonts w:cs="Arial"/>
                <w:sz w:val="22"/>
                <w:szCs w:val="22"/>
              </w:rPr>
              <w:sym w:font="Wingdings" w:char="F0FC"/>
            </w:r>
          </w:p>
        </w:tc>
        <w:tc>
          <w:tcPr>
            <w:tcW w:w="1984" w:type="dxa"/>
            <w:hideMark/>
          </w:tcPr>
          <w:p w14:paraId="35BE1FB9" w14:textId="77777777" w:rsidR="0031533F" w:rsidRPr="00275190" w:rsidRDefault="0031533F" w:rsidP="0031533F">
            <w:pPr>
              <w:pStyle w:val="NormalWeb"/>
              <w:spacing w:before="0" w:beforeAutospacing="0" w:after="0" w:afterAutospacing="0"/>
              <w:jc w:val="center"/>
              <w:rPr>
                <w:rFonts w:cs="Arial"/>
                <w:sz w:val="22"/>
                <w:szCs w:val="22"/>
              </w:rPr>
            </w:pPr>
            <w:r w:rsidRPr="00275190">
              <w:rPr>
                <w:rFonts w:cs="Arial"/>
                <w:sz w:val="22"/>
                <w:szCs w:val="22"/>
              </w:rPr>
              <w:sym w:font="Wingdings" w:char="F0FC"/>
            </w:r>
          </w:p>
        </w:tc>
      </w:tr>
      <w:tr w:rsidR="0031533F" w:rsidRPr="00275190" w14:paraId="2A66A35D" w14:textId="77777777" w:rsidTr="00B873AB">
        <w:tc>
          <w:tcPr>
            <w:tcW w:w="2694" w:type="dxa"/>
            <w:shd w:val="clear" w:color="auto" w:fill="B6DDE8" w:themeFill="accent5" w:themeFillTint="66"/>
            <w:hideMark/>
          </w:tcPr>
          <w:p w14:paraId="2B07473A" w14:textId="77777777" w:rsidR="0031533F" w:rsidRPr="00275190" w:rsidRDefault="0031533F" w:rsidP="0031533F">
            <w:pPr>
              <w:pStyle w:val="NormalWeb"/>
              <w:rPr>
                <w:rFonts w:ascii="Arial" w:hAnsi="Arial" w:cs="Arial"/>
                <w:sz w:val="22"/>
                <w:szCs w:val="22"/>
              </w:rPr>
            </w:pPr>
            <w:r w:rsidRPr="00275190">
              <w:rPr>
                <w:rFonts w:ascii="Arial" w:hAnsi="Arial" w:cs="Arial"/>
                <w:b/>
                <w:bCs/>
                <w:sz w:val="22"/>
                <w:szCs w:val="22"/>
              </w:rPr>
              <w:lastRenderedPageBreak/>
              <w:t>Ethnicity </w:t>
            </w:r>
          </w:p>
        </w:tc>
        <w:tc>
          <w:tcPr>
            <w:tcW w:w="1667" w:type="dxa"/>
          </w:tcPr>
          <w:p w14:paraId="514450D0" w14:textId="77777777" w:rsidR="0031533F" w:rsidRPr="00275190" w:rsidRDefault="0031533F" w:rsidP="0031533F">
            <w:pPr>
              <w:pStyle w:val="NormalWeb"/>
              <w:spacing w:before="0" w:beforeAutospacing="0" w:after="0" w:afterAutospacing="0"/>
              <w:jc w:val="center"/>
              <w:rPr>
                <w:rFonts w:cs="Arial"/>
                <w:sz w:val="22"/>
                <w:szCs w:val="22"/>
              </w:rPr>
            </w:pPr>
            <w:r w:rsidRPr="00275190">
              <w:rPr>
                <w:rFonts w:cs="Arial"/>
                <w:sz w:val="22"/>
                <w:szCs w:val="22"/>
              </w:rPr>
              <w:sym w:font="Wingdings" w:char="F0FC"/>
            </w:r>
          </w:p>
        </w:tc>
        <w:tc>
          <w:tcPr>
            <w:tcW w:w="1701" w:type="dxa"/>
            <w:hideMark/>
          </w:tcPr>
          <w:p w14:paraId="44DD261C" w14:textId="77777777" w:rsidR="0031533F" w:rsidRPr="00275190" w:rsidRDefault="0031533F" w:rsidP="0031533F">
            <w:pPr>
              <w:pStyle w:val="NormalWeb"/>
              <w:spacing w:before="0" w:beforeAutospacing="0" w:after="0" w:afterAutospacing="0"/>
              <w:jc w:val="center"/>
              <w:rPr>
                <w:rFonts w:cs="Arial"/>
                <w:sz w:val="22"/>
                <w:szCs w:val="22"/>
              </w:rPr>
            </w:pPr>
          </w:p>
        </w:tc>
        <w:tc>
          <w:tcPr>
            <w:tcW w:w="1984" w:type="dxa"/>
            <w:hideMark/>
          </w:tcPr>
          <w:p w14:paraId="730BE53F" w14:textId="77777777" w:rsidR="0031533F" w:rsidRPr="00275190" w:rsidRDefault="0031533F" w:rsidP="0031533F">
            <w:pPr>
              <w:pStyle w:val="NormalWeb"/>
              <w:spacing w:before="0" w:beforeAutospacing="0" w:after="0" w:afterAutospacing="0"/>
              <w:jc w:val="center"/>
              <w:rPr>
                <w:rFonts w:cs="Arial"/>
                <w:sz w:val="22"/>
                <w:szCs w:val="22"/>
              </w:rPr>
            </w:pPr>
            <w:r w:rsidRPr="00275190">
              <w:rPr>
                <w:rFonts w:cs="Arial"/>
                <w:sz w:val="22"/>
                <w:szCs w:val="22"/>
              </w:rPr>
              <w:sym w:font="Wingdings" w:char="F0FC"/>
            </w:r>
          </w:p>
        </w:tc>
      </w:tr>
      <w:tr w:rsidR="0031533F" w:rsidRPr="00275190" w14:paraId="4ED559B5" w14:textId="77777777" w:rsidTr="00B873AB">
        <w:tc>
          <w:tcPr>
            <w:tcW w:w="2694" w:type="dxa"/>
            <w:shd w:val="clear" w:color="auto" w:fill="B6DDE8" w:themeFill="accent5" w:themeFillTint="66"/>
            <w:hideMark/>
          </w:tcPr>
          <w:p w14:paraId="3E95FBD4" w14:textId="77777777" w:rsidR="0031533F" w:rsidRPr="00275190" w:rsidRDefault="0031533F" w:rsidP="0031533F">
            <w:pPr>
              <w:pStyle w:val="NormalWeb"/>
              <w:rPr>
                <w:rFonts w:ascii="Arial" w:hAnsi="Arial" w:cs="Arial"/>
                <w:sz w:val="22"/>
                <w:szCs w:val="22"/>
              </w:rPr>
            </w:pPr>
            <w:r w:rsidRPr="00275190">
              <w:rPr>
                <w:rFonts w:ascii="Arial" w:hAnsi="Arial" w:cs="Arial"/>
                <w:b/>
                <w:bCs/>
                <w:sz w:val="22"/>
                <w:szCs w:val="22"/>
              </w:rPr>
              <w:t>Sex </w:t>
            </w:r>
          </w:p>
        </w:tc>
        <w:tc>
          <w:tcPr>
            <w:tcW w:w="1667" w:type="dxa"/>
          </w:tcPr>
          <w:p w14:paraId="1AEAD414" w14:textId="77777777" w:rsidR="0031533F" w:rsidRPr="00275190" w:rsidRDefault="0031533F" w:rsidP="0031533F">
            <w:pPr>
              <w:pStyle w:val="NormalWeb"/>
              <w:spacing w:before="0" w:beforeAutospacing="0" w:after="0" w:afterAutospacing="0"/>
              <w:jc w:val="center"/>
              <w:rPr>
                <w:rFonts w:cs="Arial"/>
                <w:sz w:val="22"/>
                <w:szCs w:val="22"/>
              </w:rPr>
            </w:pPr>
            <w:r w:rsidRPr="00275190">
              <w:rPr>
                <w:rFonts w:cs="Arial"/>
                <w:sz w:val="22"/>
                <w:szCs w:val="22"/>
              </w:rPr>
              <w:sym w:font="Wingdings" w:char="F0FC"/>
            </w:r>
          </w:p>
        </w:tc>
        <w:tc>
          <w:tcPr>
            <w:tcW w:w="1701" w:type="dxa"/>
            <w:hideMark/>
          </w:tcPr>
          <w:p w14:paraId="3DD6B17F" w14:textId="77777777" w:rsidR="0031533F" w:rsidRPr="00275190" w:rsidRDefault="0031533F" w:rsidP="0031533F">
            <w:pPr>
              <w:pStyle w:val="NormalWeb"/>
              <w:spacing w:before="0" w:beforeAutospacing="0" w:after="0" w:afterAutospacing="0"/>
              <w:jc w:val="center"/>
              <w:rPr>
                <w:rFonts w:cs="Arial"/>
                <w:sz w:val="22"/>
                <w:szCs w:val="22"/>
              </w:rPr>
            </w:pPr>
          </w:p>
        </w:tc>
        <w:tc>
          <w:tcPr>
            <w:tcW w:w="1984" w:type="dxa"/>
            <w:hideMark/>
          </w:tcPr>
          <w:p w14:paraId="706431BF" w14:textId="77777777" w:rsidR="0031533F" w:rsidRPr="00275190" w:rsidRDefault="0031533F" w:rsidP="0031533F">
            <w:pPr>
              <w:pStyle w:val="NormalWeb"/>
              <w:spacing w:before="0" w:beforeAutospacing="0" w:after="0" w:afterAutospacing="0"/>
              <w:jc w:val="center"/>
              <w:rPr>
                <w:rFonts w:cs="Arial"/>
                <w:sz w:val="22"/>
                <w:szCs w:val="22"/>
              </w:rPr>
            </w:pPr>
            <w:r w:rsidRPr="00275190">
              <w:rPr>
                <w:rFonts w:cs="Arial"/>
                <w:sz w:val="22"/>
                <w:szCs w:val="22"/>
              </w:rPr>
              <w:sym w:font="Wingdings" w:char="F0FC"/>
            </w:r>
          </w:p>
        </w:tc>
      </w:tr>
      <w:tr w:rsidR="0031533F" w:rsidRPr="00275190" w14:paraId="7C495BBD" w14:textId="77777777" w:rsidTr="00B873AB">
        <w:tc>
          <w:tcPr>
            <w:tcW w:w="2694" w:type="dxa"/>
            <w:shd w:val="clear" w:color="auto" w:fill="B6DDE8" w:themeFill="accent5" w:themeFillTint="66"/>
            <w:hideMark/>
          </w:tcPr>
          <w:p w14:paraId="69DF4F31" w14:textId="77777777" w:rsidR="0031533F" w:rsidRPr="00275190" w:rsidRDefault="0031533F" w:rsidP="00723663">
            <w:pPr>
              <w:pStyle w:val="NormalWeb"/>
              <w:rPr>
                <w:rFonts w:ascii="Arial" w:hAnsi="Arial" w:cs="Arial"/>
                <w:sz w:val="22"/>
                <w:szCs w:val="22"/>
              </w:rPr>
            </w:pPr>
            <w:r w:rsidRPr="00275190">
              <w:rPr>
                <w:rFonts w:ascii="Arial" w:hAnsi="Arial" w:cs="Arial"/>
                <w:b/>
                <w:bCs/>
                <w:sz w:val="22"/>
                <w:szCs w:val="22"/>
              </w:rPr>
              <w:t>Disability</w:t>
            </w:r>
          </w:p>
        </w:tc>
        <w:tc>
          <w:tcPr>
            <w:tcW w:w="1667" w:type="dxa"/>
          </w:tcPr>
          <w:p w14:paraId="36EDEDDB" w14:textId="77777777" w:rsidR="0031533F" w:rsidRPr="00275190" w:rsidRDefault="0031533F" w:rsidP="0031533F">
            <w:pPr>
              <w:pStyle w:val="NormalWeb"/>
              <w:spacing w:before="0" w:beforeAutospacing="0" w:after="0" w:afterAutospacing="0"/>
              <w:jc w:val="center"/>
              <w:rPr>
                <w:rFonts w:cs="Arial"/>
                <w:sz w:val="22"/>
                <w:szCs w:val="22"/>
              </w:rPr>
            </w:pPr>
            <w:r w:rsidRPr="00275190">
              <w:rPr>
                <w:rFonts w:cs="Arial"/>
                <w:sz w:val="22"/>
                <w:szCs w:val="22"/>
              </w:rPr>
              <w:sym w:font="Wingdings" w:char="F0FC"/>
            </w:r>
          </w:p>
        </w:tc>
        <w:tc>
          <w:tcPr>
            <w:tcW w:w="1701" w:type="dxa"/>
            <w:hideMark/>
          </w:tcPr>
          <w:p w14:paraId="60CAC957" w14:textId="77777777" w:rsidR="0031533F" w:rsidRPr="00275190" w:rsidRDefault="0031533F" w:rsidP="0031533F">
            <w:pPr>
              <w:pStyle w:val="NormalWeb"/>
              <w:spacing w:before="0" w:beforeAutospacing="0" w:after="0" w:afterAutospacing="0"/>
              <w:jc w:val="center"/>
              <w:rPr>
                <w:rFonts w:cs="Arial"/>
                <w:sz w:val="22"/>
                <w:szCs w:val="22"/>
              </w:rPr>
            </w:pPr>
          </w:p>
        </w:tc>
        <w:tc>
          <w:tcPr>
            <w:tcW w:w="1984" w:type="dxa"/>
            <w:hideMark/>
          </w:tcPr>
          <w:p w14:paraId="5E9B0631" w14:textId="77777777" w:rsidR="0031533F" w:rsidRPr="00275190" w:rsidRDefault="0031533F" w:rsidP="0031533F">
            <w:pPr>
              <w:pStyle w:val="NormalWeb"/>
              <w:spacing w:before="0" w:beforeAutospacing="0" w:after="0" w:afterAutospacing="0"/>
              <w:jc w:val="center"/>
              <w:rPr>
                <w:rFonts w:cs="Arial"/>
                <w:sz w:val="22"/>
                <w:szCs w:val="22"/>
              </w:rPr>
            </w:pPr>
          </w:p>
        </w:tc>
      </w:tr>
    </w:tbl>
    <w:p w14:paraId="3E3F6813" w14:textId="77777777" w:rsidR="00BF2866" w:rsidRPr="00C94052" w:rsidRDefault="00BF2866" w:rsidP="00C94052">
      <w:pPr>
        <w:tabs>
          <w:tab w:val="left" w:pos="142"/>
        </w:tabs>
        <w:spacing w:after="0"/>
        <w:rPr>
          <w:rFonts w:cs="Arial"/>
          <w:sz w:val="16"/>
          <w:szCs w:val="16"/>
        </w:rPr>
      </w:pPr>
      <w:bookmarkStart w:id="47" w:name="_Toc450147989"/>
    </w:p>
    <w:p w14:paraId="401B367A" w14:textId="77777777" w:rsidR="0031533F" w:rsidRPr="00250C1B" w:rsidRDefault="0031533F" w:rsidP="00FD0E93">
      <w:pPr>
        <w:pStyle w:val="Heading3"/>
        <w:spacing w:after="0"/>
        <w:ind w:hanging="284"/>
      </w:pPr>
      <w:bookmarkStart w:id="48" w:name="_Toc450886559"/>
      <w:r w:rsidRPr="002E43D2">
        <w:t>Significance flags</w:t>
      </w:r>
      <w:bookmarkEnd w:id="47"/>
      <w:bookmarkEnd w:id="48"/>
    </w:p>
    <w:p w14:paraId="1F6852AF" w14:textId="07E9BC55" w:rsidR="00C20AD3" w:rsidRDefault="0049654E" w:rsidP="00AF7684">
      <w:pPr>
        <w:pStyle w:val="ListParagraph"/>
        <w:numPr>
          <w:ilvl w:val="0"/>
          <w:numId w:val="18"/>
        </w:numPr>
        <w:tabs>
          <w:tab w:val="left" w:pos="142"/>
        </w:tabs>
        <w:spacing w:after="0"/>
        <w:ind w:left="142" w:hanging="426"/>
        <w:rPr>
          <w:rFonts w:ascii="Arial" w:hAnsi="Arial" w:cs="Arial"/>
          <w:sz w:val="24"/>
          <w:szCs w:val="24"/>
        </w:rPr>
      </w:pPr>
      <w:r w:rsidRPr="00C20AD3">
        <w:rPr>
          <w:rFonts w:ascii="Arial" w:hAnsi="Arial" w:cs="Arial"/>
          <w:sz w:val="24"/>
          <w:szCs w:val="24"/>
        </w:rPr>
        <w:t>To assist TEF assessors, w</w:t>
      </w:r>
      <w:r w:rsidR="0031533F" w:rsidRPr="00C20AD3">
        <w:rPr>
          <w:rFonts w:ascii="Arial" w:hAnsi="Arial" w:cs="Arial"/>
          <w:sz w:val="24"/>
          <w:szCs w:val="24"/>
        </w:rPr>
        <w:t xml:space="preserve">here there is a significant difference between </w:t>
      </w:r>
      <w:r w:rsidR="00CD6633" w:rsidRPr="00C20AD3">
        <w:rPr>
          <w:rFonts w:ascii="Arial" w:hAnsi="Arial" w:cs="Arial"/>
          <w:sz w:val="24"/>
          <w:szCs w:val="24"/>
        </w:rPr>
        <w:t xml:space="preserve">an </w:t>
      </w:r>
      <w:r w:rsidR="0031533F" w:rsidRPr="00C20AD3">
        <w:rPr>
          <w:rFonts w:ascii="Arial" w:hAnsi="Arial" w:cs="Arial"/>
          <w:sz w:val="24"/>
          <w:szCs w:val="24"/>
        </w:rPr>
        <w:t xml:space="preserve">indicator and the benchmark, this will be </w:t>
      </w:r>
      <w:r w:rsidR="0031533F" w:rsidRPr="00C20AD3">
        <w:rPr>
          <w:rFonts w:ascii="Arial" w:hAnsi="Arial" w:cs="Arial"/>
          <w:b/>
          <w:sz w:val="24"/>
          <w:szCs w:val="24"/>
        </w:rPr>
        <w:t>flagged</w:t>
      </w:r>
      <w:r w:rsidR="0031533F" w:rsidRPr="00C20AD3">
        <w:rPr>
          <w:rFonts w:ascii="Arial" w:hAnsi="Arial" w:cs="Arial"/>
          <w:sz w:val="24"/>
          <w:szCs w:val="24"/>
        </w:rPr>
        <w:t>. We propose that significant variation from the benchmark should require the difference between an indicator and the benchmark to be statistically significant (to 2 standard deviations</w:t>
      </w:r>
      <w:r w:rsidR="002E243C" w:rsidRPr="005B77E0">
        <w:rPr>
          <w:rStyle w:val="FootnoteReference"/>
          <w:rFonts w:cs="Arial"/>
        </w:rPr>
        <w:footnoteReference w:id="26"/>
      </w:r>
      <w:r w:rsidR="00AE5F09">
        <w:rPr>
          <w:rFonts w:ascii="Arial" w:hAnsi="Arial" w:cs="Arial"/>
          <w:sz w:val="24"/>
          <w:szCs w:val="24"/>
        </w:rPr>
        <w:t xml:space="preserve">) </w:t>
      </w:r>
      <w:r w:rsidR="0031533F" w:rsidRPr="00C20AD3">
        <w:rPr>
          <w:rFonts w:ascii="Arial" w:hAnsi="Arial" w:cs="Arial"/>
          <w:sz w:val="24"/>
          <w:szCs w:val="24"/>
        </w:rPr>
        <w:t xml:space="preserve">and to be at least 2 percentage points. This will allow TEF assessors to see </w:t>
      </w:r>
      <w:r w:rsidRPr="00C20AD3">
        <w:rPr>
          <w:rFonts w:ascii="Arial" w:hAnsi="Arial" w:cs="Arial"/>
          <w:sz w:val="24"/>
          <w:szCs w:val="24"/>
        </w:rPr>
        <w:t xml:space="preserve">readily </w:t>
      </w:r>
      <w:r w:rsidR="0031533F" w:rsidRPr="00C20AD3">
        <w:rPr>
          <w:rFonts w:ascii="Arial" w:hAnsi="Arial" w:cs="Arial"/>
          <w:sz w:val="24"/>
          <w:szCs w:val="24"/>
        </w:rPr>
        <w:t>where performance is significantly and materially above or below what might be expected.</w:t>
      </w:r>
      <w:r w:rsidR="0031533F" w:rsidRPr="00C20AD3">
        <w:rPr>
          <w:rFonts w:ascii="Arial" w:hAnsi="Arial"/>
          <w:sz w:val="24"/>
          <w:szCs w:val="24"/>
        </w:rPr>
        <w:t> </w:t>
      </w:r>
      <w:r w:rsidR="0031533F" w:rsidRPr="00C20AD3">
        <w:rPr>
          <w:rFonts w:ascii="Arial" w:hAnsi="Arial" w:cs="Arial"/>
          <w:sz w:val="24"/>
          <w:szCs w:val="24"/>
        </w:rPr>
        <w:t xml:space="preserve">This will provide greater differentiation between </w:t>
      </w:r>
      <w:r w:rsidR="00CD6633" w:rsidRPr="00C20AD3">
        <w:rPr>
          <w:rFonts w:ascii="Arial" w:hAnsi="Arial" w:cs="Arial"/>
          <w:sz w:val="24"/>
          <w:szCs w:val="24"/>
        </w:rPr>
        <w:t xml:space="preserve">providers </w:t>
      </w:r>
      <w:r w:rsidR="0031533F" w:rsidRPr="00C20AD3">
        <w:rPr>
          <w:rFonts w:ascii="Arial" w:hAnsi="Arial" w:cs="Arial"/>
          <w:sz w:val="24"/>
          <w:szCs w:val="24"/>
        </w:rPr>
        <w:t xml:space="preserve">than the UK PI approach, </w:t>
      </w:r>
      <w:r w:rsidRPr="00C20AD3">
        <w:rPr>
          <w:rFonts w:ascii="Arial" w:hAnsi="Arial" w:cs="Arial"/>
          <w:sz w:val="24"/>
          <w:szCs w:val="24"/>
        </w:rPr>
        <w:t xml:space="preserve">which uses 3 standard deviations and 3 percentage points, </w:t>
      </w:r>
      <w:r w:rsidR="0031533F" w:rsidRPr="00C20AD3">
        <w:rPr>
          <w:rFonts w:ascii="Arial" w:hAnsi="Arial" w:cs="Arial"/>
          <w:sz w:val="24"/>
          <w:szCs w:val="24"/>
        </w:rPr>
        <w:t>whilst still retaining an appropriate level of statistical rigour.</w:t>
      </w:r>
    </w:p>
    <w:p w14:paraId="1E76957F" w14:textId="77777777" w:rsidR="00C20AD3" w:rsidRDefault="00C20AD3" w:rsidP="00C20AD3">
      <w:pPr>
        <w:pStyle w:val="ListParagraph"/>
        <w:tabs>
          <w:tab w:val="left" w:pos="142"/>
        </w:tabs>
        <w:spacing w:after="0"/>
        <w:ind w:left="142"/>
        <w:rPr>
          <w:rFonts w:ascii="Arial" w:hAnsi="Arial" w:cs="Arial"/>
          <w:sz w:val="24"/>
          <w:szCs w:val="24"/>
        </w:rPr>
      </w:pPr>
    </w:p>
    <w:p w14:paraId="5D3E84CF" w14:textId="0DCC2C7B" w:rsidR="00C94052" w:rsidRPr="00C94052" w:rsidRDefault="006A3C8B" w:rsidP="0031533F">
      <w:pPr>
        <w:pStyle w:val="ListParagraph"/>
        <w:numPr>
          <w:ilvl w:val="0"/>
          <w:numId w:val="18"/>
        </w:numPr>
        <w:tabs>
          <w:tab w:val="left" w:pos="142"/>
        </w:tabs>
        <w:spacing w:after="0"/>
        <w:ind w:left="142" w:hanging="426"/>
        <w:rPr>
          <w:rFonts w:ascii="Arial" w:hAnsi="Arial" w:cs="Arial"/>
          <w:sz w:val="24"/>
          <w:szCs w:val="24"/>
        </w:rPr>
      </w:pPr>
      <w:r w:rsidRPr="00C20AD3">
        <w:rPr>
          <w:rFonts w:ascii="Arial" w:hAnsi="Arial" w:cs="Arial"/>
          <w:sz w:val="24"/>
          <w:szCs w:val="24"/>
        </w:rPr>
        <w:t xml:space="preserve">We recognise that this is a different approach to that used in the </w:t>
      </w:r>
      <w:r w:rsidR="00CD6633" w:rsidRPr="00C20AD3">
        <w:rPr>
          <w:rFonts w:ascii="Arial" w:hAnsi="Arial" w:cs="Arial"/>
          <w:sz w:val="24"/>
          <w:szCs w:val="24"/>
        </w:rPr>
        <w:t xml:space="preserve">UK </w:t>
      </w:r>
      <w:r w:rsidRPr="00C20AD3">
        <w:rPr>
          <w:rFonts w:ascii="Arial" w:hAnsi="Arial" w:cs="Arial"/>
          <w:sz w:val="24"/>
          <w:szCs w:val="24"/>
        </w:rPr>
        <w:t>PIs</w:t>
      </w:r>
      <w:r w:rsidR="0049654E" w:rsidRPr="00C20AD3">
        <w:rPr>
          <w:rFonts w:ascii="Arial" w:hAnsi="Arial" w:cs="Arial"/>
          <w:sz w:val="24"/>
          <w:szCs w:val="24"/>
        </w:rPr>
        <w:t>.</w:t>
      </w:r>
      <w:r w:rsidRPr="00C20AD3">
        <w:rPr>
          <w:rFonts w:ascii="Arial" w:hAnsi="Arial" w:cs="Arial"/>
          <w:sz w:val="24"/>
          <w:szCs w:val="24"/>
        </w:rPr>
        <w:t xml:space="preserve"> However, adopting the proposed threshold</w:t>
      </w:r>
      <w:r w:rsidR="002E243C" w:rsidRPr="00C20AD3">
        <w:rPr>
          <w:rFonts w:ascii="Arial" w:hAnsi="Arial" w:cs="Arial"/>
          <w:sz w:val="24"/>
          <w:szCs w:val="24"/>
        </w:rPr>
        <w:t xml:space="preserve"> </w:t>
      </w:r>
      <w:r w:rsidRPr="00C20AD3">
        <w:rPr>
          <w:rFonts w:ascii="Arial" w:hAnsi="Arial" w:cs="Arial"/>
          <w:sz w:val="24"/>
          <w:szCs w:val="24"/>
        </w:rPr>
        <w:t>will provide greater differentiation between providers: our preliminary analys</w:t>
      </w:r>
      <w:r w:rsidR="00CD6633" w:rsidRPr="00C20AD3">
        <w:rPr>
          <w:rFonts w:ascii="Arial" w:hAnsi="Arial" w:cs="Arial"/>
          <w:sz w:val="24"/>
          <w:szCs w:val="24"/>
        </w:rPr>
        <w:t>e</w:t>
      </w:r>
      <w:r w:rsidRPr="00C20AD3">
        <w:rPr>
          <w:rFonts w:ascii="Arial" w:hAnsi="Arial" w:cs="Arial"/>
          <w:sz w:val="24"/>
          <w:szCs w:val="24"/>
        </w:rPr>
        <w:t xml:space="preserve">s indicate that the number of significance </w:t>
      </w:r>
      <w:r w:rsidR="002E243C" w:rsidRPr="00C20AD3">
        <w:rPr>
          <w:rFonts w:ascii="Arial" w:hAnsi="Arial" w:cs="Arial"/>
          <w:sz w:val="24"/>
          <w:szCs w:val="24"/>
        </w:rPr>
        <w:t>flags generated will almost double</w:t>
      </w:r>
      <w:r w:rsidRPr="00C20AD3">
        <w:rPr>
          <w:rFonts w:ascii="Arial" w:hAnsi="Arial" w:cs="Arial"/>
          <w:sz w:val="24"/>
          <w:szCs w:val="24"/>
        </w:rPr>
        <w:t xml:space="preserve">, whilst the likelihood of a false flag </w:t>
      </w:r>
      <w:r w:rsidR="002E243C" w:rsidRPr="00C20AD3">
        <w:rPr>
          <w:rFonts w:ascii="Arial" w:hAnsi="Arial" w:cs="Arial"/>
          <w:sz w:val="24"/>
          <w:szCs w:val="24"/>
        </w:rPr>
        <w:t>(i</w:t>
      </w:r>
      <w:r w:rsidR="001708F9">
        <w:rPr>
          <w:rFonts w:ascii="Arial" w:hAnsi="Arial" w:cs="Arial"/>
          <w:sz w:val="24"/>
          <w:szCs w:val="24"/>
        </w:rPr>
        <w:t>.</w:t>
      </w:r>
      <w:r w:rsidR="002E243C" w:rsidRPr="00C20AD3">
        <w:rPr>
          <w:rFonts w:ascii="Arial" w:hAnsi="Arial" w:cs="Arial"/>
          <w:sz w:val="24"/>
          <w:szCs w:val="24"/>
        </w:rPr>
        <w:t>e</w:t>
      </w:r>
      <w:r w:rsidR="001708F9">
        <w:rPr>
          <w:rFonts w:ascii="Arial" w:hAnsi="Arial" w:cs="Arial"/>
          <w:sz w:val="24"/>
          <w:szCs w:val="24"/>
        </w:rPr>
        <w:t>.</w:t>
      </w:r>
      <w:r w:rsidRPr="00C20AD3">
        <w:rPr>
          <w:rFonts w:ascii="Arial" w:hAnsi="Arial" w:cs="Arial"/>
          <w:sz w:val="24"/>
          <w:szCs w:val="24"/>
        </w:rPr>
        <w:t xml:space="preserve"> a difference exceeding the thresholds purely as a result of random variation) will </w:t>
      </w:r>
      <w:r w:rsidR="003021C8">
        <w:rPr>
          <w:rFonts w:ascii="Arial" w:hAnsi="Arial" w:cs="Arial"/>
          <w:sz w:val="24"/>
          <w:szCs w:val="24"/>
        </w:rPr>
        <w:t xml:space="preserve">increase - </w:t>
      </w:r>
      <w:r w:rsidR="00EB3E3F">
        <w:rPr>
          <w:rFonts w:ascii="Arial" w:hAnsi="Arial" w:cs="Arial"/>
          <w:sz w:val="24"/>
          <w:szCs w:val="24"/>
        </w:rPr>
        <w:t>but to no</w:t>
      </w:r>
      <w:r w:rsidR="00644198" w:rsidRPr="00C20AD3">
        <w:rPr>
          <w:rFonts w:ascii="Arial" w:hAnsi="Arial" w:cs="Arial"/>
          <w:sz w:val="24"/>
          <w:szCs w:val="24"/>
        </w:rPr>
        <w:t xml:space="preserve"> more than</w:t>
      </w:r>
      <w:r w:rsidRPr="00C20AD3">
        <w:rPr>
          <w:rFonts w:ascii="Arial" w:hAnsi="Arial" w:cs="Arial"/>
          <w:sz w:val="24"/>
          <w:szCs w:val="24"/>
        </w:rPr>
        <w:t xml:space="preserve"> 5%</w:t>
      </w:r>
      <w:r w:rsidR="00E81E9B" w:rsidRPr="00C20AD3">
        <w:rPr>
          <w:rFonts w:ascii="Arial" w:hAnsi="Arial" w:cs="Arial"/>
          <w:sz w:val="24"/>
          <w:szCs w:val="24"/>
        </w:rPr>
        <w:t xml:space="preserve"> for any individual metric</w:t>
      </w:r>
      <w:r w:rsidRPr="00C20AD3">
        <w:rPr>
          <w:rFonts w:ascii="Arial" w:hAnsi="Arial" w:cs="Arial"/>
          <w:sz w:val="24"/>
          <w:szCs w:val="24"/>
        </w:rPr>
        <w:t xml:space="preserve">. Given that </w:t>
      </w:r>
      <w:r w:rsidR="007E5DD4" w:rsidRPr="00C20AD3">
        <w:rPr>
          <w:rFonts w:ascii="Arial" w:hAnsi="Arial" w:cs="Arial"/>
          <w:sz w:val="24"/>
          <w:szCs w:val="24"/>
        </w:rPr>
        <w:t>assessors</w:t>
      </w:r>
      <w:r w:rsidRPr="00C20AD3">
        <w:rPr>
          <w:rFonts w:ascii="Arial" w:hAnsi="Arial" w:cs="Arial"/>
          <w:sz w:val="24"/>
          <w:szCs w:val="24"/>
        </w:rPr>
        <w:t xml:space="preserve"> will not be making a </w:t>
      </w:r>
      <w:r w:rsidR="007E5DD4" w:rsidRPr="00C20AD3">
        <w:rPr>
          <w:rFonts w:ascii="Arial" w:hAnsi="Arial" w:cs="Arial"/>
          <w:sz w:val="24"/>
          <w:szCs w:val="24"/>
        </w:rPr>
        <w:t>judgement</w:t>
      </w:r>
      <w:r w:rsidRPr="00C20AD3">
        <w:rPr>
          <w:rFonts w:ascii="Arial" w:hAnsi="Arial" w:cs="Arial"/>
          <w:sz w:val="24"/>
          <w:szCs w:val="24"/>
        </w:rPr>
        <w:t xml:space="preserve"> based on metrics alone, but will also be considering additional evidence submitted by the provider, we consider that this approach retains an appropriate level of statistical rigour, and that the substantial advantage in identifying additional areas of significant and material difference between providers outweighs the disadvantage of accepting a small number of false flags.</w:t>
      </w:r>
      <w:r w:rsidRPr="00C20AD3">
        <w:rPr>
          <w:rStyle w:val="CommentReference"/>
          <w:rFonts w:ascii="Arial" w:hAnsi="Arial" w:cs="Arial"/>
          <w:sz w:val="24"/>
          <w:szCs w:val="24"/>
        </w:rPr>
        <w:t> </w:t>
      </w:r>
      <w:r w:rsidRPr="00C20AD3">
        <w:rPr>
          <w:rFonts w:ascii="Arial" w:hAnsi="Arial" w:cs="Arial"/>
          <w:sz w:val="24"/>
          <w:szCs w:val="24"/>
        </w:rPr>
        <w:t xml:space="preserve">The data provided to </w:t>
      </w:r>
      <w:r w:rsidR="007E5DD4" w:rsidRPr="00C20AD3">
        <w:rPr>
          <w:rFonts w:ascii="Arial" w:hAnsi="Arial" w:cs="Arial"/>
          <w:sz w:val="24"/>
          <w:szCs w:val="24"/>
        </w:rPr>
        <w:t>assessors</w:t>
      </w:r>
      <w:r w:rsidRPr="00C20AD3">
        <w:rPr>
          <w:rFonts w:ascii="Arial" w:hAnsi="Arial" w:cs="Arial"/>
          <w:sz w:val="24"/>
          <w:szCs w:val="24"/>
        </w:rPr>
        <w:t xml:space="preserve"> will also show the z-score (</w:t>
      </w:r>
      <w:r w:rsidR="007E5DD4" w:rsidRPr="00C20AD3">
        <w:rPr>
          <w:rFonts w:ascii="Arial" w:hAnsi="Arial" w:cs="Arial"/>
          <w:sz w:val="24"/>
          <w:szCs w:val="24"/>
        </w:rPr>
        <w:t xml:space="preserve">which is </w:t>
      </w:r>
      <w:r w:rsidRPr="00C20AD3">
        <w:rPr>
          <w:rFonts w:ascii="Arial" w:hAnsi="Arial" w:cs="Arial"/>
          <w:sz w:val="24"/>
          <w:szCs w:val="24"/>
        </w:rPr>
        <w:t xml:space="preserve">the actual measure of standard deviations from the expected level), </w:t>
      </w:r>
      <w:r w:rsidR="007E5DD4" w:rsidRPr="00C20AD3">
        <w:rPr>
          <w:rFonts w:ascii="Arial" w:hAnsi="Arial" w:cs="Arial"/>
          <w:sz w:val="24"/>
          <w:szCs w:val="24"/>
        </w:rPr>
        <w:t xml:space="preserve">which </w:t>
      </w:r>
      <w:r w:rsidR="00644198" w:rsidRPr="00C20AD3">
        <w:rPr>
          <w:rFonts w:ascii="Arial" w:hAnsi="Arial" w:cs="Arial"/>
          <w:sz w:val="24"/>
          <w:szCs w:val="24"/>
        </w:rPr>
        <w:t xml:space="preserve">enables extra </w:t>
      </w:r>
      <w:r w:rsidRPr="00C20AD3">
        <w:rPr>
          <w:rFonts w:ascii="Arial" w:hAnsi="Arial" w:cs="Arial"/>
          <w:sz w:val="24"/>
          <w:szCs w:val="24"/>
        </w:rPr>
        <w:t xml:space="preserve">caution when considering scores </w:t>
      </w:r>
      <w:r w:rsidR="007E5DD4" w:rsidRPr="00C20AD3">
        <w:rPr>
          <w:rFonts w:ascii="Arial" w:hAnsi="Arial" w:cs="Arial"/>
          <w:sz w:val="24"/>
          <w:szCs w:val="24"/>
        </w:rPr>
        <w:t xml:space="preserve">that are </w:t>
      </w:r>
      <w:r w:rsidRPr="00C20AD3">
        <w:rPr>
          <w:rFonts w:ascii="Arial" w:hAnsi="Arial" w:cs="Arial"/>
          <w:sz w:val="24"/>
          <w:szCs w:val="24"/>
        </w:rPr>
        <w:t>close to the threshold.</w:t>
      </w:r>
    </w:p>
    <w:p w14:paraId="4279D4B0" w14:textId="77777777" w:rsidR="00C94052" w:rsidRPr="0016487E" w:rsidRDefault="00C94052" w:rsidP="0031533F">
      <w:pPr>
        <w:spacing w:after="0"/>
        <w:rPr>
          <w:rFonts w:cs="Arial"/>
        </w:rPr>
      </w:pPr>
    </w:p>
    <w:p w14:paraId="42FDAC88" w14:textId="77777777" w:rsidR="00644198" w:rsidRDefault="0031533F" w:rsidP="0031533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Arial"/>
          <w:b/>
        </w:rPr>
      </w:pPr>
      <w:r w:rsidRPr="00C93F09">
        <w:rPr>
          <w:rFonts w:cs="Arial"/>
          <w:b/>
        </w:rPr>
        <w:t>Q</w:t>
      </w:r>
      <w:r w:rsidR="00B53A16">
        <w:rPr>
          <w:rFonts w:cs="Arial"/>
          <w:b/>
        </w:rPr>
        <w:t>3</w:t>
      </w:r>
      <w:r w:rsidRPr="00C93F09">
        <w:rPr>
          <w:rFonts w:cs="Arial"/>
          <w:b/>
        </w:rPr>
        <w:t xml:space="preserve">: </w:t>
      </w:r>
    </w:p>
    <w:p w14:paraId="18F62A5D" w14:textId="149173A3" w:rsidR="00644198" w:rsidRDefault="00706B72" w:rsidP="0031533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Arial"/>
          <w:b/>
        </w:rPr>
      </w:pPr>
      <w:r>
        <w:rPr>
          <w:rFonts w:cs="Arial"/>
          <w:b/>
        </w:rPr>
        <w:t>A)</w:t>
      </w:r>
      <w:r w:rsidR="00644198">
        <w:rPr>
          <w:rFonts w:cs="Arial"/>
          <w:b/>
        </w:rPr>
        <w:t xml:space="preserve"> Do you agree with the proposed approach for setting benchmarks?</w:t>
      </w:r>
    </w:p>
    <w:p w14:paraId="51D24D06" w14:textId="77777777" w:rsidR="00706B72" w:rsidRDefault="00706B72" w:rsidP="0031533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Arial"/>
          <w:b/>
        </w:rPr>
      </w:pPr>
    </w:p>
    <w:p w14:paraId="7F314885" w14:textId="6ADDC6B9" w:rsidR="00644198" w:rsidRDefault="00706B72" w:rsidP="0031533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Arial"/>
          <w:b/>
        </w:rPr>
      </w:pPr>
      <w:r>
        <w:rPr>
          <w:rFonts w:cs="Arial"/>
          <w:b/>
        </w:rPr>
        <w:t>B)</w:t>
      </w:r>
      <w:r w:rsidR="00644198">
        <w:rPr>
          <w:rFonts w:cs="Arial"/>
          <w:b/>
        </w:rPr>
        <w:t xml:space="preserve"> Do you agree with the proposed approach for flagging significant differences between indicator and benchmark (where differences exceed 2 standard deviations and 2 percentage points)?</w:t>
      </w:r>
    </w:p>
    <w:p w14:paraId="50F441AF" w14:textId="77777777" w:rsidR="00644198" w:rsidRDefault="00644198" w:rsidP="0031533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Arial"/>
          <w:b/>
        </w:rPr>
      </w:pPr>
    </w:p>
    <w:p w14:paraId="065C7191" w14:textId="2E0561D2" w:rsidR="0031533F" w:rsidRPr="00C93F09" w:rsidRDefault="00133ADE" w:rsidP="0031533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Arial"/>
          <w:b/>
        </w:rPr>
      </w:pPr>
      <w:r>
        <w:rPr>
          <w:rFonts w:cs="Arial"/>
          <w:b/>
        </w:rPr>
        <w:t xml:space="preserve">Please outline your reasons </w:t>
      </w:r>
      <w:r w:rsidR="009451F6">
        <w:rPr>
          <w:rFonts w:cs="Arial"/>
          <w:b/>
        </w:rPr>
        <w:t>if you disagree.</w:t>
      </w:r>
      <w:r>
        <w:rPr>
          <w:rFonts w:cs="Arial"/>
          <w:b/>
        </w:rPr>
        <w:t xml:space="preserve"> </w:t>
      </w:r>
    </w:p>
    <w:p w14:paraId="237D6D97" w14:textId="77777777" w:rsidR="0031533F" w:rsidRDefault="0031533F" w:rsidP="0031533F">
      <w:pPr>
        <w:spacing w:after="0"/>
        <w:rPr>
          <w:rFonts w:cs="Arial"/>
          <w:b/>
        </w:rPr>
      </w:pPr>
    </w:p>
    <w:p w14:paraId="551494A4" w14:textId="77777777" w:rsidR="00B873AB" w:rsidRDefault="00B873AB" w:rsidP="0031533F">
      <w:pPr>
        <w:spacing w:after="0"/>
        <w:rPr>
          <w:rFonts w:cs="Arial"/>
          <w:b/>
        </w:rPr>
      </w:pPr>
    </w:p>
    <w:p w14:paraId="11973039" w14:textId="77777777" w:rsidR="00B873AB" w:rsidRDefault="00B873AB" w:rsidP="0031533F">
      <w:pPr>
        <w:spacing w:after="0"/>
        <w:rPr>
          <w:rFonts w:cs="Arial"/>
          <w:b/>
        </w:rPr>
      </w:pPr>
    </w:p>
    <w:p w14:paraId="7021A99C" w14:textId="77777777" w:rsidR="00B873AB" w:rsidRDefault="00B873AB" w:rsidP="0031533F">
      <w:pPr>
        <w:spacing w:after="0"/>
        <w:rPr>
          <w:rFonts w:cs="Arial"/>
          <w:b/>
        </w:rPr>
      </w:pPr>
    </w:p>
    <w:p w14:paraId="1DE21040" w14:textId="77777777" w:rsidR="0031533F" w:rsidRPr="00335001" w:rsidRDefault="0031533F" w:rsidP="00FD0E93">
      <w:pPr>
        <w:pStyle w:val="Heading3"/>
        <w:spacing w:after="0"/>
        <w:ind w:hanging="284"/>
      </w:pPr>
      <w:bookmarkStart w:id="49" w:name="_Toc450147990"/>
      <w:bookmarkStart w:id="50" w:name="_Toc450886560"/>
      <w:r>
        <w:lastRenderedPageBreak/>
        <w:t>Coverage and t</w:t>
      </w:r>
      <w:r w:rsidRPr="00335001">
        <w:t>imescales</w:t>
      </w:r>
      <w:bookmarkEnd w:id="49"/>
      <w:bookmarkEnd w:id="50"/>
      <w:r w:rsidRPr="00335001">
        <w:t xml:space="preserve"> </w:t>
      </w:r>
    </w:p>
    <w:p w14:paraId="04962B4A" w14:textId="77777777" w:rsidR="0031533F" w:rsidRPr="00C20AD3" w:rsidRDefault="0031533F" w:rsidP="00AF7684">
      <w:pPr>
        <w:pStyle w:val="ListParagraph"/>
        <w:numPr>
          <w:ilvl w:val="0"/>
          <w:numId w:val="18"/>
        </w:numPr>
        <w:tabs>
          <w:tab w:val="left" w:pos="142"/>
        </w:tabs>
        <w:spacing w:after="0"/>
        <w:ind w:left="142" w:hanging="426"/>
        <w:rPr>
          <w:rFonts w:ascii="Arial" w:hAnsi="Arial" w:cs="Arial"/>
          <w:sz w:val="24"/>
          <w:szCs w:val="24"/>
        </w:rPr>
      </w:pPr>
      <w:r w:rsidRPr="00C20AD3">
        <w:rPr>
          <w:rFonts w:ascii="Arial" w:hAnsi="Arial" w:cs="Arial"/>
          <w:sz w:val="24"/>
          <w:szCs w:val="24"/>
        </w:rPr>
        <w:t xml:space="preserve">For all the metrics we </w:t>
      </w:r>
      <w:r w:rsidR="00C5143E" w:rsidRPr="00C20AD3">
        <w:rPr>
          <w:rFonts w:ascii="Arial" w:hAnsi="Arial" w:cs="Arial"/>
          <w:sz w:val="24"/>
          <w:szCs w:val="24"/>
        </w:rPr>
        <w:t xml:space="preserve">want </w:t>
      </w:r>
      <w:r w:rsidRPr="00C20AD3">
        <w:rPr>
          <w:rFonts w:ascii="Arial" w:hAnsi="Arial" w:cs="Arial"/>
          <w:sz w:val="24"/>
          <w:szCs w:val="24"/>
        </w:rPr>
        <w:t>to include, as far as practicable, all undergraduate students that are taught by the provider.</w:t>
      </w:r>
      <w:r w:rsidRPr="005B77E0">
        <w:rPr>
          <w:rStyle w:val="FootnoteReference"/>
          <w:rFonts w:cs="Arial"/>
        </w:rPr>
        <w:footnoteReference w:id="27"/>
      </w:r>
      <w:r w:rsidRPr="00C20AD3">
        <w:rPr>
          <w:rFonts w:ascii="Arial" w:hAnsi="Arial" w:cs="Arial"/>
          <w:sz w:val="24"/>
          <w:szCs w:val="24"/>
        </w:rPr>
        <w:t xml:space="preserve"> In order to recognise the importance of the environment within which the teaching occurs this would mean that students registered at one </w:t>
      </w:r>
      <w:r w:rsidR="00C5143E" w:rsidRPr="00C20AD3">
        <w:rPr>
          <w:rFonts w:ascii="Arial" w:hAnsi="Arial" w:cs="Arial"/>
          <w:sz w:val="24"/>
          <w:szCs w:val="24"/>
        </w:rPr>
        <w:t xml:space="preserve">provider </w:t>
      </w:r>
      <w:r w:rsidRPr="00C20AD3">
        <w:rPr>
          <w:rFonts w:ascii="Arial" w:hAnsi="Arial" w:cs="Arial"/>
          <w:sz w:val="24"/>
          <w:szCs w:val="24"/>
        </w:rPr>
        <w:t>but taught at another would not contribute to the metrics of the register</w:t>
      </w:r>
      <w:r w:rsidR="00E81E9B" w:rsidRPr="00C20AD3">
        <w:rPr>
          <w:rFonts w:ascii="Arial" w:hAnsi="Arial" w:cs="Arial"/>
          <w:sz w:val="24"/>
          <w:szCs w:val="24"/>
        </w:rPr>
        <w:t>ing</w:t>
      </w:r>
      <w:r w:rsidRPr="00C20AD3">
        <w:rPr>
          <w:rFonts w:ascii="Arial" w:hAnsi="Arial" w:cs="Arial"/>
          <w:sz w:val="24"/>
          <w:szCs w:val="24"/>
        </w:rPr>
        <w:t xml:space="preserve"> institution. For the reasons outlined in </w:t>
      </w:r>
      <w:r w:rsidRPr="00C20AD3">
        <w:rPr>
          <w:rFonts w:ascii="Arial" w:hAnsi="Arial" w:cs="Arial"/>
          <w:b/>
          <w:sz w:val="24"/>
          <w:szCs w:val="24"/>
        </w:rPr>
        <w:t>Annex C</w:t>
      </w:r>
      <w:r w:rsidRPr="00C20AD3">
        <w:rPr>
          <w:rFonts w:ascii="Arial" w:hAnsi="Arial" w:cs="Arial"/>
          <w:sz w:val="24"/>
          <w:szCs w:val="24"/>
        </w:rPr>
        <w:t xml:space="preserve">, there would be some exceptions to this, which are consistent with the coverage of the UK PIs: </w:t>
      </w:r>
    </w:p>
    <w:p w14:paraId="100766AA" w14:textId="77777777" w:rsidR="0031533F" w:rsidRPr="0030080C" w:rsidRDefault="0031533F" w:rsidP="00AF7684">
      <w:pPr>
        <w:pStyle w:val="ListParagraph"/>
        <w:numPr>
          <w:ilvl w:val="0"/>
          <w:numId w:val="24"/>
        </w:numPr>
        <w:spacing w:after="0" w:line="240" w:lineRule="auto"/>
        <w:ind w:left="426" w:hanging="426"/>
        <w:rPr>
          <w:rFonts w:ascii="Arial" w:hAnsi="Arial" w:cs="Arial"/>
          <w:sz w:val="24"/>
          <w:szCs w:val="24"/>
        </w:rPr>
      </w:pPr>
      <w:r w:rsidRPr="0030080C">
        <w:rPr>
          <w:rFonts w:ascii="Arial" w:hAnsi="Arial" w:cs="Arial"/>
          <w:sz w:val="24"/>
          <w:szCs w:val="24"/>
        </w:rPr>
        <w:t>The non-continuation and employment</w:t>
      </w:r>
      <w:r w:rsidR="00C5143E">
        <w:rPr>
          <w:rFonts w:ascii="Arial" w:hAnsi="Arial" w:cs="Arial"/>
          <w:sz w:val="24"/>
          <w:szCs w:val="24"/>
        </w:rPr>
        <w:t>/destination</w:t>
      </w:r>
      <w:r w:rsidRPr="0030080C">
        <w:rPr>
          <w:rFonts w:ascii="Arial" w:hAnsi="Arial" w:cs="Arial"/>
          <w:sz w:val="24"/>
          <w:szCs w:val="24"/>
        </w:rPr>
        <w:t xml:space="preserve"> metrics would include only UK domiciled students. </w:t>
      </w:r>
    </w:p>
    <w:p w14:paraId="06FA44C1" w14:textId="78FD58A8" w:rsidR="0031533F" w:rsidRPr="0030080C" w:rsidRDefault="0031533F" w:rsidP="00AF7684">
      <w:pPr>
        <w:pStyle w:val="ListParagraph"/>
        <w:numPr>
          <w:ilvl w:val="0"/>
          <w:numId w:val="24"/>
        </w:numPr>
        <w:spacing w:after="0" w:line="240" w:lineRule="auto"/>
        <w:ind w:left="426" w:hanging="426"/>
        <w:rPr>
          <w:rFonts w:ascii="Arial" w:hAnsi="Arial" w:cs="Arial"/>
          <w:sz w:val="24"/>
          <w:szCs w:val="24"/>
        </w:rPr>
      </w:pPr>
      <w:r w:rsidRPr="0030080C">
        <w:rPr>
          <w:rFonts w:ascii="Arial" w:hAnsi="Arial" w:cs="Arial"/>
          <w:sz w:val="24"/>
          <w:szCs w:val="24"/>
        </w:rPr>
        <w:t>The non-continuation metric for part-time students would include only those on ‘high intensity</w:t>
      </w:r>
      <w:r w:rsidR="003021C8">
        <w:rPr>
          <w:rFonts w:ascii="Arial" w:hAnsi="Arial" w:cs="Arial"/>
          <w:sz w:val="24"/>
          <w:szCs w:val="24"/>
        </w:rPr>
        <w:t>’</w:t>
      </w:r>
      <w:r w:rsidR="00C42861" w:rsidRPr="005B77E0">
        <w:rPr>
          <w:rStyle w:val="FootnoteReference"/>
          <w:rFonts w:cs="Arial"/>
        </w:rPr>
        <w:footnoteReference w:id="28"/>
      </w:r>
      <w:r w:rsidRPr="0030080C">
        <w:rPr>
          <w:rFonts w:ascii="Arial" w:hAnsi="Arial" w:cs="Arial"/>
          <w:sz w:val="24"/>
          <w:szCs w:val="24"/>
        </w:rPr>
        <w:t xml:space="preserve"> first degree level programmes.</w:t>
      </w:r>
    </w:p>
    <w:p w14:paraId="4A2C4E0B" w14:textId="77777777" w:rsidR="0031533F" w:rsidRDefault="0031533F" w:rsidP="0031533F">
      <w:pPr>
        <w:spacing w:after="0"/>
        <w:rPr>
          <w:rFonts w:cs="Arial"/>
        </w:rPr>
      </w:pPr>
    </w:p>
    <w:p w14:paraId="6B5FF039" w14:textId="7FA56A53" w:rsidR="00C20AD3" w:rsidRDefault="0031533F" w:rsidP="00AF7684">
      <w:pPr>
        <w:pStyle w:val="ListParagraph"/>
        <w:numPr>
          <w:ilvl w:val="0"/>
          <w:numId w:val="18"/>
        </w:numPr>
        <w:tabs>
          <w:tab w:val="left" w:pos="142"/>
        </w:tabs>
        <w:spacing w:after="0"/>
        <w:ind w:left="142" w:hanging="426"/>
        <w:rPr>
          <w:rFonts w:ascii="Arial" w:hAnsi="Arial" w:cs="Arial"/>
          <w:sz w:val="24"/>
          <w:szCs w:val="24"/>
        </w:rPr>
      </w:pPr>
      <w:r w:rsidRPr="00C20AD3">
        <w:rPr>
          <w:rFonts w:ascii="Arial" w:hAnsi="Arial" w:cs="Arial"/>
          <w:sz w:val="24"/>
          <w:szCs w:val="24"/>
        </w:rPr>
        <w:t xml:space="preserve">In developing the proposals, we considered whether the metrics should be reported on an annual basis (as in the UK PIs) or averaged over multiple years. </w:t>
      </w:r>
      <w:r w:rsidR="00301199">
        <w:rPr>
          <w:rFonts w:ascii="Arial" w:hAnsi="Arial" w:cs="Arial"/>
          <w:sz w:val="24"/>
          <w:szCs w:val="24"/>
        </w:rPr>
        <w:t>T</w:t>
      </w:r>
      <w:r w:rsidRPr="00C20AD3">
        <w:rPr>
          <w:rFonts w:ascii="Arial" w:hAnsi="Arial" w:cs="Arial"/>
          <w:sz w:val="24"/>
          <w:szCs w:val="24"/>
        </w:rPr>
        <w:t xml:space="preserve">here are clear advantages to using multiple years’ data. This reduces the number of student cohorts that are too small to report on, increases the statistical significance of variances from the benchmarks and provides a more stable view of the provider’s performance over a period of time than would a single year’s data. We therefore propose that metrics will be averaged over the </w:t>
      </w:r>
      <w:r w:rsidRPr="00C20AD3">
        <w:rPr>
          <w:rFonts w:ascii="Arial" w:hAnsi="Arial" w:cs="Arial"/>
          <w:b/>
          <w:sz w:val="24"/>
          <w:szCs w:val="24"/>
        </w:rPr>
        <w:t xml:space="preserve">last three </w:t>
      </w:r>
      <w:r w:rsidR="002A473D">
        <w:rPr>
          <w:rFonts w:ascii="Arial" w:hAnsi="Arial" w:cs="Arial"/>
          <w:b/>
          <w:sz w:val="24"/>
          <w:szCs w:val="24"/>
        </w:rPr>
        <w:t>years of</w:t>
      </w:r>
      <w:r w:rsidRPr="00C20AD3">
        <w:rPr>
          <w:rFonts w:ascii="Arial" w:hAnsi="Arial" w:cs="Arial"/>
          <w:sz w:val="24"/>
          <w:szCs w:val="24"/>
        </w:rPr>
        <w:t xml:space="preserve"> available data.</w:t>
      </w:r>
    </w:p>
    <w:p w14:paraId="38AA5DB6" w14:textId="77777777" w:rsidR="00C20AD3" w:rsidRPr="00C20AD3" w:rsidRDefault="00C20AD3" w:rsidP="00C20AD3">
      <w:pPr>
        <w:pStyle w:val="ListParagraph"/>
        <w:tabs>
          <w:tab w:val="left" w:pos="142"/>
        </w:tabs>
        <w:spacing w:after="0"/>
        <w:ind w:left="142"/>
        <w:rPr>
          <w:rFonts w:ascii="Arial" w:hAnsi="Arial" w:cs="Arial"/>
          <w:sz w:val="24"/>
          <w:szCs w:val="24"/>
        </w:rPr>
      </w:pPr>
    </w:p>
    <w:p w14:paraId="1D702E9A" w14:textId="77777777" w:rsidR="00C20AD3" w:rsidRPr="00C20AD3" w:rsidRDefault="0031533F" w:rsidP="00AF7684">
      <w:pPr>
        <w:pStyle w:val="ListParagraph"/>
        <w:numPr>
          <w:ilvl w:val="0"/>
          <w:numId w:val="18"/>
        </w:numPr>
        <w:tabs>
          <w:tab w:val="left" w:pos="142"/>
        </w:tabs>
        <w:spacing w:after="0"/>
        <w:ind w:left="142" w:hanging="426"/>
        <w:rPr>
          <w:rFonts w:ascii="Arial" w:hAnsi="Arial" w:cs="Arial"/>
          <w:sz w:val="24"/>
          <w:szCs w:val="24"/>
        </w:rPr>
      </w:pPr>
      <w:r w:rsidRPr="00C20AD3">
        <w:rPr>
          <w:rFonts w:ascii="Arial" w:hAnsi="Arial" w:cs="Arial"/>
          <w:sz w:val="24"/>
          <w:szCs w:val="24"/>
        </w:rPr>
        <w:t xml:space="preserve">In addition to the three year averages, we propose to report the flags for individual years within the period. This will provide further granularity to </w:t>
      </w:r>
      <w:r w:rsidR="00C5143E" w:rsidRPr="00C20AD3">
        <w:rPr>
          <w:rFonts w:ascii="Arial" w:hAnsi="Arial" w:cs="Arial"/>
          <w:sz w:val="24"/>
          <w:szCs w:val="24"/>
        </w:rPr>
        <w:t>assessors</w:t>
      </w:r>
      <w:r w:rsidRPr="00C20AD3">
        <w:rPr>
          <w:rFonts w:ascii="Arial" w:hAnsi="Arial" w:cs="Arial"/>
          <w:sz w:val="24"/>
          <w:szCs w:val="24"/>
        </w:rPr>
        <w:t xml:space="preserve"> where scores are close to the margins</w:t>
      </w:r>
      <w:r w:rsidR="00E81E9B" w:rsidRPr="00C20AD3">
        <w:rPr>
          <w:rFonts w:ascii="Arial" w:hAnsi="Arial" w:cs="Arial"/>
          <w:sz w:val="24"/>
          <w:szCs w:val="24"/>
        </w:rPr>
        <w:t xml:space="preserve"> but</w:t>
      </w:r>
      <w:r w:rsidRPr="00C20AD3">
        <w:rPr>
          <w:rFonts w:ascii="Arial" w:hAnsi="Arial" w:cs="Arial"/>
          <w:sz w:val="24"/>
          <w:szCs w:val="24"/>
        </w:rPr>
        <w:t xml:space="preserve"> </w:t>
      </w:r>
      <w:r w:rsidR="00E81E9B" w:rsidRPr="00C20AD3">
        <w:rPr>
          <w:rFonts w:ascii="Arial" w:hAnsi="Arial" w:cs="Arial"/>
          <w:sz w:val="24"/>
          <w:szCs w:val="24"/>
        </w:rPr>
        <w:t xml:space="preserve">the direction of any </w:t>
      </w:r>
      <w:r w:rsidRPr="00C20AD3">
        <w:rPr>
          <w:rFonts w:ascii="Arial" w:hAnsi="Arial" w:cs="Arial"/>
          <w:sz w:val="24"/>
          <w:szCs w:val="24"/>
        </w:rPr>
        <w:t>changes over time will not</w:t>
      </w:r>
      <w:r w:rsidR="00E81E9B" w:rsidRPr="00C20AD3">
        <w:rPr>
          <w:rFonts w:ascii="Arial" w:hAnsi="Arial" w:cs="Arial"/>
          <w:sz w:val="24"/>
          <w:szCs w:val="24"/>
        </w:rPr>
        <w:t xml:space="preserve"> itself</w:t>
      </w:r>
      <w:r w:rsidRPr="00C20AD3">
        <w:rPr>
          <w:rFonts w:ascii="Arial" w:hAnsi="Arial" w:cs="Arial"/>
          <w:sz w:val="24"/>
          <w:szCs w:val="24"/>
        </w:rPr>
        <w:t xml:space="preserve"> form the basis of </w:t>
      </w:r>
      <w:r w:rsidR="00C5143E" w:rsidRPr="00C20AD3">
        <w:rPr>
          <w:rFonts w:ascii="Arial" w:hAnsi="Arial" w:cs="Arial"/>
          <w:sz w:val="24"/>
          <w:szCs w:val="24"/>
        </w:rPr>
        <w:t xml:space="preserve">the </w:t>
      </w:r>
      <w:r w:rsidRPr="00C20AD3">
        <w:rPr>
          <w:rFonts w:ascii="Arial" w:hAnsi="Arial" w:cs="Arial"/>
          <w:sz w:val="24"/>
          <w:szCs w:val="24"/>
        </w:rPr>
        <w:t xml:space="preserve">assessment, rather performance </w:t>
      </w:r>
      <w:r w:rsidR="00E81E9B" w:rsidRPr="00C20AD3">
        <w:rPr>
          <w:rFonts w:ascii="Arial" w:hAnsi="Arial" w:cs="Arial"/>
          <w:sz w:val="24"/>
          <w:szCs w:val="24"/>
        </w:rPr>
        <w:t>based on the three-year average</w:t>
      </w:r>
      <w:r w:rsidRPr="00C20AD3">
        <w:rPr>
          <w:rFonts w:ascii="Arial" w:hAnsi="Arial" w:cs="Arial"/>
          <w:sz w:val="24"/>
          <w:szCs w:val="24"/>
        </w:rPr>
        <w:t xml:space="preserve">.  </w:t>
      </w:r>
    </w:p>
    <w:p w14:paraId="7AD9E2F6" w14:textId="77777777" w:rsidR="00C20AD3" w:rsidRPr="00C20AD3" w:rsidRDefault="00C20AD3" w:rsidP="00C20AD3">
      <w:pPr>
        <w:pStyle w:val="ListParagraph"/>
        <w:tabs>
          <w:tab w:val="left" w:pos="142"/>
        </w:tabs>
        <w:spacing w:after="0"/>
        <w:ind w:left="142"/>
        <w:rPr>
          <w:rFonts w:ascii="Arial" w:hAnsi="Arial" w:cs="Arial"/>
          <w:sz w:val="24"/>
          <w:szCs w:val="24"/>
        </w:rPr>
      </w:pPr>
    </w:p>
    <w:p w14:paraId="087B6ECA" w14:textId="77777777" w:rsidR="00C20AD3" w:rsidRPr="00C20AD3" w:rsidRDefault="0031533F" w:rsidP="00AF7684">
      <w:pPr>
        <w:pStyle w:val="ListParagraph"/>
        <w:numPr>
          <w:ilvl w:val="0"/>
          <w:numId w:val="18"/>
        </w:numPr>
        <w:tabs>
          <w:tab w:val="left" w:pos="142"/>
        </w:tabs>
        <w:spacing w:after="0"/>
        <w:ind w:left="142" w:hanging="426"/>
        <w:rPr>
          <w:rFonts w:ascii="Arial" w:hAnsi="Arial" w:cs="Arial"/>
          <w:sz w:val="24"/>
          <w:szCs w:val="24"/>
        </w:rPr>
      </w:pPr>
      <w:r w:rsidRPr="00C20AD3">
        <w:rPr>
          <w:rFonts w:ascii="Arial" w:hAnsi="Arial" w:cs="Arial"/>
          <w:b/>
          <w:sz w:val="24"/>
          <w:szCs w:val="24"/>
        </w:rPr>
        <w:t>Annex C</w:t>
      </w:r>
      <w:r w:rsidRPr="00C20AD3">
        <w:rPr>
          <w:rFonts w:ascii="Arial" w:hAnsi="Arial" w:cs="Arial"/>
          <w:sz w:val="24"/>
          <w:szCs w:val="24"/>
        </w:rPr>
        <w:t xml:space="preserve"> includes further details of the advantages of averaging over three years, and indicates which cohorts will be covered by each of the metrics </w:t>
      </w:r>
    </w:p>
    <w:p w14:paraId="13E4F207" w14:textId="77777777" w:rsidR="00C20AD3" w:rsidRPr="00C20AD3" w:rsidRDefault="00C20AD3" w:rsidP="00C20AD3">
      <w:pPr>
        <w:pStyle w:val="ListParagraph"/>
        <w:tabs>
          <w:tab w:val="left" w:pos="142"/>
        </w:tabs>
        <w:spacing w:after="0"/>
        <w:ind w:left="142"/>
        <w:rPr>
          <w:rFonts w:ascii="Arial" w:hAnsi="Arial" w:cs="Arial"/>
          <w:sz w:val="24"/>
          <w:szCs w:val="24"/>
        </w:rPr>
      </w:pPr>
    </w:p>
    <w:p w14:paraId="539D1D02" w14:textId="13E870A3" w:rsidR="002E243C" w:rsidRDefault="002E243C" w:rsidP="00AF7684">
      <w:pPr>
        <w:pStyle w:val="ListParagraph"/>
        <w:numPr>
          <w:ilvl w:val="0"/>
          <w:numId w:val="18"/>
        </w:numPr>
        <w:tabs>
          <w:tab w:val="left" w:pos="142"/>
        </w:tabs>
        <w:spacing w:after="0"/>
        <w:ind w:left="142" w:hanging="426"/>
        <w:rPr>
          <w:rFonts w:ascii="Arial" w:hAnsi="Arial" w:cs="Arial"/>
          <w:sz w:val="24"/>
          <w:szCs w:val="24"/>
        </w:rPr>
      </w:pPr>
      <w:r w:rsidRPr="00C20AD3">
        <w:rPr>
          <w:rFonts w:ascii="Arial" w:hAnsi="Arial" w:cs="Arial"/>
          <w:sz w:val="24"/>
          <w:szCs w:val="24"/>
        </w:rPr>
        <w:t xml:space="preserve">We propose in </w:t>
      </w:r>
      <w:r w:rsidRPr="00C20AD3">
        <w:rPr>
          <w:rFonts w:ascii="Arial" w:hAnsi="Arial" w:cs="Arial"/>
          <w:b/>
          <w:sz w:val="24"/>
          <w:szCs w:val="24"/>
        </w:rPr>
        <w:t>Chapter 4: The Assessment Process</w:t>
      </w:r>
      <w:r w:rsidRPr="00C20AD3">
        <w:rPr>
          <w:rFonts w:ascii="Arial" w:hAnsi="Arial" w:cs="Arial"/>
          <w:sz w:val="24"/>
          <w:szCs w:val="24"/>
        </w:rPr>
        <w:t xml:space="preserve"> that where a provider does not have the full three years data for any of the metrics, the duration of th</w:t>
      </w:r>
      <w:r w:rsidR="00E01877">
        <w:rPr>
          <w:rFonts w:ascii="Arial" w:hAnsi="Arial" w:cs="Arial"/>
          <w:sz w:val="24"/>
          <w:szCs w:val="24"/>
        </w:rPr>
        <w:t>e TEF award will be reduced (</w:t>
      </w:r>
      <w:r w:rsidR="00E01877" w:rsidRPr="00E01877">
        <w:rPr>
          <w:rFonts w:ascii="Arial" w:hAnsi="Arial" w:cs="Arial"/>
          <w:b/>
          <w:sz w:val="24"/>
          <w:szCs w:val="24"/>
        </w:rPr>
        <w:t>Question 11</w:t>
      </w:r>
      <w:r w:rsidRPr="00C20AD3">
        <w:rPr>
          <w:rFonts w:ascii="Arial" w:hAnsi="Arial" w:cs="Arial"/>
          <w:sz w:val="24"/>
          <w:szCs w:val="24"/>
        </w:rPr>
        <w:t xml:space="preserve">). </w:t>
      </w:r>
    </w:p>
    <w:p w14:paraId="6F9189A0" w14:textId="77777777" w:rsidR="00301199" w:rsidRDefault="00301199" w:rsidP="00301199">
      <w:pPr>
        <w:pStyle w:val="ListParagraph"/>
        <w:tabs>
          <w:tab w:val="left" w:pos="142"/>
        </w:tabs>
        <w:spacing w:after="0"/>
        <w:ind w:left="142"/>
        <w:rPr>
          <w:rFonts w:ascii="Arial" w:hAnsi="Arial" w:cs="Arial"/>
          <w:sz w:val="24"/>
          <w:szCs w:val="24"/>
        </w:rPr>
      </w:pPr>
    </w:p>
    <w:p w14:paraId="3B53CF8E" w14:textId="3E77EF9E" w:rsidR="00301199" w:rsidRPr="00C20AD3" w:rsidRDefault="00DB7C87" w:rsidP="00DB7C87">
      <w:pPr>
        <w:pStyle w:val="ListParagraph"/>
        <w:numPr>
          <w:ilvl w:val="0"/>
          <w:numId w:val="18"/>
        </w:numPr>
        <w:tabs>
          <w:tab w:val="left" w:pos="142"/>
        </w:tabs>
        <w:spacing w:after="0"/>
        <w:ind w:left="142" w:hanging="426"/>
        <w:rPr>
          <w:rFonts w:ascii="Arial" w:hAnsi="Arial" w:cs="Arial"/>
          <w:sz w:val="24"/>
          <w:szCs w:val="24"/>
        </w:rPr>
      </w:pPr>
      <w:r w:rsidRPr="00DB7C87">
        <w:rPr>
          <w:rFonts w:ascii="Arial" w:hAnsi="Arial" w:cs="Arial"/>
          <w:sz w:val="24"/>
          <w:szCs w:val="24"/>
        </w:rPr>
        <w:t xml:space="preserve">All metrics used in TEF will be subject to appropriate reporting thresholds and minimum coverage checks to ensure data are statistically robust and </w:t>
      </w:r>
      <w:r>
        <w:rPr>
          <w:rFonts w:ascii="Arial" w:hAnsi="Arial" w:cs="Arial"/>
          <w:sz w:val="24"/>
          <w:szCs w:val="24"/>
        </w:rPr>
        <w:t>meet data protection standards.</w:t>
      </w:r>
    </w:p>
    <w:p w14:paraId="4D6ECA04" w14:textId="77777777" w:rsidR="0031533F" w:rsidRDefault="0031533F" w:rsidP="0031533F">
      <w:pPr>
        <w:spacing w:after="0"/>
        <w:rPr>
          <w:rFonts w:cs="Arial"/>
        </w:rPr>
      </w:pPr>
    </w:p>
    <w:p w14:paraId="2E48D1B2" w14:textId="5046CB57" w:rsidR="0031533F" w:rsidRPr="00220699" w:rsidRDefault="0031533F" w:rsidP="0031533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Arial"/>
          <w:b/>
        </w:rPr>
      </w:pPr>
      <w:r w:rsidRPr="00220699">
        <w:rPr>
          <w:rFonts w:cs="Arial"/>
          <w:b/>
        </w:rPr>
        <w:t>Q</w:t>
      </w:r>
      <w:r w:rsidR="00B53A16">
        <w:rPr>
          <w:rFonts w:cs="Arial"/>
          <w:b/>
        </w:rPr>
        <w:t>4</w:t>
      </w:r>
      <w:r w:rsidRPr="00220699">
        <w:rPr>
          <w:rFonts w:cs="Arial"/>
          <w:b/>
        </w:rPr>
        <w:t>: Do you agree that TEF metrics should be averaged over the most recent three years of available data</w:t>
      </w:r>
      <w:r w:rsidR="00C5143E">
        <w:rPr>
          <w:rFonts w:cs="Arial"/>
          <w:b/>
        </w:rPr>
        <w:t>?</w:t>
      </w:r>
      <w:r w:rsidRPr="00220699">
        <w:rPr>
          <w:rFonts w:cs="Arial"/>
          <w:b/>
        </w:rPr>
        <w:t xml:space="preserve"> </w:t>
      </w:r>
      <w:r w:rsidR="00C5143E">
        <w:rPr>
          <w:rFonts w:cs="Arial"/>
          <w:b/>
        </w:rPr>
        <w:t>P</w:t>
      </w:r>
      <w:r w:rsidRPr="00220699">
        <w:rPr>
          <w:rFonts w:cs="Arial"/>
          <w:b/>
        </w:rPr>
        <w:t>lease outline your reasons and suggest alternatives</w:t>
      </w:r>
      <w:r w:rsidR="0082164F">
        <w:rPr>
          <w:rFonts w:cs="Arial"/>
          <w:b/>
        </w:rPr>
        <w:t>.</w:t>
      </w:r>
      <w:r w:rsidRPr="00220699">
        <w:rPr>
          <w:rFonts w:cs="Arial"/>
          <w:b/>
        </w:rPr>
        <w:t xml:space="preserve"> </w:t>
      </w:r>
    </w:p>
    <w:p w14:paraId="28781A4C" w14:textId="77777777" w:rsidR="0031533F" w:rsidRDefault="0031533F" w:rsidP="00301199">
      <w:pPr>
        <w:spacing w:after="0"/>
      </w:pPr>
    </w:p>
    <w:p w14:paraId="5674BAA2" w14:textId="77777777" w:rsidR="00B873AB" w:rsidRDefault="00B873AB" w:rsidP="00301199">
      <w:pPr>
        <w:spacing w:after="0"/>
      </w:pPr>
    </w:p>
    <w:p w14:paraId="5728C785" w14:textId="77777777" w:rsidR="00B873AB" w:rsidRDefault="00B873AB" w:rsidP="00301199">
      <w:pPr>
        <w:spacing w:after="0"/>
      </w:pPr>
    </w:p>
    <w:p w14:paraId="527B1E05" w14:textId="77777777" w:rsidR="00B873AB" w:rsidRDefault="00B873AB" w:rsidP="00301199">
      <w:pPr>
        <w:spacing w:after="0"/>
      </w:pPr>
    </w:p>
    <w:p w14:paraId="583B8473" w14:textId="77777777" w:rsidR="00B873AB" w:rsidRPr="006A0B80" w:rsidRDefault="00B873AB" w:rsidP="00301199">
      <w:pPr>
        <w:spacing w:after="0"/>
      </w:pPr>
    </w:p>
    <w:p w14:paraId="2295AB7B" w14:textId="77777777" w:rsidR="0031533F" w:rsidRDefault="0031533F" w:rsidP="00FD0E93">
      <w:pPr>
        <w:pStyle w:val="Heading3"/>
        <w:spacing w:after="0"/>
        <w:ind w:hanging="284"/>
        <w:rPr>
          <w:rFonts w:cs="Arial"/>
        </w:rPr>
      </w:pPr>
      <w:bookmarkStart w:id="51" w:name="_Toc450147991"/>
      <w:bookmarkStart w:id="52" w:name="_Toc450886561"/>
      <w:r w:rsidRPr="0093735C">
        <w:lastRenderedPageBreak/>
        <w:t>Taking account of the diversity of students</w:t>
      </w:r>
      <w:bookmarkEnd w:id="51"/>
      <w:bookmarkEnd w:id="52"/>
      <w:r w:rsidRPr="0093735C">
        <w:rPr>
          <w:rFonts w:cs="Arial"/>
          <w:bCs w:val="0"/>
          <w:color w:val="auto"/>
          <w:sz w:val="24"/>
          <w:szCs w:val="24"/>
        </w:rPr>
        <w:t xml:space="preserve"> </w:t>
      </w:r>
    </w:p>
    <w:p w14:paraId="176A25CD" w14:textId="77777777" w:rsidR="00C20AD3" w:rsidRDefault="0031533F" w:rsidP="00AF7684">
      <w:pPr>
        <w:pStyle w:val="ListParagraph"/>
        <w:numPr>
          <w:ilvl w:val="0"/>
          <w:numId w:val="18"/>
        </w:numPr>
        <w:tabs>
          <w:tab w:val="left" w:pos="142"/>
        </w:tabs>
        <w:spacing w:after="0"/>
        <w:ind w:left="142" w:hanging="426"/>
        <w:rPr>
          <w:rFonts w:ascii="Arial" w:hAnsi="Arial" w:cs="Arial"/>
          <w:sz w:val="24"/>
          <w:szCs w:val="24"/>
        </w:rPr>
      </w:pPr>
      <w:r w:rsidRPr="00C20AD3">
        <w:rPr>
          <w:rFonts w:ascii="Arial" w:hAnsi="Arial" w:cs="Arial"/>
          <w:sz w:val="24"/>
          <w:szCs w:val="24"/>
        </w:rPr>
        <w:t xml:space="preserve">For each provider, there should be separate metrics for their full-time and part-time students. Within each of these groups, metrics covering all undergraduate students at a provider may mask differences between student groups which would be of interest to the TEF assessors. We propose that in addition to the metrics covering all full-time and all part-time undergraduate students, the metrics should be broken down or ‘split’ by key student characteristics and types of provision. This is intended to help the assessors understand what contributes to the overall metric, and to take account of any significant differences in the quality of teaching and learning experienced by different student groups within the provider. Each of the splits will be benchmarked against other students in the sector with the same characteristics. </w:t>
      </w:r>
    </w:p>
    <w:p w14:paraId="4672C899" w14:textId="77777777" w:rsidR="00C20AD3" w:rsidRDefault="00C20AD3" w:rsidP="00C20AD3">
      <w:pPr>
        <w:pStyle w:val="ListParagraph"/>
        <w:tabs>
          <w:tab w:val="left" w:pos="142"/>
        </w:tabs>
        <w:spacing w:after="0"/>
        <w:ind w:left="142"/>
        <w:rPr>
          <w:rFonts w:ascii="Arial" w:hAnsi="Arial" w:cs="Arial"/>
          <w:sz w:val="24"/>
          <w:szCs w:val="24"/>
        </w:rPr>
      </w:pPr>
    </w:p>
    <w:p w14:paraId="4527E61A" w14:textId="5E38DC92" w:rsidR="0031533F" w:rsidRPr="00C20AD3" w:rsidRDefault="0031533F" w:rsidP="00AF7684">
      <w:pPr>
        <w:pStyle w:val="ListParagraph"/>
        <w:numPr>
          <w:ilvl w:val="0"/>
          <w:numId w:val="18"/>
        </w:numPr>
        <w:tabs>
          <w:tab w:val="left" w:pos="142"/>
        </w:tabs>
        <w:spacing w:after="0"/>
        <w:ind w:left="142" w:hanging="426"/>
        <w:rPr>
          <w:rFonts w:ascii="Arial" w:hAnsi="Arial" w:cs="Arial"/>
          <w:sz w:val="24"/>
          <w:szCs w:val="24"/>
        </w:rPr>
      </w:pPr>
      <w:r w:rsidRPr="00C20AD3">
        <w:rPr>
          <w:rFonts w:ascii="Arial" w:hAnsi="Arial" w:cs="Arial"/>
          <w:sz w:val="24"/>
          <w:szCs w:val="24"/>
        </w:rPr>
        <w:t>In ‘splitting’ the metrics, we aim to strike a balance between highlighting important differences, and maintaining large enough student cohorts to produce robust metrics. To achieve this balance</w:t>
      </w:r>
      <w:r w:rsidR="002C6669" w:rsidRPr="00C20AD3">
        <w:rPr>
          <w:rFonts w:ascii="Arial" w:hAnsi="Arial" w:cs="Arial"/>
          <w:sz w:val="24"/>
          <w:szCs w:val="24"/>
        </w:rPr>
        <w:t>,</w:t>
      </w:r>
      <w:r w:rsidRPr="00C20AD3">
        <w:rPr>
          <w:rFonts w:ascii="Arial" w:hAnsi="Arial" w:cs="Arial"/>
          <w:sz w:val="24"/>
          <w:szCs w:val="24"/>
        </w:rPr>
        <w:t xml:space="preserve"> we propose that the full-time and part-time metrics will each be split by the following:</w:t>
      </w:r>
    </w:p>
    <w:p w14:paraId="26B33A08" w14:textId="77777777" w:rsidR="0031533F" w:rsidRPr="00872454" w:rsidRDefault="0031533F" w:rsidP="00AF7684">
      <w:pPr>
        <w:pStyle w:val="ListParagraph"/>
        <w:numPr>
          <w:ilvl w:val="0"/>
          <w:numId w:val="11"/>
        </w:numPr>
        <w:spacing w:after="0" w:line="300" w:lineRule="atLeast"/>
        <w:ind w:left="426" w:hanging="284"/>
        <w:rPr>
          <w:rFonts w:ascii="Arial" w:hAnsi="Arial" w:cs="Arial"/>
          <w:sz w:val="24"/>
          <w:szCs w:val="24"/>
        </w:rPr>
      </w:pPr>
      <w:r w:rsidRPr="00B177D8">
        <w:rPr>
          <w:rFonts w:ascii="Arial" w:hAnsi="Arial" w:cs="Arial"/>
          <w:b/>
          <w:sz w:val="24"/>
          <w:szCs w:val="24"/>
        </w:rPr>
        <w:t>Level of study</w:t>
      </w:r>
      <w:r w:rsidRPr="00872454">
        <w:rPr>
          <w:rFonts w:ascii="Arial" w:hAnsi="Arial" w:cs="Arial"/>
          <w:sz w:val="24"/>
          <w:szCs w:val="24"/>
        </w:rPr>
        <w:t xml:space="preserve">: split between first degree and other undergraduate qualifications </w:t>
      </w:r>
    </w:p>
    <w:p w14:paraId="44C5FC6E" w14:textId="77777777" w:rsidR="0031533F" w:rsidRPr="00872454" w:rsidRDefault="0031533F" w:rsidP="00AF7684">
      <w:pPr>
        <w:pStyle w:val="ListParagraph"/>
        <w:numPr>
          <w:ilvl w:val="0"/>
          <w:numId w:val="11"/>
        </w:numPr>
        <w:spacing w:after="0" w:line="300" w:lineRule="atLeast"/>
        <w:ind w:left="426" w:hanging="284"/>
        <w:rPr>
          <w:rFonts w:ascii="Arial" w:hAnsi="Arial" w:cs="Arial"/>
          <w:sz w:val="24"/>
          <w:szCs w:val="24"/>
        </w:rPr>
      </w:pPr>
      <w:r w:rsidRPr="00B177D8">
        <w:rPr>
          <w:rFonts w:ascii="Arial" w:hAnsi="Arial" w:cs="Arial"/>
          <w:b/>
          <w:sz w:val="24"/>
          <w:szCs w:val="24"/>
        </w:rPr>
        <w:t>Age</w:t>
      </w:r>
      <w:r w:rsidRPr="00872454">
        <w:rPr>
          <w:rFonts w:ascii="Arial" w:hAnsi="Arial" w:cs="Arial"/>
          <w:sz w:val="24"/>
          <w:szCs w:val="24"/>
        </w:rPr>
        <w:t>: split between young and mature students</w:t>
      </w:r>
    </w:p>
    <w:p w14:paraId="7A71D249" w14:textId="77777777" w:rsidR="0031533F" w:rsidRPr="00872454" w:rsidRDefault="0031533F" w:rsidP="00AF7684">
      <w:pPr>
        <w:pStyle w:val="ListParagraph"/>
        <w:numPr>
          <w:ilvl w:val="0"/>
          <w:numId w:val="10"/>
        </w:numPr>
        <w:spacing w:after="0" w:line="300" w:lineRule="atLeast"/>
        <w:ind w:left="426" w:hanging="284"/>
        <w:rPr>
          <w:rFonts w:ascii="Arial" w:hAnsi="Arial" w:cs="Arial"/>
          <w:sz w:val="24"/>
          <w:szCs w:val="24"/>
        </w:rPr>
      </w:pPr>
      <w:r w:rsidRPr="00B177D8">
        <w:rPr>
          <w:rFonts w:ascii="Arial" w:hAnsi="Arial" w:cs="Arial"/>
          <w:b/>
          <w:sz w:val="24"/>
          <w:szCs w:val="24"/>
        </w:rPr>
        <w:t>Participation groups</w:t>
      </w:r>
      <w:r w:rsidRPr="00872454">
        <w:rPr>
          <w:rFonts w:ascii="Arial" w:hAnsi="Arial" w:cs="Arial"/>
          <w:sz w:val="24"/>
          <w:szCs w:val="24"/>
        </w:rPr>
        <w:t>: split between POLAR quintiles 1-2 and POLAR quintiles 3-5</w:t>
      </w:r>
    </w:p>
    <w:p w14:paraId="7B9D41E9" w14:textId="77777777" w:rsidR="0031533F" w:rsidRPr="00872454" w:rsidRDefault="0031533F" w:rsidP="00AF7684">
      <w:pPr>
        <w:pStyle w:val="ListParagraph"/>
        <w:numPr>
          <w:ilvl w:val="0"/>
          <w:numId w:val="10"/>
        </w:numPr>
        <w:spacing w:after="0" w:line="300" w:lineRule="atLeast"/>
        <w:ind w:left="426" w:hanging="284"/>
        <w:rPr>
          <w:rFonts w:ascii="Arial" w:hAnsi="Arial" w:cs="Arial"/>
          <w:sz w:val="24"/>
          <w:szCs w:val="24"/>
        </w:rPr>
      </w:pPr>
      <w:r w:rsidRPr="00B177D8">
        <w:rPr>
          <w:rFonts w:ascii="Arial" w:hAnsi="Arial" w:cs="Arial"/>
          <w:b/>
          <w:sz w:val="24"/>
          <w:szCs w:val="24"/>
        </w:rPr>
        <w:t>Disability</w:t>
      </w:r>
      <w:r w:rsidRPr="00872454">
        <w:rPr>
          <w:rFonts w:ascii="Arial" w:hAnsi="Arial" w:cs="Arial"/>
          <w:sz w:val="24"/>
          <w:szCs w:val="24"/>
        </w:rPr>
        <w:t xml:space="preserve">: split between students who have and have not declared a disability </w:t>
      </w:r>
    </w:p>
    <w:p w14:paraId="5AF6908A" w14:textId="05FDE3CB" w:rsidR="0031533F" w:rsidRPr="00872454" w:rsidRDefault="0031533F" w:rsidP="00AF7684">
      <w:pPr>
        <w:pStyle w:val="ListParagraph"/>
        <w:numPr>
          <w:ilvl w:val="0"/>
          <w:numId w:val="11"/>
        </w:numPr>
        <w:spacing w:after="0" w:line="300" w:lineRule="atLeast"/>
        <w:ind w:left="426" w:hanging="284"/>
        <w:rPr>
          <w:rFonts w:ascii="Arial" w:hAnsi="Arial" w:cs="Arial"/>
          <w:sz w:val="24"/>
          <w:szCs w:val="24"/>
        </w:rPr>
      </w:pPr>
      <w:r w:rsidRPr="00B177D8">
        <w:rPr>
          <w:rFonts w:ascii="Arial" w:hAnsi="Arial" w:cs="Arial"/>
          <w:b/>
          <w:sz w:val="24"/>
          <w:szCs w:val="24"/>
        </w:rPr>
        <w:t>Ethnicity</w:t>
      </w:r>
      <w:r w:rsidRPr="00872454">
        <w:rPr>
          <w:rFonts w:ascii="Arial" w:hAnsi="Arial" w:cs="Arial"/>
          <w:sz w:val="24"/>
          <w:szCs w:val="24"/>
        </w:rPr>
        <w:t>: split between students with a white background and a B</w:t>
      </w:r>
      <w:r w:rsidR="00384E03">
        <w:rPr>
          <w:rFonts w:ascii="Arial" w:hAnsi="Arial" w:cs="Arial"/>
          <w:sz w:val="24"/>
          <w:szCs w:val="24"/>
        </w:rPr>
        <w:t xml:space="preserve">lack or </w:t>
      </w:r>
      <w:r w:rsidRPr="00872454">
        <w:rPr>
          <w:rFonts w:ascii="Arial" w:hAnsi="Arial" w:cs="Arial"/>
          <w:sz w:val="24"/>
          <w:szCs w:val="24"/>
        </w:rPr>
        <w:t>M</w:t>
      </w:r>
      <w:r w:rsidR="00384E03">
        <w:rPr>
          <w:rFonts w:ascii="Arial" w:hAnsi="Arial" w:cs="Arial"/>
          <w:sz w:val="24"/>
          <w:szCs w:val="24"/>
        </w:rPr>
        <w:t xml:space="preserve">inority </w:t>
      </w:r>
      <w:r w:rsidRPr="00872454">
        <w:rPr>
          <w:rFonts w:ascii="Arial" w:hAnsi="Arial" w:cs="Arial"/>
          <w:sz w:val="24"/>
          <w:szCs w:val="24"/>
        </w:rPr>
        <w:t>E</w:t>
      </w:r>
      <w:r w:rsidR="00384E03">
        <w:rPr>
          <w:rFonts w:ascii="Arial" w:hAnsi="Arial" w:cs="Arial"/>
          <w:sz w:val="24"/>
          <w:szCs w:val="24"/>
        </w:rPr>
        <w:t>thnic (BME)</w:t>
      </w:r>
      <w:r w:rsidRPr="00872454">
        <w:rPr>
          <w:rFonts w:ascii="Arial" w:hAnsi="Arial" w:cs="Arial"/>
          <w:sz w:val="24"/>
          <w:szCs w:val="24"/>
        </w:rPr>
        <w:t xml:space="preserve"> background. In addition, where there are significant differences </w:t>
      </w:r>
      <w:r>
        <w:rPr>
          <w:rFonts w:ascii="Arial" w:hAnsi="Arial" w:cs="Arial"/>
          <w:sz w:val="24"/>
          <w:szCs w:val="24"/>
        </w:rPr>
        <w:t>(i</w:t>
      </w:r>
      <w:r w:rsidR="001708F9">
        <w:rPr>
          <w:rFonts w:ascii="Arial" w:hAnsi="Arial" w:cs="Arial"/>
          <w:sz w:val="24"/>
          <w:szCs w:val="24"/>
        </w:rPr>
        <w:t>.</w:t>
      </w:r>
      <w:r>
        <w:rPr>
          <w:rFonts w:ascii="Arial" w:hAnsi="Arial" w:cs="Arial"/>
          <w:sz w:val="24"/>
          <w:szCs w:val="24"/>
        </w:rPr>
        <w:t>e</w:t>
      </w:r>
      <w:r w:rsidR="001708F9">
        <w:rPr>
          <w:rFonts w:ascii="Arial" w:hAnsi="Arial" w:cs="Arial"/>
          <w:sz w:val="24"/>
          <w:szCs w:val="24"/>
        </w:rPr>
        <w:t>.</w:t>
      </w:r>
      <w:r>
        <w:rPr>
          <w:rFonts w:ascii="Arial" w:hAnsi="Arial" w:cs="Arial"/>
          <w:sz w:val="24"/>
          <w:szCs w:val="24"/>
        </w:rPr>
        <w:t xml:space="preserve"> different flags) </w:t>
      </w:r>
      <w:r w:rsidRPr="00872454">
        <w:rPr>
          <w:rFonts w:ascii="Arial" w:hAnsi="Arial" w:cs="Arial"/>
          <w:sz w:val="24"/>
          <w:szCs w:val="24"/>
        </w:rPr>
        <w:t xml:space="preserve">within the BME group, these will also be reported </w:t>
      </w:r>
    </w:p>
    <w:p w14:paraId="4013D294" w14:textId="7FA6218B" w:rsidR="0031533F" w:rsidRPr="00872454" w:rsidRDefault="0031533F" w:rsidP="00AF7684">
      <w:pPr>
        <w:pStyle w:val="ListParagraph"/>
        <w:numPr>
          <w:ilvl w:val="0"/>
          <w:numId w:val="11"/>
        </w:numPr>
        <w:spacing w:after="0" w:line="300" w:lineRule="atLeast"/>
        <w:ind w:left="426" w:hanging="284"/>
        <w:rPr>
          <w:rFonts w:ascii="Arial" w:hAnsi="Arial" w:cs="Arial"/>
          <w:sz w:val="24"/>
          <w:szCs w:val="24"/>
        </w:rPr>
      </w:pPr>
      <w:r w:rsidRPr="00B177D8">
        <w:rPr>
          <w:rFonts w:ascii="Arial" w:hAnsi="Arial" w:cs="Arial"/>
          <w:b/>
          <w:sz w:val="24"/>
          <w:szCs w:val="24"/>
        </w:rPr>
        <w:t>Domicile</w:t>
      </w:r>
      <w:r w:rsidRPr="00872454">
        <w:rPr>
          <w:rFonts w:ascii="Arial" w:hAnsi="Arial" w:cs="Arial"/>
          <w:sz w:val="24"/>
          <w:szCs w:val="24"/>
        </w:rPr>
        <w:t xml:space="preserve"> (for the NSS-based metrics only): </w:t>
      </w:r>
      <w:r w:rsidR="00D15E28">
        <w:rPr>
          <w:rFonts w:ascii="Arial" w:hAnsi="Arial" w:cs="Arial"/>
          <w:sz w:val="24"/>
          <w:szCs w:val="24"/>
        </w:rPr>
        <w:t>s</w:t>
      </w:r>
      <w:r w:rsidRPr="00872454">
        <w:rPr>
          <w:rFonts w:ascii="Arial" w:hAnsi="Arial" w:cs="Arial"/>
          <w:sz w:val="24"/>
          <w:szCs w:val="24"/>
        </w:rPr>
        <w:t>plit between UK; other EU; and non-EU students.</w:t>
      </w:r>
    </w:p>
    <w:p w14:paraId="53824671" w14:textId="77777777" w:rsidR="0031533F" w:rsidRDefault="0031533F" w:rsidP="0031533F">
      <w:pPr>
        <w:spacing w:after="0"/>
        <w:rPr>
          <w:rFonts w:cs="Arial"/>
        </w:rPr>
      </w:pPr>
    </w:p>
    <w:p w14:paraId="47D52C40" w14:textId="77777777" w:rsidR="0031533F" w:rsidRPr="00C20AD3" w:rsidRDefault="0031533F" w:rsidP="00AF7684">
      <w:pPr>
        <w:pStyle w:val="ListParagraph"/>
        <w:numPr>
          <w:ilvl w:val="0"/>
          <w:numId w:val="18"/>
        </w:numPr>
        <w:tabs>
          <w:tab w:val="left" w:pos="142"/>
        </w:tabs>
        <w:spacing w:after="0"/>
        <w:ind w:left="142" w:hanging="426"/>
        <w:rPr>
          <w:rFonts w:ascii="Arial" w:hAnsi="Arial" w:cs="Arial"/>
          <w:sz w:val="24"/>
          <w:szCs w:val="24"/>
        </w:rPr>
      </w:pPr>
      <w:r w:rsidRPr="00C20AD3">
        <w:rPr>
          <w:rFonts w:ascii="Arial" w:hAnsi="Arial" w:cs="Arial"/>
          <w:b/>
          <w:sz w:val="24"/>
          <w:szCs w:val="24"/>
        </w:rPr>
        <w:t>Annex C</w:t>
      </w:r>
      <w:r w:rsidRPr="00C20AD3">
        <w:rPr>
          <w:rFonts w:ascii="Arial" w:hAnsi="Arial" w:cs="Arial"/>
          <w:sz w:val="24"/>
          <w:szCs w:val="24"/>
        </w:rPr>
        <w:t xml:space="preserve"> provides some further information about the splits and the level of detail to be reported to the assessors.</w:t>
      </w:r>
    </w:p>
    <w:p w14:paraId="580F6CDD" w14:textId="77777777" w:rsidR="0031533F" w:rsidRDefault="0031533F" w:rsidP="0031533F">
      <w:pPr>
        <w:spacing w:after="0"/>
        <w:rPr>
          <w:rFonts w:cs="Arial"/>
        </w:rPr>
      </w:pPr>
      <w:r>
        <w:rPr>
          <w:rFonts w:cs="Arial"/>
        </w:rPr>
        <w:t xml:space="preserve"> </w:t>
      </w:r>
    </w:p>
    <w:p w14:paraId="62D03D6A" w14:textId="77777777" w:rsidR="0031533F" w:rsidRDefault="0031533F" w:rsidP="0031533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Arial"/>
          <w:b/>
        </w:rPr>
      </w:pPr>
      <w:r w:rsidRPr="00220699">
        <w:rPr>
          <w:rFonts w:cs="Arial"/>
          <w:b/>
        </w:rPr>
        <w:t>Q</w:t>
      </w:r>
      <w:r w:rsidR="00B53A16">
        <w:rPr>
          <w:rFonts w:cs="Arial"/>
          <w:b/>
        </w:rPr>
        <w:t>5</w:t>
      </w:r>
      <w:r w:rsidRPr="00220699">
        <w:rPr>
          <w:rFonts w:cs="Arial"/>
          <w:b/>
        </w:rPr>
        <w:t>: Do you agree the metrics should be split by the characteristics</w:t>
      </w:r>
      <w:r w:rsidR="001D6BEC">
        <w:rPr>
          <w:rFonts w:cs="Arial"/>
          <w:b/>
        </w:rPr>
        <w:t xml:space="preserve"> proposed above</w:t>
      </w:r>
      <w:r w:rsidRPr="00220699">
        <w:rPr>
          <w:rFonts w:cs="Arial"/>
          <w:b/>
        </w:rPr>
        <w:t xml:space="preserve">? </w:t>
      </w:r>
      <w:r w:rsidR="00384E03">
        <w:rPr>
          <w:rFonts w:cs="Arial"/>
          <w:b/>
        </w:rPr>
        <w:t>P</w:t>
      </w:r>
      <w:r w:rsidRPr="00220699">
        <w:rPr>
          <w:rFonts w:cs="Arial"/>
          <w:b/>
        </w:rPr>
        <w:t>lease outline your reasons and suggest alternatives.</w:t>
      </w:r>
    </w:p>
    <w:p w14:paraId="69D0F142" w14:textId="77777777" w:rsidR="0031533F" w:rsidRPr="00A108B0" w:rsidRDefault="0031533F" w:rsidP="0031533F">
      <w:pPr>
        <w:spacing w:after="0"/>
        <w:rPr>
          <w:rFonts w:cs="Arial"/>
        </w:rPr>
      </w:pPr>
    </w:p>
    <w:p w14:paraId="0FC46472" w14:textId="77777777" w:rsidR="0031533F" w:rsidRPr="00220699" w:rsidRDefault="0031533F" w:rsidP="00FD0E93">
      <w:pPr>
        <w:pStyle w:val="Heading3"/>
        <w:spacing w:after="0"/>
        <w:ind w:hanging="284"/>
      </w:pPr>
      <w:bookmarkStart w:id="53" w:name="_Toc450147992"/>
      <w:bookmarkStart w:id="54" w:name="_Toc450886562"/>
      <w:r>
        <w:t>Generating and reporting the metrics</w:t>
      </w:r>
      <w:bookmarkEnd w:id="53"/>
      <w:bookmarkEnd w:id="54"/>
    </w:p>
    <w:p w14:paraId="7C4E195D" w14:textId="77777777" w:rsidR="0031533F" w:rsidRPr="00FB28A5" w:rsidRDefault="0031533F" w:rsidP="00AF7684">
      <w:pPr>
        <w:pStyle w:val="ListParagraph"/>
        <w:numPr>
          <w:ilvl w:val="0"/>
          <w:numId w:val="18"/>
        </w:numPr>
        <w:tabs>
          <w:tab w:val="left" w:pos="142"/>
        </w:tabs>
        <w:spacing w:after="0"/>
        <w:ind w:left="142" w:hanging="426"/>
        <w:rPr>
          <w:rFonts w:ascii="Arial" w:hAnsi="Arial" w:cs="Arial"/>
          <w:sz w:val="24"/>
          <w:szCs w:val="24"/>
        </w:rPr>
      </w:pPr>
      <w:r w:rsidRPr="00FB28A5">
        <w:rPr>
          <w:rFonts w:ascii="Arial" w:hAnsi="Arial" w:cs="Arial"/>
          <w:sz w:val="24"/>
          <w:szCs w:val="24"/>
        </w:rPr>
        <w:t>Before formally submitting their application, providers will have the opportunity to review their metrics</w:t>
      </w:r>
      <w:r w:rsidR="002C6669" w:rsidRPr="00FB28A5">
        <w:rPr>
          <w:rFonts w:ascii="Arial" w:hAnsi="Arial" w:cs="Arial"/>
          <w:sz w:val="24"/>
          <w:szCs w:val="24"/>
        </w:rPr>
        <w:t xml:space="preserve"> (see </w:t>
      </w:r>
      <w:r w:rsidR="002C6669" w:rsidRPr="00FB28A5">
        <w:rPr>
          <w:rFonts w:ascii="Arial" w:hAnsi="Arial" w:cs="Arial"/>
          <w:b/>
          <w:sz w:val="24"/>
          <w:szCs w:val="24"/>
        </w:rPr>
        <w:t>Annex B</w:t>
      </w:r>
      <w:r w:rsidR="002C6669" w:rsidRPr="00FB28A5">
        <w:rPr>
          <w:rFonts w:ascii="Arial" w:hAnsi="Arial" w:cs="Arial"/>
          <w:sz w:val="24"/>
          <w:szCs w:val="24"/>
        </w:rPr>
        <w:t xml:space="preserve"> for key dates)</w:t>
      </w:r>
      <w:r w:rsidRPr="00FB28A5">
        <w:rPr>
          <w:rFonts w:ascii="Arial" w:hAnsi="Arial" w:cs="Arial"/>
          <w:sz w:val="24"/>
          <w:szCs w:val="24"/>
        </w:rPr>
        <w:t>. Where there is evidence of significant inaccuracy in the data, providers should request amendments to particular metrics, to be resolved with HEFCE during the application window.</w:t>
      </w:r>
      <w:r w:rsidRPr="00FB28A5">
        <w:rPr>
          <w:rStyle w:val="FootnoteReference"/>
        </w:rPr>
        <w:footnoteReference w:id="29"/>
      </w:r>
      <w:r w:rsidRPr="00FB28A5">
        <w:rPr>
          <w:rStyle w:val="FootnoteReference"/>
        </w:rPr>
        <w:t xml:space="preserve"> </w:t>
      </w:r>
    </w:p>
    <w:p w14:paraId="404F6162" w14:textId="77777777" w:rsidR="009500EC" w:rsidRPr="009500EC" w:rsidRDefault="009500EC" w:rsidP="009500EC">
      <w:pPr>
        <w:pStyle w:val="ListParagraph"/>
        <w:tabs>
          <w:tab w:val="left" w:pos="142"/>
        </w:tabs>
        <w:spacing w:after="0"/>
        <w:ind w:left="142"/>
        <w:rPr>
          <w:rFonts w:ascii="Arial" w:hAnsi="Arial" w:cs="Arial"/>
          <w:sz w:val="24"/>
          <w:szCs w:val="24"/>
        </w:rPr>
      </w:pPr>
    </w:p>
    <w:p w14:paraId="5DAC1F1A" w14:textId="77777777" w:rsidR="0031533F" w:rsidRPr="009500EC" w:rsidRDefault="0031533F" w:rsidP="00AF7684">
      <w:pPr>
        <w:pStyle w:val="ListParagraph"/>
        <w:numPr>
          <w:ilvl w:val="0"/>
          <w:numId w:val="18"/>
        </w:numPr>
        <w:tabs>
          <w:tab w:val="left" w:pos="142"/>
        </w:tabs>
        <w:spacing w:after="0"/>
        <w:ind w:left="142" w:hanging="426"/>
        <w:rPr>
          <w:rFonts w:ascii="Arial" w:hAnsi="Arial" w:cs="Arial"/>
          <w:b/>
          <w:sz w:val="24"/>
          <w:szCs w:val="24"/>
        </w:rPr>
      </w:pPr>
      <w:r w:rsidRPr="009500EC">
        <w:rPr>
          <w:rFonts w:ascii="Arial" w:hAnsi="Arial" w:cs="Arial"/>
          <w:sz w:val="24"/>
          <w:szCs w:val="24"/>
        </w:rPr>
        <w:t>At the end of the application window (and after any necessary amendments have been made), HEFCE will generate the final metrics for the TEF assessors, in a standard format.</w:t>
      </w:r>
      <w:r w:rsidRPr="003021C8">
        <w:rPr>
          <w:rStyle w:val="FootnoteReference"/>
        </w:rPr>
        <w:footnoteReference w:id="30"/>
      </w:r>
    </w:p>
    <w:p w14:paraId="2F321265" w14:textId="77777777" w:rsidR="0031533F" w:rsidRDefault="0031533F" w:rsidP="0031533F">
      <w:pPr>
        <w:spacing w:after="0"/>
        <w:rPr>
          <w:b/>
          <w:bCs/>
          <w:color w:val="009BBB"/>
          <w:sz w:val="26"/>
          <w:szCs w:val="26"/>
        </w:rPr>
      </w:pPr>
    </w:p>
    <w:p w14:paraId="2EF88063" w14:textId="77777777" w:rsidR="0031533F" w:rsidRPr="00D25990" w:rsidRDefault="0031533F" w:rsidP="00FD0E93">
      <w:pPr>
        <w:pStyle w:val="Heading3"/>
        <w:spacing w:after="0"/>
        <w:ind w:hanging="284"/>
      </w:pPr>
      <w:bookmarkStart w:id="55" w:name="_Toc450147993"/>
      <w:bookmarkStart w:id="56" w:name="_Toc450886563"/>
      <w:r w:rsidRPr="00DA27AC">
        <w:lastRenderedPageBreak/>
        <w:t>Contextual information to support TEF assessments</w:t>
      </w:r>
      <w:bookmarkEnd w:id="55"/>
      <w:bookmarkEnd w:id="56"/>
      <w:r>
        <w:t xml:space="preserve"> </w:t>
      </w:r>
    </w:p>
    <w:p w14:paraId="137D29FC" w14:textId="77777777" w:rsidR="000768E6" w:rsidRDefault="004B550D" w:rsidP="00AF7684">
      <w:pPr>
        <w:pStyle w:val="ListParagraph"/>
        <w:numPr>
          <w:ilvl w:val="0"/>
          <w:numId w:val="18"/>
        </w:numPr>
        <w:tabs>
          <w:tab w:val="left" w:pos="142"/>
        </w:tabs>
        <w:spacing w:after="0"/>
        <w:ind w:left="142" w:hanging="426"/>
        <w:rPr>
          <w:rFonts w:ascii="Arial" w:hAnsi="Arial" w:cs="Arial"/>
          <w:sz w:val="24"/>
          <w:szCs w:val="24"/>
        </w:rPr>
      </w:pPr>
      <w:r w:rsidRPr="009500EC">
        <w:rPr>
          <w:rFonts w:ascii="Arial" w:hAnsi="Arial" w:cs="Arial"/>
          <w:sz w:val="24"/>
          <w:szCs w:val="24"/>
        </w:rPr>
        <w:t>Assessors</w:t>
      </w:r>
      <w:r w:rsidR="0031533F" w:rsidRPr="009500EC">
        <w:rPr>
          <w:rFonts w:ascii="Arial" w:hAnsi="Arial" w:cs="Arial"/>
          <w:sz w:val="24"/>
          <w:szCs w:val="24"/>
        </w:rPr>
        <w:t xml:space="preserve"> will be supplied with contextual information on each provider, to aid the interpretation of common metrics</w:t>
      </w:r>
      <w:r w:rsidR="000768E6" w:rsidRPr="009500EC">
        <w:rPr>
          <w:rFonts w:ascii="Arial" w:hAnsi="Arial" w:cs="Arial"/>
          <w:sz w:val="24"/>
          <w:szCs w:val="24"/>
        </w:rPr>
        <w:t xml:space="preserve">. The contextual information that we propose will be used to support TEF </w:t>
      </w:r>
      <w:proofErr w:type="gramStart"/>
      <w:r w:rsidR="000768E6" w:rsidRPr="009500EC">
        <w:rPr>
          <w:rFonts w:ascii="Arial" w:hAnsi="Arial" w:cs="Arial"/>
          <w:sz w:val="24"/>
          <w:szCs w:val="24"/>
        </w:rPr>
        <w:t>assessments is</w:t>
      </w:r>
      <w:proofErr w:type="gramEnd"/>
      <w:r w:rsidR="000768E6" w:rsidRPr="009500EC">
        <w:rPr>
          <w:rFonts w:ascii="Arial" w:hAnsi="Arial" w:cs="Arial"/>
          <w:sz w:val="24"/>
          <w:szCs w:val="24"/>
        </w:rPr>
        <w:t xml:space="preserve"> in </w:t>
      </w:r>
      <w:r w:rsidR="000768E6" w:rsidRPr="009500EC">
        <w:rPr>
          <w:rFonts w:ascii="Arial" w:hAnsi="Arial" w:cs="Arial"/>
          <w:b/>
          <w:sz w:val="24"/>
          <w:szCs w:val="24"/>
        </w:rPr>
        <w:t>Table 1</w:t>
      </w:r>
      <w:r w:rsidR="000768E6" w:rsidRPr="009500EC">
        <w:rPr>
          <w:rFonts w:ascii="Arial" w:hAnsi="Arial" w:cs="Arial"/>
          <w:sz w:val="24"/>
          <w:szCs w:val="24"/>
        </w:rPr>
        <w:t>.</w:t>
      </w:r>
    </w:p>
    <w:p w14:paraId="752796F1" w14:textId="77777777" w:rsidR="009500EC" w:rsidRPr="009500EC" w:rsidRDefault="009500EC" w:rsidP="009500EC">
      <w:pPr>
        <w:pStyle w:val="ListParagraph"/>
        <w:tabs>
          <w:tab w:val="left" w:pos="142"/>
        </w:tabs>
        <w:spacing w:after="0"/>
        <w:ind w:left="142"/>
        <w:rPr>
          <w:rFonts w:ascii="Arial" w:hAnsi="Arial" w:cs="Arial"/>
          <w:sz w:val="24"/>
          <w:szCs w:val="24"/>
        </w:rPr>
      </w:pPr>
    </w:p>
    <w:p w14:paraId="1E044FD1" w14:textId="77777777" w:rsidR="009500EC" w:rsidRDefault="0031533F" w:rsidP="00AF7684">
      <w:pPr>
        <w:pStyle w:val="ListParagraph"/>
        <w:numPr>
          <w:ilvl w:val="0"/>
          <w:numId w:val="18"/>
        </w:numPr>
        <w:tabs>
          <w:tab w:val="left" w:pos="142"/>
        </w:tabs>
        <w:spacing w:after="0"/>
        <w:ind w:left="142" w:hanging="426"/>
        <w:rPr>
          <w:rFonts w:ascii="Arial" w:hAnsi="Arial" w:cs="Arial"/>
          <w:sz w:val="24"/>
          <w:szCs w:val="24"/>
        </w:rPr>
      </w:pPr>
      <w:r w:rsidRPr="009500EC">
        <w:rPr>
          <w:rFonts w:ascii="Arial" w:hAnsi="Arial" w:cs="Arial"/>
          <w:sz w:val="24"/>
          <w:szCs w:val="24"/>
        </w:rPr>
        <w:t>Providers will be free to include additional context in their submissions, such as details about their mission.</w:t>
      </w:r>
    </w:p>
    <w:p w14:paraId="384FE242" w14:textId="77777777" w:rsidR="009500EC" w:rsidRDefault="009500EC" w:rsidP="009500EC">
      <w:pPr>
        <w:pStyle w:val="ListParagraph"/>
        <w:tabs>
          <w:tab w:val="left" w:pos="142"/>
        </w:tabs>
        <w:spacing w:after="0"/>
        <w:ind w:left="142"/>
        <w:rPr>
          <w:rFonts w:ascii="Arial" w:hAnsi="Arial" w:cs="Arial"/>
          <w:sz w:val="24"/>
          <w:szCs w:val="24"/>
        </w:rPr>
      </w:pPr>
    </w:p>
    <w:p w14:paraId="23EAF296" w14:textId="2676D82C" w:rsidR="001D6BEC" w:rsidRPr="009500EC" w:rsidRDefault="0031533F" w:rsidP="00AF7684">
      <w:pPr>
        <w:pStyle w:val="ListParagraph"/>
        <w:numPr>
          <w:ilvl w:val="0"/>
          <w:numId w:val="18"/>
        </w:numPr>
        <w:tabs>
          <w:tab w:val="left" w:pos="142"/>
        </w:tabs>
        <w:spacing w:after="0"/>
        <w:ind w:left="142" w:hanging="426"/>
        <w:rPr>
          <w:rFonts w:ascii="Arial" w:hAnsi="Arial" w:cs="Arial"/>
          <w:sz w:val="24"/>
          <w:szCs w:val="24"/>
        </w:rPr>
      </w:pPr>
      <w:r w:rsidRPr="009500EC">
        <w:rPr>
          <w:rFonts w:ascii="Arial" w:hAnsi="Arial" w:cs="Arial"/>
          <w:sz w:val="24"/>
          <w:szCs w:val="24"/>
        </w:rPr>
        <w:t xml:space="preserve">Contextual information </w:t>
      </w:r>
      <w:r w:rsidR="00233D5F" w:rsidRPr="009500EC">
        <w:rPr>
          <w:rFonts w:ascii="Arial" w:hAnsi="Arial" w:cs="Arial"/>
          <w:sz w:val="24"/>
          <w:szCs w:val="24"/>
        </w:rPr>
        <w:t>is intended</w:t>
      </w:r>
      <w:r w:rsidR="004B550D" w:rsidRPr="009500EC">
        <w:rPr>
          <w:rFonts w:ascii="Arial" w:hAnsi="Arial" w:cs="Arial"/>
          <w:sz w:val="24"/>
          <w:szCs w:val="24"/>
        </w:rPr>
        <w:t xml:space="preserve"> to help inform </w:t>
      </w:r>
      <w:r w:rsidR="002C6669" w:rsidRPr="009500EC">
        <w:rPr>
          <w:rFonts w:ascii="Arial" w:hAnsi="Arial" w:cs="Arial"/>
          <w:sz w:val="24"/>
          <w:szCs w:val="24"/>
        </w:rPr>
        <w:t xml:space="preserve">initial </w:t>
      </w:r>
      <w:r w:rsidR="004B550D" w:rsidRPr="009500EC">
        <w:rPr>
          <w:rFonts w:ascii="Arial" w:hAnsi="Arial" w:cs="Arial"/>
          <w:sz w:val="24"/>
          <w:szCs w:val="24"/>
        </w:rPr>
        <w:t xml:space="preserve">assessment of performance against the metrics </w:t>
      </w:r>
      <w:r w:rsidR="00233D5F" w:rsidRPr="009500EC">
        <w:rPr>
          <w:rFonts w:ascii="Arial" w:hAnsi="Arial" w:cs="Arial"/>
          <w:sz w:val="24"/>
          <w:szCs w:val="24"/>
        </w:rPr>
        <w:t xml:space="preserve">by allowing assessors to take into account the </w:t>
      </w:r>
      <w:r w:rsidR="002C6669" w:rsidRPr="009500EC">
        <w:rPr>
          <w:rFonts w:ascii="Arial" w:hAnsi="Arial" w:cs="Arial"/>
          <w:sz w:val="24"/>
          <w:szCs w:val="24"/>
        </w:rPr>
        <w:t>composition</w:t>
      </w:r>
      <w:r w:rsidR="00233D5F" w:rsidRPr="009500EC">
        <w:rPr>
          <w:rFonts w:ascii="Arial" w:hAnsi="Arial" w:cs="Arial"/>
          <w:sz w:val="24"/>
          <w:szCs w:val="24"/>
        </w:rPr>
        <w:t xml:space="preserve"> of a provider’s student population and information relating to geographical location. This means </w:t>
      </w:r>
      <w:r w:rsidR="002C6669" w:rsidRPr="009500EC">
        <w:rPr>
          <w:rFonts w:ascii="Arial" w:hAnsi="Arial" w:cs="Arial"/>
          <w:sz w:val="24"/>
          <w:szCs w:val="24"/>
        </w:rPr>
        <w:t xml:space="preserve">that assessment </w:t>
      </w:r>
      <w:r w:rsidR="00233D5F" w:rsidRPr="009500EC">
        <w:rPr>
          <w:rFonts w:ascii="Arial" w:hAnsi="Arial" w:cs="Arial"/>
          <w:sz w:val="24"/>
          <w:szCs w:val="24"/>
        </w:rPr>
        <w:t>is contextualised</w:t>
      </w:r>
      <w:r w:rsidR="002C6669" w:rsidRPr="009500EC">
        <w:rPr>
          <w:rFonts w:ascii="Arial" w:hAnsi="Arial" w:cs="Arial"/>
          <w:sz w:val="24"/>
          <w:szCs w:val="24"/>
        </w:rPr>
        <w:t xml:space="preserve"> - </w:t>
      </w:r>
      <w:r w:rsidR="00233D5F" w:rsidRPr="009500EC">
        <w:rPr>
          <w:rFonts w:ascii="Arial" w:hAnsi="Arial" w:cs="Arial"/>
          <w:sz w:val="24"/>
          <w:szCs w:val="24"/>
        </w:rPr>
        <w:t xml:space="preserve">for example, considering employment/destination outcomes in the context of employment statistics for the geographical area or widening participation metrics in the context of the student population studying at the provider. </w:t>
      </w:r>
    </w:p>
    <w:p w14:paraId="19608489" w14:textId="77777777" w:rsidR="004B550D" w:rsidRDefault="004B550D" w:rsidP="0031533F">
      <w:pPr>
        <w:spacing w:after="0"/>
        <w:rPr>
          <w:rFonts w:cs="Arial"/>
        </w:rPr>
      </w:pPr>
    </w:p>
    <w:p w14:paraId="26C9461A" w14:textId="77777777" w:rsidR="004B550D" w:rsidRDefault="0031533F" w:rsidP="00AF7684">
      <w:pPr>
        <w:pStyle w:val="ListParagraph"/>
        <w:numPr>
          <w:ilvl w:val="0"/>
          <w:numId w:val="18"/>
        </w:numPr>
        <w:tabs>
          <w:tab w:val="left" w:pos="142"/>
        </w:tabs>
        <w:spacing w:after="0"/>
        <w:ind w:left="142" w:hanging="426"/>
        <w:rPr>
          <w:rFonts w:ascii="Arial" w:hAnsi="Arial" w:cs="Arial"/>
          <w:b/>
          <w:sz w:val="24"/>
          <w:szCs w:val="24"/>
        </w:rPr>
      </w:pPr>
      <w:r w:rsidRPr="009500EC">
        <w:rPr>
          <w:rFonts w:ascii="Arial" w:hAnsi="Arial" w:cs="Arial"/>
          <w:b/>
          <w:sz w:val="24"/>
          <w:szCs w:val="24"/>
        </w:rPr>
        <w:t xml:space="preserve">Table 1: </w:t>
      </w:r>
      <w:r w:rsidR="001D6BEC" w:rsidRPr="009500EC">
        <w:rPr>
          <w:rFonts w:ascii="Arial" w:hAnsi="Arial" w:cs="Arial"/>
          <w:b/>
          <w:sz w:val="24"/>
          <w:szCs w:val="24"/>
        </w:rPr>
        <w:t>Proposed c</w:t>
      </w:r>
      <w:r w:rsidRPr="009500EC">
        <w:rPr>
          <w:rFonts w:ascii="Arial" w:hAnsi="Arial" w:cs="Arial"/>
          <w:b/>
          <w:sz w:val="24"/>
          <w:szCs w:val="24"/>
        </w:rPr>
        <w:t>ontextual information to aid in</w:t>
      </w:r>
      <w:r w:rsidR="00BE2A04" w:rsidRPr="009500EC">
        <w:rPr>
          <w:rFonts w:ascii="Arial" w:hAnsi="Arial" w:cs="Arial"/>
          <w:b/>
          <w:sz w:val="24"/>
          <w:szCs w:val="24"/>
        </w:rPr>
        <w:t>terpretation of the core metric</w:t>
      </w:r>
      <w:r w:rsidR="008A590C" w:rsidRPr="009500EC">
        <w:rPr>
          <w:rFonts w:ascii="Arial" w:hAnsi="Arial" w:cs="Arial"/>
          <w:b/>
          <w:sz w:val="24"/>
          <w:szCs w:val="24"/>
        </w:rPr>
        <w:t>s</w:t>
      </w:r>
    </w:p>
    <w:tbl>
      <w:tblPr>
        <w:tblStyle w:val="Table-bluegrid"/>
        <w:tblW w:w="4892" w:type="pct"/>
        <w:tblLayout w:type="fixed"/>
        <w:tblLook w:val="01E0" w:firstRow="1" w:lastRow="1" w:firstColumn="1" w:lastColumn="1" w:noHBand="0" w:noVBand="0"/>
      </w:tblPr>
      <w:tblGrid>
        <w:gridCol w:w="9641"/>
      </w:tblGrid>
      <w:tr w:rsidR="00A76734" w:rsidRPr="0028755F" w14:paraId="5E98B889" w14:textId="77777777" w:rsidTr="00A76734">
        <w:trPr>
          <w:cnfStyle w:val="100000000000" w:firstRow="1" w:lastRow="0" w:firstColumn="0" w:lastColumn="0" w:oddVBand="0" w:evenVBand="0" w:oddHBand="0" w:evenHBand="0" w:firstRowFirstColumn="0" w:firstRowLastColumn="0" w:lastRowFirstColumn="0" w:lastRowLastColumn="0"/>
          <w:trHeight w:val="166"/>
        </w:trPr>
        <w:tc>
          <w:tcPr>
            <w:tcW w:w="5000" w:type="pct"/>
          </w:tcPr>
          <w:p w14:paraId="6DC5F6C4" w14:textId="6208C359" w:rsidR="00A76734" w:rsidRDefault="00A76734" w:rsidP="00017E33">
            <w:pPr>
              <w:pStyle w:val="Tabletitle-WhiteNormal"/>
            </w:pPr>
            <w:r>
              <w:t>Contextual Information</w:t>
            </w:r>
          </w:p>
        </w:tc>
      </w:tr>
      <w:tr w:rsidR="00A76734" w:rsidRPr="00015C4E" w14:paraId="4165199F" w14:textId="77777777" w:rsidTr="00A76734">
        <w:trPr>
          <w:trHeight w:val="263"/>
        </w:trPr>
        <w:tc>
          <w:tcPr>
            <w:tcW w:w="5000" w:type="pct"/>
          </w:tcPr>
          <w:p w14:paraId="06E6C2F5" w14:textId="77777777" w:rsidR="00A76734" w:rsidRPr="004F06F3" w:rsidRDefault="00A76734" w:rsidP="00A76734">
            <w:pPr>
              <w:pStyle w:val="NormalWeb"/>
              <w:spacing w:before="0" w:beforeAutospacing="0" w:after="0" w:afterAutospacing="0"/>
              <w:rPr>
                <w:rFonts w:ascii="Arial" w:hAnsi="Arial" w:cs="Arial"/>
                <w:b/>
                <w:sz w:val="22"/>
                <w:szCs w:val="22"/>
              </w:rPr>
            </w:pPr>
            <w:r>
              <w:rPr>
                <w:rFonts w:ascii="Arial" w:hAnsi="Arial" w:cs="Arial"/>
                <w:b/>
                <w:sz w:val="22"/>
                <w:szCs w:val="22"/>
              </w:rPr>
              <w:t>A. Student population characteristics data</w:t>
            </w:r>
            <w:r w:rsidRPr="0012192D">
              <w:rPr>
                <w:rFonts w:ascii="Arial" w:hAnsi="Arial" w:cs="Arial"/>
                <w:b/>
                <w:sz w:val="22"/>
                <w:szCs w:val="22"/>
              </w:rPr>
              <w:t>:</w:t>
            </w:r>
            <w:r>
              <w:rPr>
                <w:rFonts w:ascii="Arial" w:hAnsi="Arial" w:cs="Arial"/>
                <w:b/>
                <w:sz w:val="22"/>
                <w:szCs w:val="22"/>
              </w:rPr>
              <w:t xml:space="preserve"> </w:t>
            </w:r>
          </w:p>
          <w:p w14:paraId="5DD1D7BE" w14:textId="77777777" w:rsidR="00A76734" w:rsidRPr="00383EDD" w:rsidRDefault="00A76734" w:rsidP="00A76734">
            <w:pPr>
              <w:pStyle w:val="NormalWeb"/>
              <w:spacing w:before="0" w:beforeAutospacing="0" w:after="0" w:afterAutospacing="0"/>
              <w:rPr>
                <w:rFonts w:ascii="Arial" w:hAnsi="Arial" w:cs="Arial"/>
                <w:sz w:val="22"/>
                <w:szCs w:val="22"/>
              </w:rPr>
            </w:pPr>
            <w:r>
              <w:rPr>
                <w:rFonts w:ascii="Arial" w:hAnsi="Arial" w:cs="Arial"/>
                <w:sz w:val="22"/>
                <w:szCs w:val="22"/>
              </w:rPr>
              <w:t xml:space="preserve">The </w:t>
            </w:r>
            <w:r w:rsidRPr="0093735C">
              <w:rPr>
                <w:rFonts w:ascii="Arial" w:hAnsi="Arial" w:cs="Arial"/>
                <w:sz w:val="22"/>
                <w:szCs w:val="22"/>
              </w:rPr>
              <w:t xml:space="preserve">number and proportion </w:t>
            </w:r>
            <w:r w:rsidRPr="006C1E8E">
              <w:rPr>
                <w:rFonts w:ascii="Arial" w:hAnsi="Arial" w:cs="Arial"/>
                <w:sz w:val="22"/>
                <w:szCs w:val="22"/>
              </w:rPr>
              <w:t xml:space="preserve">of full-time and part-time undergraduate students studying at the </w:t>
            </w:r>
            <w:r>
              <w:rPr>
                <w:rFonts w:ascii="Arial" w:hAnsi="Arial" w:cs="Arial"/>
                <w:sz w:val="22"/>
                <w:szCs w:val="22"/>
              </w:rPr>
              <w:t xml:space="preserve">provider, </w:t>
            </w:r>
            <w:r w:rsidRPr="006C1E8E">
              <w:rPr>
                <w:rFonts w:ascii="Arial" w:hAnsi="Arial" w:cs="Arial"/>
                <w:sz w:val="22"/>
                <w:szCs w:val="22"/>
              </w:rPr>
              <w:t>averaged over the last three years</w:t>
            </w:r>
            <w:r>
              <w:rPr>
                <w:rFonts w:ascii="Arial" w:hAnsi="Arial" w:cs="Arial"/>
                <w:sz w:val="22"/>
                <w:szCs w:val="22"/>
              </w:rPr>
              <w:t xml:space="preserve"> </w:t>
            </w:r>
            <w:r w:rsidRPr="006C1E8E">
              <w:rPr>
                <w:rFonts w:ascii="Arial" w:hAnsi="Arial" w:cs="Arial"/>
                <w:sz w:val="22"/>
                <w:szCs w:val="22"/>
              </w:rPr>
              <w:t>and broken down into</w:t>
            </w:r>
            <w:r>
              <w:rPr>
                <w:rFonts w:ascii="Arial" w:hAnsi="Arial" w:cs="Arial"/>
                <w:sz w:val="22"/>
                <w:szCs w:val="22"/>
              </w:rPr>
              <w:t xml:space="preserve"> the following categories</w:t>
            </w:r>
            <w:r w:rsidRPr="006C1E8E">
              <w:rPr>
                <w:rFonts w:ascii="Arial" w:hAnsi="Arial" w:cs="Arial"/>
                <w:sz w:val="22"/>
                <w:szCs w:val="22"/>
              </w:rPr>
              <w:t>:</w:t>
            </w:r>
          </w:p>
          <w:p w14:paraId="564E6A57" w14:textId="77777777" w:rsidR="00A76734" w:rsidRDefault="00A76734" w:rsidP="00A76734">
            <w:pPr>
              <w:pStyle w:val="NormalWeb"/>
              <w:numPr>
                <w:ilvl w:val="1"/>
                <w:numId w:val="4"/>
              </w:numPr>
              <w:spacing w:before="0" w:beforeAutospacing="0" w:after="0" w:afterAutospacing="0"/>
              <w:rPr>
                <w:rFonts w:ascii="Arial" w:hAnsi="Arial" w:cs="Arial"/>
                <w:sz w:val="22"/>
                <w:szCs w:val="22"/>
              </w:rPr>
            </w:pPr>
            <w:r>
              <w:rPr>
                <w:rFonts w:ascii="Arial" w:hAnsi="Arial" w:cs="Arial"/>
                <w:sz w:val="22"/>
                <w:szCs w:val="22"/>
              </w:rPr>
              <w:t>Level (f</w:t>
            </w:r>
            <w:r w:rsidRPr="00B918C6">
              <w:rPr>
                <w:rFonts w:ascii="Arial" w:hAnsi="Arial" w:cs="Arial"/>
                <w:sz w:val="22"/>
                <w:szCs w:val="22"/>
              </w:rPr>
              <w:t>irst degree and other UG</w:t>
            </w:r>
            <w:r>
              <w:rPr>
                <w:rFonts w:ascii="Arial" w:hAnsi="Arial" w:cs="Arial"/>
                <w:sz w:val="22"/>
                <w:szCs w:val="22"/>
              </w:rPr>
              <w:t>)</w:t>
            </w:r>
            <w:r w:rsidRPr="00B918C6">
              <w:rPr>
                <w:rFonts w:ascii="Arial" w:hAnsi="Arial" w:cs="Arial"/>
                <w:sz w:val="22"/>
                <w:szCs w:val="22"/>
              </w:rPr>
              <w:t xml:space="preserve"> </w:t>
            </w:r>
          </w:p>
          <w:p w14:paraId="19526F0A" w14:textId="77777777" w:rsidR="00A76734" w:rsidRDefault="00A76734" w:rsidP="00A76734">
            <w:pPr>
              <w:pStyle w:val="NormalWeb"/>
              <w:numPr>
                <w:ilvl w:val="1"/>
                <w:numId w:val="4"/>
              </w:numPr>
              <w:spacing w:before="0" w:beforeAutospacing="0" w:after="0" w:afterAutospacing="0"/>
              <w:rPr>
                <w:rFonts w:ascii="Arial" w:hAnsi="Arial" w:cs="Arial"/>
                <w:sz w:val="22"/>
                <w:szCs w:val="22"/>
              </w:rPr>
            </w:pPr>
            <w:r>
              <w:rPr>
                <w:rFonts w:ascii="Arial" w:hAnsi="Arial" w:cs="Arial"/>
                <w:sz w:val="22"/>
                <w:szCs w:val="22"/>
              </w:rPr>
              <w:t>Age (y</w:t>
            </w:r>
            <w:r w:rsidRPr="00B918C6">
              <w:rPr>
                <w:rFonts w:ascii="Arial" w:hAnsi="Arial" w:cs="Arial"/>
                <w:sz w:val="22"/>
                <w:szCs w:val="22"/>
              </w:rPr>
              <w:t>oung and mature</w:t>
            </w:r>
            <w:r>
              <w:rPr>
                <w:rFonts w:ascii="Arial" w:hAnsi="Arial" w:cs="Arial"/>
                <w:sz w:val="22"/>
                <w:szCs w:val="22"/>
              </w:rPr>
              <w:t>)</w:t>
            </w:r>
          </w:p>
          <w:p w14:paraId="0A7A8789" w14:textId="77777777" w:rsidR="00A76734" w:rsidRDefault="00A76734" w:rsidP="00A76734">
            <w:pPr>
              <w:pStyle w:val="NormalWeb"/>
              <w:numPr>
                <w:ilvl w:val="1"/>
                <w:numId w:val="4"/>
              </w:numPr>
              <w:spacing w:before="0" w:beforeAutospacing="0" w:after="0" w:afterAutospacing="0"/>
              <w:rPr>
                <w:rFonts w:ascii="Arial" w:hAnsi="Arial" w:cs="Arial"/>
                <w:sz w:val="22"/>
                <w:szCs w:val="22"/>
              </w:rPr>
            </w:pPr>
            <w:r w:rsidRPr="00B918C6">
              <w:rPr>
                <w:rFonts w:ascii="Arial" w:hAnsi="Arial" w:cs="Arial"/>
                <w:sz w:val="22"/>
                <w:szCs w:val="22"/>
              </w:rPr>
              <w:t xml:space="preserve">Polar quintiles </w:t>
            </w:r>
            <w:r>
              <w:rPr>
                <w:rFonts w:ascii="Arial" w:hAnsi="Arial" w:cs="Arial"/>
                <w:sz w:val="22"/>
                <w:szCs w:val="22"/>
              </w:rPr>
              <w:t>(</w:t>
            </w:r>
            <w:r w:rsidRPr="00B918C6">
              <w:rPr>
                <w:rFonts w:ascii="Arial" w:hAnsi="Arial" w:cs="Arial"/>
                <w:sz w:val="22"/>
                <w:szCs w:val="22"/>
              </w:rPr>
              <w:t>1</w:t>
            </w:r>
            <w:r>
              <w:rPr>
                <w:rFonts w:ascii="Arial" w:hAnsi="Arial" w:cs="Arial"/>
                <w:sz w:val="22"/>
                <w:szCs w:val="22"/>
              </w:rPr>
              <w:t>, 2, 3, 4 and 5)</w:t>
            </w:r>
            <w:r>
              <w:rPr>
                <w:rStyle w:val="FootnoteReference"/>
                <w:rFonts w:ascii="Arial" w:hAnsi="Arial" w:cs="Arial"/>
                <w:sz w:val="22"/>
                <w:szCs w:val="22"/>
              </w:rPr>
              <w:footnoteReference w:id="31"/>
            </w:r>
          </w:p>
          <w:p w14:paraId="19AE4F64" w14:textId="77777777" w:rsidR="00A76734" w:rsidRDefault="00A76734" w:rsidP="00A76734">
            <w:pPr>
              <w:pStyle w:val="NormalWeb"/>
              <w:numPr>
                <w:ilvl w:val="1"/>
                <w:numId w:val="4"/>
              </w:numPr>
              <w:spacing w:before="0" w:beforeAutospacing="0" w:after="0" w:afterAutospacing="0"/>
              <w:rPr>
                <w:rFonts w:ascii="Arial" w:hAnsi="Arial" w:cs="Arial"/>
                <w:sz w:val="22"/>
                <w:szCs w:val="22"/>
              </w:rPr>
            </w:pPr>
            <w:r>
              <w:rPr>
                <w:rFonts w:ascii="Arial" w:hAnsi="Arial" w:cs="Arial"/>
                <w:sz w:val="22"/>
                <w:szCs w:val="22"/>
              </w:rPr>
              <w:t>Ethnicity (White, Black, Asian, Other and Unknown)</w:t>
            </w:r>
          </w:p>
          <w:p w14:paraId="4F2860C8" w14:textId="77777777" w:rsidR="00A76734" w:rsidRDefault="00A76734" w:rsidP="00A76734">
            <w:pPr>
              <w:pStyle w:val="NormalWeb"/>
              <w:numPr>
                <w:ilvl w:val="1"/>
                <w:numId w:val="4"/>
              </w:numPr>
              <w:spacing w:before="0" w:beforeAutospacing="0" w:after="0" w:afterAutospacing="0"/>
              <w:rPr>
                <w:rFonts w:ascii="Arial" w:hAnsi="Arial" w:cs="Arial"/>
                <w:sz w:val="22"/>
                <w:szCs w:val="22"/>
              </w:rPr>
            </w:pPr>
            <w:r>
              <w:rPr>
                <w:rFonts w:ascii="Arial" w:hAnsi="Arial" w:cs="Arial"/>
                <w:sz w:val="22"/>
                <w:szCs w:val="22"/>
              </w:rPr>
              <w:t>Sex (male and female)</w:t>
            </w:r>
          </w:p>
          <w:p w14:paraId="5B15AE00" w14:textId="77777777" w:rsidR="00A76734" w:rsidRDefault="00A76734" w:rsidP="00A76734">
            <w:pPr>
              <w:pStyle w:val="NormalWeb"/>
              <w:numPr>
                <w:ilvl w:val="1"/>
                <w:numId w:val="4"/>
              </w:numPr>
              <w:spacing w:before="0" w:beforeAutospacing="0" w:after="0" w:afterAutospacing="0"/>
              <w:rPr>
                <w:rFonts w:ascii="Arial" w:hAnsi="Arial" w:cs="Arial"/>
                <w:sz w:val="22"/>
                <w:szCs w:val="22"/>
              </w:rPr>
            </w:pPr>
            <w:r w:rsidRPr="00B918C6">
              <w:rPr>
                <w:rFonts w:ascii="Arial" w:hAnsi="Arial" w:cs="Arial"/>
                <w:sz w:val="22"/>
                <w:szCs w:val="22"/>
              </w:rPr>
              <w:t>Disab</w:t>
            </w:r>
            <w:r>
              <w:rPr>
                <w:rFonts w:ascii="Arial" w:hAnsi="Arial" w:cs="Arial"/>
                <w:sz w:val="22"/>
                <w:szCs w:val="22"/>
              </w:rPr>
              <w:t>ility (disab</w:t>
            </w:r>
            <w:r w:rsidRPr="00B918C6">
              <w:rPr>
                <w:rFonts w:ascii="Arial" w:hAnsi="Arial" w:cs="Arial"/>
                <w:sz w:val="22"/>
                <w:szCs w:val="22"/>
              </w:rPr>
              <w:t>led and not disabled</w:t>
            </w:r>
            <w:r>
              <w:rPr>
                <w:rFonts w:ascii="Arial" w:hAnsi="Arial" w:cs="Arial"/>
                <w:sz w:val="22"/>
                <w:szCs w:val="22"/>
              </w:rPr>
              <w:t>)</w:t>
            </w:r>
          </w:p>
          <w:p w14:paraId="69C10B91" w14:textId="77777777" w:rsidR="00A76734" w:rsidRDefault="00A76734" w:rsidP="00A76734">
            <w:pPr>
              <w:pStyle w:val="NormalWeb"/>
              <w:numPr>
                <w:ilvl w:val="1"/>
                <w:numId w:val="4"/>
              </w:numPr>
              <w:spacing w:before="0" w:beforeAutospacing="0" w:after="0" w:afterAutospacing="0"/>
              <w:rPr>
                <w:rFonts w:ascii="Arial" w:hAnsi="Arial" w:cs="Arial"/>
                <w:sz w:val="22"/>
                <w:szCs w:val="22"/>
              </w:rPr>
            </w:pPr>
            <w:r>
              <w:rPr>
                <w:rFonts w:ascii="Arial" w:hAnsi="Arial" w:cs="Arial"/>
                <w:sz w:val="22"/>
                <w:szCs w:val="22"/>
              </w:rPr>
              <w:t>E</w:t>
            </w:r>
            <w:r w:rsidRPr="002835F6">
              <w:rPr>
                <w:rFonts w:ascii="Arial" w:hAnsi="Arial" w:cs="Arial"/>
                <w:sz w:val="22"/>
                <w:szCs w:val="22"/>
              </w:rPr>
              <w:t>ntry qualifications (</w:t>
            </w:r>
            <w:r>
              <w:rPr>
                <w:rFonts w:ascii="Arial" w:hAnsi="Arial" w:cs="Arial"/>
                <w:sz w:val="22"/>
                <w:szCs w:val="22"/>
              </w:rPr>
              <w:t>high, medium or low tariff)</w:t>
            </w:r>
          </w:p>
          <w:p w14:paraId="2DE5A426" w14:textId="77777777" w:rsidR="00A76734" w:rsidRDefault="00A76734" w:rsidP="00A76734">
            <w:pPr>
              <w:pStyle w:val="NormalWeb"/>
              <w:numPr>
                <w:ilvl w:val="1"/>
                <w:numId w:val="4"/>
              </w:numPr>
              <w:spacing w:before="0" w:beforeAutospacing="0" w:after="0" w:afterAutospacing="0"/>
              <w:rPr>
                <w:rFonts w:ascii="Arial" w:hAnsi="Arial" w:cs="Arial"/>
                <w:sz w:val="22"/>
                <w:szCs w:val="22"/>
              </w:rPr>
            </w:pPr>
            <w:r w:rsidRPr="002835F6">
              <w:rPr>
                <w:rFonts w:ascii="Arial" w:hAnsi="Arial" w:cs="Arial"/>
                <w:sz w:val="22"/>
                <w:szCs w:val="22"/>
              </w:rPr>
              <w:t>Subject of study (</w:t>
            </w:r>
            <w:r>
              <w:rPr>
                <w:rFonts w:ascii="Arial" w:hAnsi="Arial" w:cs="Arial"/>
                <w:sz w:val="22"/>
                <w:szCs w:val="22"/>
              </w:rPr>
              <w:t>the</w:t>
            </w:r>
            <w:r w:rsidRPr="002835F6">
              <w:rPr>
                <w:rFonts w:ascii="Arial" w:hAnsi="Arial" w:cs="Arial"/>
                <w:sz w:val="22"/>
                <w:szCs w:val="22"/>
              </w:rPr>
              <w:t xml:space="preserve"> 18 subject areas</w:t>
            </w:r>
            <w:r>
              <w:rPr>
                <w:rFonts w:ascii="Arial" w:hAnsi="Arial" w:cs="Arial"/>
                <w:sz w:val="22"/>
                <w:szCs w:val="22"/>
              </w:rPr>
              <w:t xml:space="preserve"> used for benchmarking</w:t>
            </w:r>
            <w:r w:rsidRPr="002835F6">
              <w:rPr>
                <w:rFonts w:ascii="Arial" w:hAnsi="Arial" w:cs="Arial"/>
                <w:sz w:val="22"/>
                <w:szCs w:val="22"/>
              </w:rPr>
              <w:t xml:space="preserve">)  </w:t>
            </w:r>
          </w:p>
          <w:p w14:paraId="2979D174" w14:textId="5DD723EA" w:rsidR="00A76734" w:rsidRPr="00015C4E" w:rsidRDefault="00A76734" w:rsidP="00A76734">
            <w:pPr>
              <w:pStyle w:val="Tabletext-Normal"/>
            </w:pPr>
            <w:r w:rsidRPr="002835F6">
              <w:rPr>
                <w:rFonts w:cs="Arial"/>
                <w:szCs w:val="22"/>
              </w:rPr>
              <w:t>Domicile (UK, other EU, non-EU)</w:t>
            </w:r>
          </w:p>
        </w:tc>
      </w:tr>
      <w:tr w:rsidR="00A76734" w:rsidRPr="00015C4E" w14:paraId="0D7B49FA" w14:textId="77777777" w:rsidTr="00A76734">
        <w:trPr>
          <w:trHeight w:val="200"/>
        </w:trPr>
        <w:tc>
          <w:tcPr>
            <w:tcW w:w="5000" w:type="pct"/>
          </w:tcPr>
          <w:p w14:paraId="25B9E21F" w14:textId="77777777" w:rsidR="00A76734" w:rsidRPr="004F06F3" w:rsidRDefault="00A76734" w:rsidP="00A76734">
            <w:pPr>
              <w:pStyle w:val="NormalWeb"/>
              <w:spacing w:before="0" w:beforeAutospacing="0" w:after="0" w:afterAutospacing="0"/>
              <w:rPr>
                <w:rFonts w:ascii="Arial" w:hAnsi="Arial" w:cs="Arial"/>
                <w:b/>
                <w:sz w:val="22"/>
                <w:szCs w:val="22"/>
              </w:rPr>
            </w:pPr>
            <w:r>
              <w:rPr>
                <w:rFonts w:ascii="Arial" w:hAnsi="Arial" w:cs="Arial"/>
                <w:b/>
                <w:sz w:val="22"/>
                <w:szCs w:val="22"/>
              </w:rPr>
              <w:t>B. Data maps</w:t>
            </w:r>
            <w:r w:rsidRPr="0012192D">
              <w:rPr>
                <w:rFonts w:ascii="Arial" w:hAnsi="Arial" w:cs="Arial"/>
                <w:b/>
                <w:sz w:val="22"/>
                <w:szCs w:val="22"/>
              </w:rPr>
              <w:t>:</w:t>
            </w:r>
          </w:p>
          <w:p w14:paraId="672492CE" w14:textId="77777777" w:rsidR="00A76734" w:rsidRPr="0012192D" w:rsidRDefault="00A76734" w:rsidP="00A76734">
            <w:pPr>
              <w:pStyle w:val="NormalWeb"/>
              <w:spacing w:before="0" w:beforeAutospacing="0" w:after="0" w:afterAutospacing="0"/>
              <w:rPr>
                <w:rFonts w:ascii="Arial" w:hAnsi="Arial" w:cs="Arial"/>
                <w:sz w:val="22"/>
                <w:szCs w:val="22"/>
              </w:rPr>
            </w:pPr>
            <w:r>
              <w:rPr>
                <w:rFonts w:ascii="Arial" w:hAnsi="Arial" w:cs="Arial"/>
                <w:sz w:val="22"/>
                <w:szCs w:val="22"/>
              </w:rPr>
              <w:t>Data maps</w:t>
            </w:r>
            <w:r w:rsidRPr="0012192D">
              <w:rPr>
                <w:rFonts w:ascii="Arial" w:hAnsi="Arial" w:cs="Arial"/>
                <w:sz w:val="22"/>
                <w:szCs w:val="22"/>
              </w:rPr>
              <w:t xml:space="preserve"> </w:t>
            </w:r>
            <w:r>
              <w:rPr>
                <w:rFonts w:ascii="Arial" w:hAnsi="Arial" w:cs="Arial"/>
                <w:sz w:val="22"/>
                <w:szCs w:val="22"/>
              </w:rPr>
              <w:t>will support</w:t>
            </w:r>
            <w:r w:rsidRPr="0012192D">
              <w:rPr>
                <w:rFonts w:ascii="Arial" w:hAnsi="Arial" w:cs="Arial"/>
                <w:sz w:val="22"/>
                <w:szCs w:val="22"/>
              </w:rPr>
              <w:t xml:space="preserve"> interpret</w:t>
            </w:r>
            <w:r>
              <w:rPr>
                <w:rFonts w:ascii="Arial" w:hAnsi="Arial" w:cs="Arial"/>
                <w:sz w:val="22"/>
                <w:szCs w:val="22"/>
              </w:rPr>
              <w:t>ation of</w:t>
            </w:r>
            <w:r w:rsidRPr="0012192D">
              <w:rPr>
                <w:rFonts w:ascii="Arial" w:hAnsi="Arial" w:cs="Arial"/>
                <w:sz w:val="22"/>
                <w:szCs w:val="22"/>
              </w:rPr>
              <w:t xml:space="preserve"> employment</w:t>
            </w:r>
            <w:r>
              <w:rPr>
                <w:rFonts w:ascii="Arial" w:hAnsi="Arial" w:cs="Arial"/>
                <w:sz w:val="22"/>
                <w:szCs w:val="22"/>
              </w:rPr>
              <w:t>/destination metrics. A m</w:t>
            </w:r>
            <w:r w:rsidRPr="0012192D">
              <w:rPr>
                <w:rFonts w:ascii="Arial" w:hAnsi="Arial" w:cs="Arial"/>
                <w:sz w:val="22"/>
                <w:szCs w:val="22"/>
              </w:rPr>
              <w:t>ap</w:t>
            </w:r>
            <w:r>
              <w:rPr>
                <w:rFonts w:ascii="Arial" w:hAnsi="Arial" w:cs="Arial"/>
                <w:sz w:val="22"/>
                <w:szCs w:val="22"/>
              </w:rPr>
              <w:t xml:space="preserve"> will show employment rates and further map</w:t>
            </w:r>
            <w:r w:rsidRPr="0012192D">
              <w:rPr>
                <w:rFonts w:ascii="Arial" w:hAnsi="Arial" w:cs="Arial"/>
                <w:sz w:val="22"/>
                <w:szCs w:val="22"/>
              </w:rPr>
              <w:t>s</w:t>
            </w:r>
            <w:r>
              <w:rPr>
                <w:rFonts w:ascii="Arial" w:hAnsi="Arial" w:cs="Arial"/>
                <w:sz w:val="22"/>
                <w:szCs w:val="22"/>
              </w:rPr>
              <w:t xml:space="preserve"> for a provider will </w:t>
            </w:r>
            <w:r w:rsidRPr="0012192D">
              <w:rPr>
                <w:rFonts w:ascii="Arial" w:hAnsi="Arial" w:cs="Arial"/>
                <w:sz w:val="22"/>
                <w:szCs w:val="22"/>
              </w:rPr>
              <w:t>show:</w:t>
            </w:r>
          </w:p>
          <w:p w14:paraId="0120D6FC" w14:textId="77777777" w:rsidR="00A76734" w:rsidRPr="0012192D" w:rsidRDefault="00A76734" w:rsidP="00A76734">
            <w:pPr>
              <w:pStyle w:val="ListParagraph"/>
              <w:numPr>
                <w:ilvl w:val="0"/>
                <w:numId w:val="30"/>
              </w:numPr>
              <w:spacing w:after="0" w:line="240" w:lineRule="auto"/>
              <w:rPr>
                <w:rFonts w:ascii="Arial" w:hAnsi="Arial" w:cs="Arial"/>
              </w:rPr>
            </w:pPr>
            <w:r w:rsidRPr="0012192D">
              <w:rPr>
                <w:rFonts w:ascii="Arial" w:hAnsi="Arial" w:cs="Arial"/>
              </w:rPr>
              <w:t xml:space="preserve">where students who study at the </w:t>
            </w:r>
            <w:r>
              <w:rPr>
                <w:rFonts w:ascii="Arial" w:hAnsi="Arial" w:cs="Arial"/>
              </w:rPr>
              <w:t>provider</w:t>
            </w:r>
            <w:r w:rsidRPr="0012192D">
              <w:rPr>
                <w:rFonts w:ascii="Arial" w:hAnsi="Arial" w:cs="Arial"/>
              </w:rPr>
              <w:t xml:space="preserve"> grew up</w:t>
            </w:r>
          </w:p>
          <w:p w14:paraId="0BEFE6F0" w14:textId="63E43578" w:rsidR="00A76734" w:rsidRPr="00015C4E" w:rsidRDefault="00A76734" w:rsidP="00A76734">
            <w:pPr>
              <w:pStyle w:val="Tabletext-Normal"/>
              <w:numPr>
                <w:ilvl w:val="0"/>
                <w:numId w:val="30"/>
              </w:numPr>
            </w:pPr>
            <w:r w:rsidRPr="0012192D">
              <w:rPr>
                <w:rFonts w:cs="Arial"/>
              </w:rPr>
              <w:t xml:space="preserve">where students who studied at the </w:t>
            </w:r>
            <w:r>
              <w:rPr>
                <w:rFonts w:cs="Arial"/>
              </w:rPr>
              <w:t>provider</w:t>
            </w:r>
            <w:r w:rsidRPr="0012192D">
              <w:rPr>
                <w:rFonts w:cs="Arial"/>
              </w:rPr>
              <w:t xml:space="preserve"> found employment</w:t>
            </w:r>
          </w:p>
        </w:tc>
      </w:tr>
    </w:tbl>
    <w:p w14:paraId="6D69571E" w14:textId="77777777" w:rsidR="00A76734" w:rsidRDefault="00A76734" w:rsidP="00A76734">
      <w:pPr>
        <w:pStyle w:val="ListParagraph"/>
        <w:tabs>
          <w:tab w:val="left" w:pos="142"/>
        </w:tabs>
        <w:spacing w:after="0"/>
        <w:ind w:left="142"/>
        <w:rPr>
          <w:rFonts w:ascii="Arial" w:hAnsi="Arial" w:cs="Arial"/>
          <w:b/>
          <w:sz w:val="24"/>
          <w:szCs w:val="24"/>
        </w:rPr>
      </w:pPr>
    </w:p>
    <w:p w14:paraId="7DD7746D" w14:textId="77777777" w:rsidR="0031533F" w:rsidRPr="005A0445" w:rsidRDefault="0031533F" w:rsidP="00723663">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rPr>
      </w:pPr>
      <w:r w:rsidRPr="00A16CDD">
        <w:rPr>
          <w:rFonts w:ascii="Arial" w:hAnsi="Arial" w:cs="Arial"/>
          <w:b/>
        </w:rPr>
        <w:t>Q</w:t>
      </w:r>
      <w:r w:rsidR="00B53A16">
        <w:rPr>
          <w:rFonts w:ascii="Arial" w:hAnsi="Arial" w:cs="Arial"/>
          <w:b/>
        </w:rPr>
        <w:t>6</w:t>
      </w:r>
      <w:r w:rsidRPr="00A16CDD">
        <w:rPr>
          <w:rFonts w:ascii="Arial" w:hAnsi="Arial" w:cs="Arial"/>
          <w:b/>
        </w:rPr>
        <w:t xml:space="preserve">: Do you agree with the contextual information that will be used to support TEF assessments </w:t>
      </w:r>
      <w:r w:rsidR="001D6BEC">
        <w:rPr>
          <w:rFonts w:ascii="Arial" w:hAnsi="Arial" w:cs="Arial"/>
          <w:b/>
        </w:rPr>
        <w:t>proposed</w:t>
      </w:r>
      <w:r w:rsidR="001D6BEC" w:rsidRPr="00A16CDD">
        <w:rPr>
          <w:rFonts w:ascii="Arial" w:hAnsi="Arial" w:cs="Arial"/>
          <w:b/>
        </w:rPr>
        <w:t xml:space="preserve"> </w:t>
      </w:r>
      <w:r w:rsidRPr="00A16CDD">
        <w:rPr>
          <w:rFonts w:ascii="Arial" w:hAnsi="Arial" w:cs="Arial"/>
          <w:b/>
        </w:rPr>
        <w:t xml:space="preserve">above? </w:t>
      </w:r>
      <w:r w:rsidR="00A468D2">
        <w:rPr>
          <w:rFonts w:ascii="Arial" w:hAnsi="Arial" w:cs="Arial"/>
          <w:b/>
        </w:rPr>
        <w:t>P</w:t>
      </w:r>
      <w:r w:rsidRPr="00A16CDD">
        <w:rPr>
          <w:rFonts w:ascii="Arial" w:hAnsi="Arial" w:cs="Arial"/>
          <w:b/>
        </w:rPr>
        <w:t>lease outline your reasons and suggest any alternatives or additions</w:t>
      </w:r>
      <w:r w:rsidR="001D6BEC">
        <w:rPr>
          <w:rFonts w:ascii="Arial" w:hAnsi="Arial" w:cs="Arial"/>
          <w:b/>
        </w:rPr>
        <w:t>.</w:t>
      </w:r>
    </w:p>
    <w:p w14:paraId="72D8E1CC" w14:textId="77777777" w:rsidR="00FD0E93" w:rsidRDefault="00FD0E93" w:rsidP="00FD0E93">
      <w:pPr>
        <w:spacing w:after="0"/>
        <w:rPr>
          <w:rFonts w:cs="Arial"/>
        </w:rPr>
      </w:pPr>
      <w:bookmarkStart w:id="57" w:name="_Toc450147994"/>
    </w:p>
    <w:p w14:paraId="55BD572B" w14:textId="77777777" w:rsidR="00FD0E93" w:rsidRDefault="00FD0E93" w:rsidP="00FD0E93">
      <w:pPr>
        <w:spacing w:after="0"/>
        <w:rPr>
          <w:rFonts w:cs="Arial"/>
        </w:rPr>
      </w:pPr>
    </w:p>
    <w:p w14:paraId="7E55196C" w14:textId="77777777" w:rsidR="00B873AB" w:rsidRDefault="00B873AB" w:rsidP="00FD0E93">
      <w:pPr>
        <w:spacing w:after="0"/>
        <w:rPr>
          <w:rFonts w:cs="Arial"/>
        </w:rPr>
      </w:pPr>
    </w:p>
    <w:p w14:paraId="4D9A6F9C" w14:textId="77777777" w:rsidR="0025064E" w:rsidRPr="00EF3562" w:rsidRDefault="00F80F07" w:rsidP="00FD0E93">
      <w:pPr>
        <w:pStyle w:val="Heading2"/>
        <w:spacing w:after="0"/>
        <w:ind w:hanging="284"/>
      </w:pPr>
      <w:bookmarkStart w:id="58" w:name="_Toc450886564"/>
      <w:r>
        <w:lastRenderedPageBreak/>
        <w:t>3</w:t>
      </w:r>
      <w:r w:rsidR="00313B0C">
        <w:t xml:space="preserve">b. </w:t>
      </w:r>
      <w:r w:rsidR="009D13AA">
        <w:t>Evidence</w:t>
      </w:r>
      <w:r w:rsidR="00F1282C">
        <w:t xml:space="preserve"> – P</w:t>
      </w:r>
      <w:r w:rsidR="00553955">
        <w:t>rovider submission</w:t>
      </w:r>
      <w:bookmarkEnd w:id="57"/>
      <w:bookmarkEnd w:id="58"/>
      <w:r w:rsidR="00553955">
        <w:t xml:space="preserve"> </w:t>
      </w:r>
    </w:p>
    <w:p w14:paraId="38B890CF" w14:textId="77777777" w:rsidR="00245C3D" w:rsidRPr="009500EC" w:rsidRDefault="00D115A4" w:rsidP="00AF7684">
      <w:pPr>
        <w:pStyle w:val="ListParagraph"/>
        <w:numPr>
          <w:ilvl w:val="0"/>
          <w:numId w:val="18"/>
        </w:numPr>
        <w:tabs>
          <w:tab w:val="left" w:pos="142"/>
        </w:tabs>
        <w:spacing w:after="0"/>
        <w:ind w:left="142" w:hanging="426"/>
        <w:rPr>
          <w:rFonts w:ascii="Arial" w:hAnsi="Arial" w:cs="Arial"/>
          <w:b/>
          <w:sz w:val="24"/>
          <w:szCs w:val="24"/>
        </w:rPr>
      </w:pPr>
      <w:r w:rsidRPr="009500EC">
        <w:rPr>
          <w:rFonts w:ascii="Arial" w:hAnsi="Arial" w:cs="Arial"/>
          <w:b/>
          <w:sz w:val="24"/>
          <w:szCs w:val="24"/>
        </w:rPr>
        <w:t xml:space="preserve">Responses to the Green Paper strongly supported the Government’s proposal that </w:t>
      </w:r>
      <w:r w:rsidR="0029751E" w:rsidRPr="009500EC">
        <w:rPr>
          <w:rFonts w:ascii="Arial" w:hAnsi="Arial" w:cs="Arial"/>
          <w:b/>
          <w:sz w:val="24"/>
          <w:szCs w:val="24"/>
        </w:rPr>
        <w:t>assess</w:t>
      </w:r>
      <w:r w:rsidR="00B8520F" w:rsidRPr="009500EC">
        <w:rPr>
          <w:rFonts w:ascii="Arial" w:hAnsi="Arial" w:cs="Arial"/>
          <w:b/>
          <w:sz w:val="24"/>
          <w:szCs w:val="24"/>
        </w:rPr>
        <w:t>ment</w:t>
      </w:r>
      <w:r w:rsidRPr="009500EC">
        <w:rPr>
          <w:rFonts w:ascii="Arial" w:hAnsi="Arial" w:cs="Arial"/>
          <w:b/>
          <w:sz w:val="24"/>
          <w:szCs w:val="24"/>
        </w:rPr>
        <w:t xml:space="preserve">s should be holistic – using both the core metrics and </w:t>
      </w:r>
      <w:r w:rsidR="002A60DE" w:rsidRPr="009500EC">
        <w:rPr>
          <w:rFonts w:ascii="Arial" w:hAnsi="Arial" w:cs="Arial"/>
          <w:b/>
          <w:sz w:val="24"/>
          <w:szCs w:val="24"/>
        </w:rPr>
        <w:t>additional</w:t>
      </w:r>
      <w:r w:rsidR="009D13AA" w:rsidRPr="009500EC">
        <w:rPr>
          <w:rFonts w:ascii="Arial" w:hAnsi="Arial" w:cs="Arial"/>
          <w:b/>
          <w:sz w:val="24"/>
          <w:szCs w:val="24"/>
        </w:rPr>
        <w:t xml:space="preserve"> evidence put forward by a provider. </w:t>
      </w:r>
    </w:p>
    <w:p w14:paraId="1B982693" w14:textId="77777777" w:rsidR="008C0F41" w:rsidRPr="009500EC" w:rsidRDefault="008C0F41" w:rsidP="009500EC">
      <w:pPr>
        <w:pStyle w:val="ListParagraph"/>
        <w:tabs>
          <w:tab w:val="left" w:pos="142"/>
        </w:tabs>
        <w:spacing w:after="0"/>
        <w:ind w:left="142"/>
        <w:rPr>
          <w:rFonts w:ascii="Arial" w:hAnsi="Arial" w:cs="Arial"/>
          <w:b/>
          <w:sz w:val="24"/>
          <w:szCs w:val="24"/>
        </w:rPr>
      </w:pPr>
    </w:p>
    <w:p w14:paraId="370C92EB" w14:textId="77777777" w:rsidR="008C0F41" w:rsidRPr="009500EC" w:rsidRDefault="008C0F41" w:rsidP="00AF7684">
      <w:pPr>
        <w:pStyle w:val="ListParagraph"/>
        <w:numPr>
          <w:ilvl w:val="0"/>
          <w:numId w:val="18"/>
        </w:numPr>
        <w:tabs>
          <w:tab w:val="left" w:pos="142"/>
        </w:tabs>
        <w:spacing w:after="0"/>
        <w:ind w:left="142" w:hanging="426"/>
        <w:rPr>
          <w:rFonts w:ascii="Arial" w:hAnsi="Arial" w:cs="Arial"/>
          <w:b/>
          <w:sz w:val="24"/>
          <w:szCs w:val="24"/>
        </w:rPr>
      </w:pPr>
      <w:r w:rsidRPr="009500EC">
        <w:rPr>
          <w:rFonts w:ascii="Arial" w:hAnsi="Arial" w:cs="Arial"/>
          <w:b/>
          <w:sz w:val="24"/>
          <w:szCs w:val="24"/>
        </w:rPr>
        <w:t xml:space="preserve">However, the Government is also committed to ensuring the TEF is light-touch and non-bureaucratic, </w:t>
      </w:r>
      <w:r w:rsidR="006F7D5C" w:rsidRPr="009500EC">
        <w:rPr>
          <w:rFonts w:ascii="Arial" w:hAnsi="Arial" w:cs="Arial"/>
          <w:b/>
          <w:sz w:val="24"/>
          <w:szCs w:val="24"/>
        </w:rPr>
        <w:t>and</w:t>
      </w:r>
      <w:r w:rsidR="00941B2E" w:rsidRPr="009500EC">
        <w:rPr>
          <w:rFonts w:ascii="Arial" w:hAnsi="Arial" w:cs="Arial"/>
          <w:b/>
          <w:sz w:val="24"/>
          <w:szCs w:val="24"/>
        </w:rPr>
        <w:t xml:space="preserve"> that it</w:t>
      </w:r>
      <w:r w:rsidRPr="009500EC">
        <w:rPr>
          <w:rFonts w:ascii="Arial" w:hAnsi="Arial" w:cs="Arial"/>
          <w:b/>
          <w:sz w:val="24"/>
          <w:szCs w:val="24"/>
        </w:rPr>
        <w:t xml:space="preserve"> avoids becoming a burdensome or ‘tick-box’ exercise. The provider submission should be an opportunity for a provider to present additional evidence as to how its teaching is excellent rather than </w:t>
      </w:r>
      <w:r w:rsidR="00941B2E" w:rsidRPr="009500EC">
        <w:rPr>
          <w:rFonts w:ascii="Arial" w:hAnsi="Arial" w:cs="Arial"/>
          <w:b/>
          <w:sz w:val="24"/>
          <w:szCs w:val="24"/>
        </w:rPr>
        <w:t xml:space="preserve">to </w:t>
      </w:r>
      <w:r w:rsidR="00E76BCA" w:rsidRPr="009500EC">
        <w:rPr>
          <w:rFonts w:ascii="Arial" w:hAnsi="Arial" w:cs="Arial"/>
          <w:b/>
          <w:sz w:val="24"/>
          <w:szCs w:val="24"/>
        </w:rPr>
        <w:t xml:space="preserve">present </w:t>
      </w:r>
      <w:r w:rsidRPr="009500EC">
        <w:rPr>
          <w:rFonts w:ascii="Arial" w:hAnsi="Arial" w:cs="Arial"/>
          <w:b/>
          <w:sz w:val="24"/>
          <w:szCs w:val="24"/>
        </w:rPr>
        <w:t xml:space="preserve">information already considered as part of </w:t>
      </w:r>
      <w:r w:rsidR="003E7C36" w:rsidRPr="009500EC">
        <w:rPr>
          <w:rFonts w:ascii="Arial" w:hAnsi="Arial" w:cs="Arial"/>
          <w:b/>
          <w:sz w:val="24"/>
          <w:szCs w:val="24"/>
        </w:rPr>
        <w:t>broader</w:t>
      </w:r>
      <w:r w:rsidRPr="009500EC">
        <w:rPr>
          <w:rFonts w:ascii="Arial" w:hAnsi="Arial" w:cs="Arial"/>
          <w:b/>
          <w:sz w:val="24"/>
          <w:szCs w:val="24"/>
        </w:rPr>
        <w:t xml:space="preserve"> quality assurance arrangements. </w:t>
      </w:r>
    </w:p>
    <w:p w14:paraId="786D2014" w14:textId="77777777" w:rsidR="0025064E" w:rsidRPr="009500EC" w:rsidRDefault="0025064E" w:rsidP="009500EC">
      <w:pPr>
        <w:pStyle w:val="ListParagraph"/>
        <w:tabs>
          <w:tab w:val="left" w:pos="142"/>
        </w:tabs>
        <w:spacing w:after="0"/>
        <w:ind w:left="142"/>
        <w:rPr>
          <w:rFonts w:ascii="Arial" w:hAnsi="Arial" w:cs="Arial"/>
          <w:b/>
          <w:sz w:val="24"/>
          <w:szCs w:val="24"/>
        </w:rPr>
      </w:pPr>
    </w:p>
    <w:p w14:paraId="0D748FE3" w14:textId="77777777" w:rsidR="0082775E" w:rsidRPr="009500EC" w:rsidRDefault="0025064E" w:rsidP="00AF7684">
      <w:pPr>
        <w:pStyle w:val="ListParagraph"/>
        <w:numPr>
          <w:ilvl w:val="0"/>
          <w:numId w:val="18"/>
        </w:numPr>
        <w:tabs>
          <w:tab w:val="left" w:pos="142"/>
        </w:tabs>
        <w:spacing w:after="0"/>
        <w:ind w:left="142" w:hanging="426"/>
        <w:rPr>
          <w:rFonts w:ascii="Arial" w:hAnsi="Arial" w:cs="Arial"/>
          <w:b/>
          <w:sz w:val="24"/>
          <w:szCs w:val="24"/>
        </w:rPr>
      </w:pPr>
      <w:r w:rsidRPr="009500EC">
        <w:rPr>
          <w:rFonts w:ascii="Arial" w:hAnsi="Arial" w:cs="Arial"/>
          <w:b/>
          <w:sz w:val="24"/>
          <w:szCs w:val="24"/>
        </w:rPr>
        <w:t xml:space="preserve">This section sets out proposals for the </w:t>
      </w:r>
      <w:r w:rsidR="005E73B4" w:rsidRPr="009500EC">
        <w:rPr>
          <w:rFonts w:ascii="Arial" w:hAnsi="Arial" w:cs="Arial"/>
          <w:b/>
          <w:sz w:val="24"/>
          <w:szCs w:val="24"/>
        </w:rPr>
        <w:t>provider submission</w:t>
      </w:r>
      <w:r w:rsidR="009362DF" w:rsidRPr="009500EC">
        <w:rPr>
          <w:rFonts w:ascii="Arial" w:hAnsi="Arial" w:cs="Arial"/>
          <w:b/>
          <w:sz w:val="24"/>
          <w:szCs w:val="24"/>
        </w:rPr>
        <w:t>,</w:t>
      </w:r>
      <w:r w:rsidR="005E73B4" w:rsidRPr="009500EC">
        <w:rPr>
          <w:rFonts w:ascii="Arial" w:hAnsi="Arial" w:cs="Arial"/>
          <w:b/>
          <w:sz w:val="24"/>
          <w:szCs w:val="24"/>
        </w:rPr>
        <w:t xml:space="preserve"> </w:t>
      </w:r>
      <w:r w:rsidR="00F1282C" w:rsidRPr="009500EC">
        <w:rPr>
          <w:rFonts w:ascii="Arial" w:hAnsi="Arial" w:cs="Arial"/>
          <w:b/>
          <w:sz w:val="24"/>
          <w:szCs w:val="24"/>
        </w:rPr>
        <w:t>including the evidence that a provider may wish to put forward to support its case for excellence.</w:t>
      </w:r>
      <w:r w:rsidR="004037CB" w:rsidRPr="009500EC">
        <w:rPr>
          <w:rFonts w:ascii="Arial" w:hAnsi="Arial" w:cs="Arial"/>
          <w:b/>
          <w:sz w:val="24"/>
          <w:szCs w:val="24"/>
        </w:rPr>
        <w:t xml:space="preserve"> </w:t>
      </w:r>
    </w:p>
    <w:p w14:paraId="4BC0AB3D" w14:textId="77777777" w:rsidR="000F35E4" w:rsidRPr="000F35E4" w:rsidRDefault="000F35E4" w:rsidP="000F35E4">
      <w:pPr>
        <w:spacing w:after="0"/>
        <w:rPr>
          <w:rFonts w:cs="Arial"/>
          <w:b/>
        </w:rPr>
      </w:pPr>
    </w:p>
    <w:p w14:paraId="397630B5" w14:textId="77777777" w:rsidR="009362DF" w:rsidRPr="00D25990" w:rsidRDefault="009362DF" w:rsidP="00FD0E93">
      <w:pPr>
        <w:pStyle w:val="Heading3"/>
        <w:spacing w:after="0"/>
        <w:ind w:hanging="284"/>
      </w:pPr>
      <w:bookmarkStart w:id="59" w:name="_Toc450147995"/>
      <w:bookmarkStart w:id="60" w:name="_Toc450886565"/>
      <w:r>
        <w:t>Purpose and nature of the provider submission</w:t>
      </w:r>
      <w:bookmarkEnd w:id="59"/>
      <w:bookmarkEnd w:id="60"/>
    </w:p>
    <w:p w14:paraId="063758AA" w14:textId="77777777" w:rsidR="0082775E" w:rsidRDefault="009362DF" w:rsidP="00AF7684">
      <w:pPr>
        <w:pStyle w:val="ListParagraph"/>
        <w:numPr>
          <w:ilvl w:val="0"/>
          <w:numId w:val="18"/>
        </w:numPr>
        <w:tabs>
          <w:tab w:val="left" w:pos="142"/>
        </w:tabs>
        <w:spacing w:after="0"/>
        <w:ind w:left="142" w:hanging="426"/>
        <w:rPr>
          <w:rFonts w:ascii="Arial" w:hAnsi="Arial" w:cs="Arial"/>
          <w:b/>
          <w:sz w:val="24"/>
          <w:szCs w:val="24"/>
        </w:rPr>
      </w:pPr>
      <w:r w:rsidRPr="009500EC">
        <w:rPr>
          <w:rFonts w:ascii="Arial" w:hAnsi="Arial" w:cs="Arial"/>
          <w:sz w:val="24"/>
          <w:szCs w:val="24"/>
        </w:rPr>
        <w:t>The provider s</w:t>
      </w:r>
      <w:r w:rsidR="0082775E" w:rsidRPr="009500EC">
        <w:rPr>
          <w:rFonts w:ascii="Arial" w:hAnsi="Arial" w:cs="Arial"/>
          <w:sz w:val="24"/>
          <w:szCs w:val="24"/>
        </w:rPr>
        <w:t>ubmission should put f</w:t>
      </w:r>
      <w:r w:rsidRPr="009500EC">
        <w:rPr>
          <w:rFonts w:ascii="Arial" w:hAnsi="Arial" w:cs="Arial"/>
          <w:sz w:val="24"/>
          <w:szCs w:val="24"/>
        </w:rPr>
        <w:t xml:space="preserve">orward any additional evidence </w:t>
      </w:r>
      <w:r w:rsidR="0029751E" w:rsidRPr="009500EC">
        <w:rPr>
          <w:rFonts w:ascii="Arial" w:hAnsi="Arial" w:cs="Arial"/>
          <w:sz w:val="24"/>
          <w:szCs w:val="24"/>
        </w:rPr>
        <w:t>(additional to the core metrics) t</w:t>
      </w:r>
      <w:r w:rsidR="0082775E" w:rsidRPr="009500EC">
        <w:rPr>
          <w:rFonts w:ascii="Arial" w:hAnsi="Arial" w:cs="Arial"/>
          <w:sz w:val="24"/>
          <w:szCs w:val="24"/>
        </w:rPr>
        <w:t>hat a provider feels best supports its ca</w:t>
      </w:r>
      <w:r w:rsidR="002A60DE" w:rsidRPr="009500EC">
        <w:rPr>
          <w:rFonts w:ascii="Arial" w:hAnsi="Arial" w:cs="Arial"/>
          <w:sz w:val="24"/>
          <w:szCs w:val="24"/>
        </w:rPr>
        <w:t xml:space="preserve">se </w:t>
      </w:r>
      <w:r w:rsidR="00A93891" w:rsidRPr="009500EC">
        <w:rPr>
          <w:rFonts w:ascii="Arial" w:hAnsi="Arial" w:cs="Arial"/>
          <w:sz w:val="24"/>
          <w:szCs w:val="24"/>
        </w:rPr>
        <w:t>against the criteria</w:t>
      </w:r>
      <w:r w:rsidR="00EF673D" w:rsidRPr="009500EC">
        <w:rPr>
          <w:rFonts w:ascii="Arial" w:hAnsi="Arial" w:cs="Arial"/>
          <w:sz w:val="24"/>
          <w:szCs w:val="24"/>
        </w:rPr>
        <w:t>. T</w:t>
      </w:r>
      <w:r w:rsidR="00F1282C" w:rsidRPr="009500EC">
        <w:rPr>
          <w:rFonts w:ascii="Arial" w:hAnsi="Arial" w:cs="Arial"/>
          <w:sz w:val="24"/>
          <w:szCs w:val="24"/>
        </w:rPr>
        <w:t xml:space="preserve">his </w:t>
      </w:r>
      <w:r w:rsidR="0082775E" w:rsidRPr="009500EC">
        <w:rPr>
          <w:rFonts w:ascii="Arial" w:hAnsi="Arial" w:cs="Arial"/>
          <w:sz w:val="24"/>
          <w:szCs w:val="24"/>
        </w:rPr>
        <w:t>evidence</w:t>
      </w:r>
      <w:r w:rsidR="00F1282C" w:rsidRPr="009500EC">
        <w:rPr>
          <w:rFonts w:ascii="Arial" w:hAnsi="Arial" w:cs="Arial"/>
          <w:sz w:val="24"/>
          <w:szCs w:val="24"/>
        </w:rPr>
        <w:t xml:space="preserve"> </w:t>
      </w:r>
      <w:r w:rsidR="0082775E" w:rsidRPr="009500EC">
        <w:rPr>
          <w:rFonts w:ascii="Arial" w:hAnsi="Arial" w:cs="Arial"/>
          <w:sz w:val="24"/>
          <w:szCs w:val="24"/>
        </w:rPr>
        <w:t>can be qualitative and/or quantitative.</w:t>
      </w:r>
      <w:r w:rsidR="00F1282C" w:rsidRPr="009500EC">
        <w:rPr>
          <w:rFonts w:ascii="Arial" w:hAnsi="Arial" w:cs="Arial"/>
          <w:b/>
          <w:sz w:val="24"/>
          <w:szCs w:val="24"/>
        </w:rPr>
        <w:t xml:space="preserve"> </w:t>
      </w:r>
      <w:r w:rsidR="0094591C" w:rsidRPr="009500EC">
        <w:rPr>
          <w:rFonts w:ascii="Arial" w:hAnsi="Arial" w:cs="Arial"/>
          <w:b/>
          <w:sz w:val="24"/>
          <w:szCs w:val="24"/>
        </w:rPr>
        <w:t>Chapter 4</w:t>
      </w:r>
      <w:r w:rsidR="003E7C36" w:rsidRPr="009500EC">
        <w:rPr>
          <w:rFonts w:ascii="Arial" w:hAnsi="Arial" w:cs="Arial"/>
          <w:b/>
          <w:sz w:val="24"/>
          <w:szCs w:val="24"/>
        </w:rPr>
        <w:t xml:space="preserve">: The Assessment </w:t>
      </w:r>
      <w:r w:rsidR="003E7C36" w:rsidRPr="009500EC">
        <w:rPr>
          <w:rFonts w:ascii="Arial" w:hAnsi="Arial" w:cs="Arial"/>
          <w:sz w:val="24"/>
          <w:szCs w:val="24"/>
        </w:rPr>
        <w:t>Process sets out</w:t>
      </w:r>
      <w:r w:rsidR="0029751E" w:rsidRPr="009500EC">
        <w:rPr>
          <w:rFonts w:ascii="Arial" w:hAnsi="Arial" w:cs="Arial"/>
          <w:sz w:val="24"/>
          <w:szCs w:val="24"/>
        </w:rPr>
        <w:t xml:space="preserve"> how this additional evidence will combine with the core metrics in the assessment process.</w:t>
      </w:r>
      <w:r w:rsidR="009E79D9" w:rsidRPr="009500EC">
        <w:rPr>
          <w:rFonts w:ascii="Arial" w:hAnsi="Arial" w:cs="Arial"/>
          <w:b/>
          <w:sz w:val="24"/>
          <w:szCs w:val="24"/>
        </w:rPr>
        <w:t xml:space="preserve"> </w:t>
      </w:r>
    </w:p>
    <w:p w14:paraId="4B8F23EA" w14:textId="77777777" w:rsidR="009500EC" w:rsidRPr="009500EC" w:rsidRDefault="009500EC" w:rsidP="009500EC">
      <w:pPr>
        <w:pStyle w:val="ListParagraph"/>
        <w:tabs>
          <w:tab w:val="left" w:pos="142"/>
        </w:tabs>
        <w:spacing w:after="0"/>
        <w:ind w:left="142"/>
        <w:rPr>
          <w:rFonts w:ascii="Arial" w:hAnsi="Arial" w:cs="Arial"/>
          <w:b/>
          <w:sz w:val="24"/>
          <w:szCs w:val="24"/>
        </w:rPr>
      </w:pPr>
    </w:p>
    <w:p w14:paraId="37ADAEC7" w14:textId="77777777" w:rsidR="009500EC" w:rsidRPr="009500EC" w:rsidRDefault="00F1282C" w:rsidP="005B77E0">
      <w:pPr>
        <w:pStyle w:val="ListParagraph"/>
        <w:numPr>
          <w:ilvl w:val="0"/>
          <w:numId w:val="18"/>
        </w:numPr>
        <w:tabs>
          <w:tab w:val="left" w:pos="142"/>
        </w:tabs>
        <w:spacing w:after="0"/>
        <w:ind w:left="142" w:hanging="426"/>
        <w:rPr>
          <w:rFonts w:ascii="Arial" w:hAnsi="Arial" w:cs="Arial"/>
          <w:b/>
          <w:sz w:val="24"/>
          <w:szCs w:val="24"/>
        </w:rPr>
      </w:pPr>
      <w:r w:rsidRPr="009500EC">
        <w:rPr>
          <w:rFonts w:ascii="Arial" w:hAnsi="Arial" w:cs="Arial"/>
          <w:sz w:val="24"/>
          <w:szCs w:val="24"/>
        </w:rPr>
        <w:t>The submission may refer to and build upon evidence explored as part of broader quality assurance arrangements but should not duplicate it.</w:t>
      </w:r>
      <w:r w:rsidR="00994A6B" w:rsidRPr="009500EC">
        <w:rPr>
          <w:rFonts w:ascii="Arial" w:hAnsi="Arial" w:cs="Arial"/>
          <w:sz w:val="24"/>
          <w:szCs w:val="24"/>
        </w:rPr>
        <w:t xml:space="preserve"> </w:t>
      </w:r>
      <w:r w:rsidR="0029751E" w:rsidRPr="009500EC">
        <w:rPr>
          <w:rFonts w:ascii="Arial" w:hAnsi="Arial" w:cs="Arial"/>
          <w:sz w:val="24"/>
          <w:szCs w:val="24"/>
        </w:rPr>
        <w:t xml:space="preserve">The emphasis in the provider submission should be on demonstrating the </w:t>
      </w:r>
      <w:r w:rsidR="0029751E" w:rsidRPr="009500EC">
        <w:rPr>
          <w:rFonts w:ascii="Arial" w:hAnsi="Arial" w:cs="Arial"/>
          <w:b/>
          <w:sz w:val="24"/>
          <w:szCs w:val="24"/>
        </w:rPr>
        <w:t>impact</w:t>
      </w:r>
      <w:r w:rsidR="0029751E" w:rsidRPr="009500EC">
        <w:rPr>
          <w:rFonts w:ascii="Arial" w:hAnsi="Arial" w:cs="Arial"/>
          <w:sz w:val="24"/>
          <w:szCs w:val="24"/>
        </w:rPr>
        <w:t xml:space="preserve"> and </w:t>
      </w:r>
      <w:r w:rsidR="0029751E" w:rsidRPr="009500EC">
        <w:rPr>
          <w:rFonts w:ascii="Arial" w:hAnsi="Arial" w:cs="Arial"/>
          <w:b/>
          <w:sz w:val="24"/>
          <w:szCs w:val="24"/>
        </w:rPr>
        <w:t>effectiveness</w:t>
      </w:r>
      <w:r w:rsidR="0029751E" w:rsidRPr="009500EC">
        <w:rPr>
          <w:rFonts w:ascii="Arial" w:hAnsi="Arial" w:cs="Arial"/>
          <w:sz w:val="24"/>
          <w:szCs w:val="24"/>
        </w:rPr>
        <w:t xml:space="preserve"> o</w:t>
      </w:r>
      <w:r w:rsidR="0062249D" w:rsidRPr="009500EC">
        <w:rPr>
          <w:rFonts w:ascii="Arial" w:hAnsi="Arial" w:cs="Arial"/>
          <w:sz w:val="24"/>
          <w:szCs w:val="24"/>
        </w:rPr>
        <w:t>f t</w:t>
      </w:r>
      <w:r w:rsidR="00AA5993" w:rsidRPr="009500EC">
        <w:rPr>
          <w:rFonts w:ascii="Arial" w:hAnsi="Arial" w:cs="Arial"/>
          <w:sz w:val="24"/>
          <w:szCs w:val="24"/>
        </w:rPr>
        <w:t>eaching and its outcomes</w:t>
      </w:r>
      <w:r w:rsidR="00BF4B83" w:rsidRPr="009500EC">
        <w:rPr>
          <w:rFonts w:ascii="Arial" w:hAnsi="Arial" w:cs="Arial"/>
          <w:sz w:val="24"/>
          <w:szCs w:val="24"/>
        </w:rPr>
        <w:t xml:space="preserve">. </w:t>
      </w:r>
      <w:r w:rsidR="002A60DE" w:rsidRPr="009500EC">
        <w:rPr>
          <w:rFonts w:ascii="Arial" w:hAnsi="Arial" w:cs="Arial"/>
          <w:sz w:val="24"/>
          <w:szCs w:val="24"/>
        </w:rPr>
        <w:t>Copies of, or links to</w:t>
      </w:r>
      <w:r w:rsidR="00AA5993" w:rsidRPr="009500EC">
        <w:rPr>
          <w:rFonts w:ascii="Arial" w:hAnsi="Arial" w:cs="Arial"/>
          <w:sz w:val="24"/>
          <w:szCs w:val="24"/>
        </w:rPr>
        <w:t xml:space="preserve">, primary evidence </w:t>
      </w:r>
      <w:r w:rsidR="00941B2E" w:rsidRPr="009500EC">
        <w:rPr>
          <w:rFonts w:ascii="Arial" w:hAnsi="Arial" w:cs="Arial"/>
          <w:sz w:val="24"/>
          <w:szCs w:val="24"/>
        </w:rPr>
        <w:t xml:space="preserve">– for example, </w:t>
      </w:r>
      <w:r w:rsidR="00E76BCA" w:rsidRPr="009500EC">
        <w:rPr>
          <w:rFonts w:ascii="Arial" w:hAnsi="Arial" w:cs="Arial"/>
          <w:sz w:val="24"/>
          <w:szCs w:val="24"/>
        </w:rPr>
        <w:t xml:space="preserve">strategy documents, </w:t>
      </w:r>
      <w:r w:rsidR="00941B2E" w:rsidRPr="009500EC">
        <w:rPr>
          <w:rFonts w:ascii="Arial" w:hAnsi="Arial" w:cs="Arial"/>
          <w:sz w:val="24"/>
          <w:szCs w:val="24"/>
        </w:rPr>
        <w:t>policies or</w:t>
      </w:r>
      <w:r w:rsidR="00E76BCA" w:rsidRPr="009500EC">
        <w:rPr>
          <w:rFonts w:ascii="Arial" w:hAnsi="Arial" w:cs="Arial"/>
          <w:sz w:val="24"/>
          <w:szCs w:val="24"/>
        </w:rPr>
        <w:t xml:space="preserve"> </w:t>
      </w:r>
      <w:r w:rsidR="00941B2E" w:rsidRPr="009500EC">
        <w:rPr>
          <w:rFonts w:ascii="Arial" w:hAnsi="Arial" w:cs="Arial"/>
          <w:sz w:val="24"/>
          <w:szCs w:val="24"/>
        </w:rPr>
        <w:t>committee minutes -</w:t>
      </w:r>
      <w:r w:rsidR="00E76BCA" w:rsidRPr="009500EC">
        <w:rPr>
          <w:rFonts w:ascii="Arial" w:hAnsi="Arial" w:cs="Arial"/>
          <w:sz w:val="24"/>
          <w:szCs w:val="24"/>
        </w:rPr>
        <w:t xml:space="preserve"> </w:t>
      </w:r>
      <w:r w:rsidR="00AA5993" w:rsidRPr="009500EC">
        <w:rPr>
          <w:rFonts w:ascii="Arial" w:hAnsi="Arial" w:cs="Arial"/>
          <w:sz w:val="24"/>
          <w:szCs w:val="24"/>
        </w:rPr>
        <w:t>sh</w:t>
      </w:r>
      <w:r w:rsidR="002A60DE" w:rsidRPr="009500EC">
        <w:rPr>
          <w:rFonts w:ascii="Arial" w:hAnsi="Arial" w:cs="Arial"/>
          <w:sz w:val="24"/>
          <w:szCs w:val="24"/>
        </w:rPr>
        <w:t>ould not be included</w:t>
      </w:r>
      <w:r w:rsidR="00AA5993" w:rsidRPr="009500EC">
        <w:rPr>
          <w:rFonts w:ascii="Arial" w:hAnsi="Arial" w:cs="Arial"/>
          <w:sz w:val="24"/>
          <w:szCs w:val="24"/>
        </w:rPr>
        <w:t>.</w:t>
      </w:r>
      <w:r w:rsidR="002A60DE" w:rsidRPr="009500EC">
        <w:rPr>
          <w:rFonts w:ascii="Arial" w:hAnsi="Arial" w:cs="Arial"/>
          <w:sz w:val="24"/>
          <w:szCs w:val="24"/>
        </w:rPr>
        <w:t xml:space="preserve"> </w:t>
      </w:r>
      <w:r w:rsidR="00AA5993" w:rsidRPr="009500EC">
        <w:rPr>
          <w:rFonts w:ascii="Arial" w:hAnsi="Arial" w:cs="Arial"/>
          <w:sz w:val="24"/>
          <w:szCs w:val="24"/>
        </w:rPr>
        <w:t>Assessors</w:t>
      </w:r>
      <w:r w:rsidR="002A60DE" w:rsidRPr="009500EC">
        <w:rPr>
          <w:rFonts w:ascii="Arial" w:hAnsi="Arial" w:cs="Arial"/>
          <w:sz w:val="24"/>
          <w:szCs w:val="24"/>
        </w:rPr>
        <w:t xml:space="preserve"> will be free to seek </w:t>
      </w:r>
      <w:r w:rsidR="00E76BCA" w:rsidRPr="009500EC">
        <w:rPr>
          <w:rFonts w:ascii="Arial" w:hAnsi="Arial" w:cs="Arial"/>
          <w:sz w:val="24"/>
          <w:szCs w:val="24"/>
        </w:rPr>
        <w:t xml:space="preserve">clarification and </w:t>
      </w:r>
      <w:r w:rsidR="002A60DE" w:rsidRPr="009500EC">
        <w:rPr>
          <w:rFonts w:ascii="Arial" w:hAnsi="Arial" w:cs="Arial"/>
          <w:sz w:val="24"/>
          <w:szCs w:val="24"/>
        </w:rPr>
        <w:t xml:space="preserve">verification </w:t>
      </w:r>
      <w:r w:rsidR="00941B2E" w:rsidRPr="009500EC">
        <w:rPr>
          <w:rFonts w:ascii="Arial" w:hAnsi="Arial" w:cs="Arial"/>
          <w:sz w:val="24"/>
          <w:szCs w:val="24"/>
        </w:rPr>
        <w:t>of the</w:t>
      </w:r>
      <w:r w:rsidR="005E26CC" w:rsidRPr="009500EC">
        <w:rPr>
          <w:rFonts w:ascii="Arial" w:hAnsi="Arial" w:cs="Arial"/>
          <w:sz w:val="24"/>
          <w:szCs w:val="24"/>
        </w:rPr>
        <w:t xml:space="preserve"> information and evidence</w:t>
      </w:r>
      <w:r w:rsidR="002A60DE" w:rsidRPr="009500EC">
        <w:rPr>
          <w:rFonts w:ascii="Arial" w:hAnsi="Arial" w:cs="Arial"/>
          <w:sz w:val="24"/>
          <w:szCs w:val="24"/>
        </w:rPr>
        <w:t xml:space="preserve"> covered in the submission</w:t>
      </w:r>
      <w:r w:rsidR="008C7C79" w:rsidRPr="009500EC">
        <w:rPr>
          <w:rFonts w:ascii="Arial" w:hAnsi="Arial" w:cs="Arial"/>
          <w:sz w:val="24"/>
          <w:szCs w:val="24"/>
        </w:rPr>
        <w:t xml:space="preserve">, </w:t>
      </w:r>
      <w:r w:rsidR="00941B2E" w:rsidRPr="009500EC">
        <w:rPr>
          <w:rFonts w:ascii="Arial" w:hAnsi="Arial" w:cs="Arial"/>
          <w:sz w:val="24"/>
          <w:szCs w:val="24"/>
        </w:rPr>
        <w:t>(</w:t>
      </w:r>
      <w:r w:rsidR="008C7C79" w:rsidRPr="009500EC">
        <w:rPr>
          <w:rFonts w:ascii="Arial" w:hAnsi="Arial" w:cs="Arial"/>
          <w:sz w:val="24"/>
          <w:szCs w:val="24"/>
        </w:rPr>
        <w:t>through TEF officers</w:t>
      </w:r>
      <w:r w:rsidR="00941B2E" w:rsidRPr="009500EC">
        <w:rPr>
          <w:rFonts w:ascii="Arial" w:hAnsi="Arial" w:cs="Arial"/>
          <w:sz w:val="24"/>
          <w:szCs w:val="24"/>
        </w:rPr>
        <w:t>)</w:t>
      </w:r>
      <w:r w:rsidR="00E76BCA" w:rsidRPr="009500EC">
        <w:rPr>
          <w:rFonts w:ascii="Arial" w:hAnsi="Arial" w:cs="Arial"/>
          <w:sz w:val="24"/>
          <w:szCs w:val="24"/>
        </w:rPr>
        <w:t xml:space="preserve"> but will not otherwise engage with the provider</w:t>
      </w:r>
      <w:r w:rsidR="0093735C" w:rsidRPr="009500EC">
        <w:rPr>
          <w:rFonts w:ascii="Arial" w:hAnsi="Arial" w:cs="Arial"/>
          <w:sz w:val="24"/>
          <w:szCs w:val="24"/>
        </w:rPr>
        <w:t xml:space="preserve">. </w:t>
      </w:r>
      <w:r w:rsidR="002A60DE" w:rsidRPr="009500EC">
        <w:rPr>
          <w:rFonts w:ascii="Arial" w:hAnsi="Arial" w:cs="Arial"/>
          <w:sz w:val="24"/>
          <w:szCs w:val="24"/>
        </w:rPr>
        <w:t>All applications will be published</w:t>
      </w:r>
      <w:r w:rsidR="00B15BC4" w:rsidRPr="009500EC">
        <w:rPr>
          <w:rFonts w:ascii="Arial" w:hAnsi="Arial" w:cs="Arial"/>
          <w:sz w:val="24"/>
          <w:szCs w:val="24"/>
        </w:rPr>
        <w:t>.</w:t>
      </w:r>
    </w:p>
    <w:p w14:paraId="0D4934A1" w14:textId="1D16E462" w:rsidR="009500EC" w:rsidRPr="009500EC" w:rsidRDefault="00B15BC4" w:rsidP="009500EC">
      <w:pPr>
        <w:pStyle w:val="ListParagraph"/>
        <w:tabs>
          <w:tab w:val="left" w:pos="142"/>
        </w:tabs>
        <w:spacing w:after="0"/>
        <w:ind w:left="142"/>
        <w:rPr>
          <w:rFonts w:ascii="Arial" w:hAnsi="Arial" w:cs="Arial"/>
          <w:b/>
          <w:sz w:val="24"/>
          <w:szCs w:val="24"/>
        </w:rPr>
      </w:pPr>
      <w:r w:rsidRPr="009500EC">
        <w:rPr>
          <w:rFonts w:ascii="Arial" w:hAnsi="Arial" w:cs="Arial"/>
          <w:sz w:val="24"/>
          <w:szCs w:val="24"/>
        </w:rPr>
        <w:t xml:space="preserve"> </w:t>
      </w:r>
    </w:p>
    <w:p w14:paraId="23D9327C" w14:textId="77777777" w:rsidR="009500EC" w:rsidRPr="009500EC" w:rsidRDefault="00235ED6" w:rsidP="00AF7684">
      <w:pPr>
        <w:pStyle w:val="ListParagraph"/>
        <w:numPr>
          <w:ilvl w:val="0"/>
          <w:numId w:val="18"/>
        </w:numPr>
        <w:tabs>
          <w:tab w:val="left" w:pos="142"/>
        </w:tabs>
        <w:spacing w:after="0"/>
        <w:ind w:left="142" w:hanging="568"/>
        <w:rPr>
          <w:rFonts w:ascii="Arial" w:hAnsi="Arial" w:cs="Arial"/>
          <w:b/>
          <w:sz w:val="24"/>
          <w:szCs w:val="24"/>
        </w:rPr>
      </w:pPr>
      <w:r w:rsidRPr="009500EC">
        <w:rPr>
          <w:rFonts w:ascii="Arial" w:hAnsi="Arial" w:cs="Arial"/>
          <w:sz w:val="24"/>
          <w:szCs w:val="24"/>
        </w:rPr>
        <w:t xml:space="preserve">Assessors will be looking for evidence of how far a provider </w:t>
      </w:r>
      <w:r w:rsidR="00FC3CBD" w:rsidRPr="009500EC">
        <w:rPr>
          <w:rFonts w:ascii="Arial" w:hAnsi="Arial" w:cs="Arial"/>
          <w:sz w:val="24"/>
          <w:szCs w:val="24"/>
        </w:rPr>
        <w:t xml:space="preserve">demonstrates </w:t>
      </w:r>
      <w:r w:rsidRPr="009500EC">
        <w:rPr>
          <w:rFonts w:ascii="Arial" w:hAnsi="Arial" w:cs="Arial"/>
          <w:sz w:val="24"/>
          <w:szCs w:val="24"/>
        </w:rPr>
        <w:t xml:space="preserve">teaching and learning excellence across its entire provision. </w:t>
      </w:r>
      <w:r w:rsidR="005E26CC" w:rsidRPr="009500EC">
        <w:rPr>
          <w:rFonts w:ascii="Arial" w:hAnsi="Arial" w:cs="Arial"/>
          <w:sz w:val="24"/>
          <w:szCs w:val="24"/>
        </w:rPr>
        <w:t>The submission should therefore avoid focusing on successful but highly localised practices that affect a relatively small number of students studying on particular courses or in particular departments.</w:t>
      </w:r>
    </w:p>
    <w:p w14:paraId="50ED80F1" w14:textId="77777777" w:rsidR="009500EC" w:rsidRPr="009500EC" w:rsidRDefault="009500EC" w:rsidP="009500EC">
      <w:pPr>
        <w:pStyle w:val="ListParagraph"/>
        <w:tabs>
          <w:tab w:val="left" w:pos="142"/>
        </w:tabs>
        <w:spacing w:after="0"/>
        <w:ind w:left="142"/>
        <w:rPr>
          <w:rFonts w:ascii="Arial" w:hAnsi="Arial" w:cs="Arial"/>
          <w:b/>
          <w:sz w:val="24"/>
          <w:szCs w:val="24"/>
        </w:rPr>
      </w:pPr>
    </w:p>
    <w:p w14:paraId="1F08A8B4" w14:textId="77777777" w:rsidR="009500EC" w:rsidRPr="009500EC" w:rsidRDefault="005E26CC" w:rsidP="00AF7684">
      <w:pPr>
        <w:pStyle w:val="ListParagraph"/>
        <w:numPr>
          <w:ilvl w:val="0"/>
          <w:numId w:val="18"/>
        </w:numPr>
        <w:tabs>
          <w:tab w:val="left" w:pos="142"/>
        </w:tabs>
        <w:spacing w:after="0"/>
        <w:ind w:left="142" w:hanging="568"/>
        <w:rPr>
          <w:rFonts w:ascii="Arial" w:hAnsi="Arial" w:cs="Arial"/>
          <w:b/>
          <w:sz w:val="24"/>
          <w:szCs w:val="24"/>
        </w:rPr>
      </w:pPr>
      <w:r w:rsidRPr="009500EC">
        <w:rPr>
          <w:rFonts w:ascii="Arial" w:hAnsi="Arial" w:cs="Arial"/>
          <w:sz w:val="24"/>
          <w:szCs w:val="24"/>
        </w:rPr>
        <w:t>A</w:t>
      </w:r>
      <w:r w:rsidR="00EF673D" w:rsidRPr="009500EC">
        <w:rPr>
          <w:rFonts w:ascii="Arial" w:hAnsi="Arial" w:cs="Arial"/>
          <w:sz w:val="24"/>
          <w:szCs w:val="24"/>
        </w:rPr>
        <w:t>s well as presenting</w:t>
      </w:r>
      <w:r w:rsidRPr="009500EC">
        <w:rPr>
          <w:rFonts w:ascii="Arial" w:hAnsi="Arial" w:cs="Arial"/>
          <w:sz w:val="24"/>
          <w:szCs w:val="24"/>
        </w:rPr>
        <w:t xml:space="preserve"> </w:t>
      </w:r>
      <w:r w:rsidR="00EF673D" w:rsidRPr="009500EC">
        <w:rPr>
          <w:rFonts w:ascii="Arial" w:hAnsi="Arial" w:cs="Arial"/>
          <w:sz w:val="24"/>
          <w:szCs w:val="24"/>
        </w:rPr>
        <w:t xml:space="preserve">additional </w:t>
      </w:r>
      <w:r w:rsidRPr="009500EC">
        <w:rPr>
          <w:rFonts w:ascii="Arial" w:hAnsi="Arial" w:cs="Arial"/>
          <w:sz w:val="24"/>
          <w:szCs w:val="24"/>
        </w:rPr>
        <w:t xml:space="preserve">evidence </w:t>
      </w:r>
      <w:r w:rsidR="00235ED6" w:rsidRPr="009500EC">
        <w:rPr>
          <w:rFonts w:ascii="Arial" w:hAnsi="Arial" w:cs="Arial"/>
          <w:sz w:val="24"/>
          <w:szCs w:val="24"/>
        </w:rPr>
        <w:t xml:space="preserve">that demonstrates </w:t>
      </w:r>
      <w:r w:rsidR="00DC4694" w:rsidRPr="009500EC">
        <w:rPr>
          <w:rFonts w:ascii="Arial" w:hAnsi="Arial" w:cs="Arial"/>
          <w:sz w:val="24"/>
          <w:szCs w:val="24"/>
        </w:rPr>
        <w:t>excellence</w:t>
      </w:r>
      <w:r w:rsidRPr="009500EC">
        <w:rPr>
          <w:rFonts w:ascii="Arial" w:hAnsi="Arial" w:cs="Arial"/>
          <w:sz w:val="24"/>
          <w:szCs w:val="24"/>
        </w:rPr>
        <w:t>, the submission may provide</w:t>
      </w:r>
      <w:r w:rsidR="00DC4694" w:rsidRPr="009500EC">
        <w:rPr>
          <w:rFonts w:ascii="Arial" w:hAnsi="Arial" w:cs="Arial"/>
          <w:sz w:val="24"/>
          <w:szCs w:val="24"/>
        </w:rPr>
        <w:t xml:space="preserve"> contextual </w:t>
      </w:r>
      <w:r w:rsidRPr="009500EC">
        <w:rPr>
          <w:rFonts w:ascii="Arial" w:hAnsi="Arial" w:cs="Arial"/>
          <w:sz w:val="24"/>
          <w:szCs w:val="24"/>
        </w:rPr>
        <w:t>information, including any</w:t>
      </w:r>
      <w:r w:rsidR="00DC4694" w:rsidRPr="009500EC">
        <w:rPr>
          <w:rFonts w:ascii="Arial" w:hAnsi="Arial" w:cs="Arial"/>
          <w:sz w:val="24"/>
          <w:szCs w:val="24"/>
        </w:rPr>
        <w:t xml:space="preserve"> mitigating factors</w:t>
      </w:r>
      <w:r w:rsidR="00EF673D" w:rsidRPr="009500EC">
        <w:rPr>
          <w:rFonts w:ascii="Arial" w:hAnsi="Arial" w:cs="Arial"/>
          <w:sz w:val="24"/>
          <w:szCs w:val="24"/>
        </w:rPr>
        <w:t xml:space="preserve"> </w:t>
      </w:r>
      <w:r w:rsidR="00DC4694" w:rsidRPr="009500EC">
        <w:rPr>
          <w:rFonts w:ascii="Arial" w:hAnsi="Arial" w:cs="Arial"/>
          <w:sz w:val="24"/>
          <w:szCs w:val="24"/>
        </w:rPr>
        <w:t>that explain</w:t>
      </w:r>
      <w:r w:rsidR="00EF673D" w:rsidRPr="009500EC">
        <w:rPr>
          <w:rFonts w:ascii="Arial" w:hAnsi="Arial" w:cs="Arial"/>
          <w:sz w:val="24"/>
          <w:szCs w:val="24"/>
        </w:rPr>
        <w:t>s</w:t>
      </w:r>
      <w:r w:rsidR="00DC4694" w:rsidRPr="009500EC">
        <w:rPr>
          <w:rFonts w:ascii="Arial" w:hAnsi="Arial" w:cs="Arial"/>
          <w:sz w:val="24"/>
          <w:szCs w:val="24"/>
        </w:rPr>
        <w:t xml:space="preserve"> performance against the core metrics</w:t>
      </w:r>
      <w:r w:rsidR="00223B17" w:rsidRPr="009500EC">
        <w:rPr>
          <w:rFonts w:ascii="Arial" w:hAnsi="Arial" w:cs="Arial"/>
          <w:sz w:val="24"/>
          <w:szCs w:val="24"/>
        </w:rPr>
        <w:t xml:space="preserve"> (see section on decision-making in </w:t>
      </w:r>
      <w:r w:rsidR="00223B17" w:rsidRPr="009500EC">
        <w:rPr>
          <w:rFonts w:ascii="Arial" w:hAnsi="Arial" w:cs="Arial"/>
          <w:b/>
          <w:sz w:val="24"/>
          <w:szCs w:val="24"/>
        </w:rPr>
        <w:t>Chapter 4: The Assessment Process</w:t>
      </w:r>
      <w:r w:rsidR="00223B17" w:rsidRPr="009500EC">
        <w:rPr>
          <w:rFonts w:ascii="Arial" w:hAnsi="Arial" w:cs="Arial"/>
          <w:sz w:val="24"/>
          <w:szCs w:val="24"/>
        </w:rPr>
        <w:t>)</w:t>
      </w:r>
      <w:r w:rsidR="00DC4694" w:rsidRPr="009500EC">
        <w:rPr>
          <w:rFonts w:ascii="Arial" w:hAnsi="Arial" w:cs="Arial"/>
          <w:sz w:val="24"/>
          <w:szCs w:val="24"/>
        </w:rPr>
        <w:t xml:space="preserve">. </w:t>
      </w:r>
    </w:p>
    <w:p w14:paraId="42786FF9" w14:textId="77777777" w:rsidR="009500EC" w:rsidRPr="009500EC" w:rsidRDefault="009500EC" w:rsidP="009500EC">
      <w:pPr>
        <w:pStyle w:val="ListParagraph"/>
        <w:tabs>
          <w:tab w:val="left" w:pos="142"/>
        </w:tabs>
        <w:spacing w:after="0"/>
        <w:ind w:left="142"/>
        <w:rPr>
          <w:rFonts w:ascii="Arial" w:hAnsi="Arial" w:cs="Arial"/>
          <w:b/>
          <w:sz w:val="24"/>
          <w:szCs w:val="24"/>
        </w:rPr>
      </w:pPr>
    </w:p>
    <w:p w14:paraId="064BF9E7" w14:textId="77777777" w:rsidR="009500EC" w:rsidRPr="009500EC" w:rsidRDefault="009E79D9" w:rsidP="00AF7684">
      <w:pPr>
        <w:pStyle w:val="ListParagraph"/>
        <w:numPr>
          <w:ilvl w:val="0"/>
          <w:numId w:val="18"/>
        </w:numPr>
        <w:tabs>
          <w:tab w:val="left" w:pos="142"/>
        </w:tabs>
        <w:spacing w:after="0"/>
        <w:ind w:left="142" w:hanging="568"/>
        <w:rPr>
          <w:rFonts w:ascii="Arial" w:hAnsi="Arial" w:cs="Arial"/>
          <w:b/>
          <w:sz w:val="24"/>
          <w:szCs w:val="24"/>
        </w:rPr>
      </w:pPr>
      <w:r w:rsidRPr="009500EC">
        <w:rPr>
          <w:rFonts w:ascii="Arial" w:hAnsi="Arial" w:cs="Arial"/>
          <w:sz w:val="24"/>
          <w:szCs w:val="24"/>
        </w:rPr>
        <w:t xml:space="preserve">Providers will be expected to address the criteria in their submission but not to use these as a checklist, recognising that criteria can </w:t>
      </w:r>
      <w:r w:rsidR="00DC4694" w:rsidRPr="009500EC">
        <w:rPr>
          <w:rFonts w:ascii="Arial" w:hAnsi="Arial" w:cs="Arial"/>
          <w:sz w:val="24"/>
          <w:szCs w:val="24"/>
        </w:rPr>
        <w:t xml:space="preserve">and will </w:t>
      </w:r>
      <w:r w:rsidRPr="009500EC">
        <w:rPr>
          <w:rFonts w:ascii="Arial" w:hAnsi="Arial" w:cs="Arial"/>
          <w:sz w:val="24"/>
          <w:szCs w:val="24"/>
        </w:rPr>
        <w:t xml:space="preserve">be met in different ways. </w:t>
      </w:r>
    </w:p>
    <w:p w14:paraId="216C75CE" w14:textId="77777777" w:rsidR="009500EC" w:rsidRPr="009500EC" w:rsidRDefault="009500EC" w:rsidP="009500EC">
      <w:pPr>
        <w:pStyle w:val="ListParagraph"/>
        <w:tabs>
          <w:tab w:val="left" w:pos="142"/>
        </w:tabs>
        <w:spacing w:after="0"/>
        <w:ind w:left="142"/>
        <w:rPr>
          <w:rFonts w:ascii="Arial" w:hAnsi="Arial" w:cs="Arial"/>
          <w:b/>
          <w:sz w:val="24"/>
          <w:szCs w:val="24"/>
        </w:rPr>
      </w:pPr>
    </w:p>
    <w:p w14:paraId="09EA91B4" w14:textId="2BBEC738" w:rsidR="00F1282C" w:rsidRPr="009500EC" w:rsidRDefault="00312D1E" w:rsidP="00AF7684">
      <w:pPr>
        <w:pStyle w:val="ListParagraph"/>
        <w:numPr>
          <w:ilvl w:val="0"/>
          <w:numId w:val="18"/>
        </w:numPr>
        <w:tabs>
          <w:tab w:val="left" w:pos="142"/>
        </w:tabs>
        <w:spacing w:after="0"/>
        <w:ind w:left="142" w:hanging="568"/>
        <w:rPr>
          <w:rFonts w:ascii="Arial" w:hAnsi="Arial" w:cs="Arial"/>
          <w:b/>
          <w:sz w:val="24"/>
          <w:szCs w:val="24"/>
        </w:rPr>
      </w:pPr>
      <w:r w:rsidRPr="009500EC">
        <w:rPr>
          <w:rFonts w:ascii="Arial" w:hAnsi="Arial" w:cs="Arial"/>
          <w:sz w:val="24"/>
          <w:szCs w:val="24"/>
        </w:rPr>
        <w:lastRenderedPageBreak/>
        <w:t xml:space="preserve">Technical </w:t>
      </w:r>
      <w:r w:rsidR="0082775E" w:rsidRPr="009500EC">
        <w:rPr>
          <w:rFonts w:ascii="Arial" w:hAnsi="Arial" w:cs="Arial"/>
          <w:sz w:val="24"/>
          <w:szCs w:val="24"/>
        </w:rPr>
        <w:t>guidance on preparing the submission will be made available befor</w:t>
      </w:r>
      <w:r w:rsidR="00F1282C" w:rsidRPr="009500EC">
        <w:rPr>
          <w:rFonts w:ascii="Arial" w:hAnsi="Arial" w:cs="Arial"/>
          <w:sz w:val="24"/>
          <w:szCs w:val="24"/>
        </w:rPr>
        <w:t>e the applications window opens.</w:t>
      </w:r>
    </w:p>
    <w:p w14:paraId="10AF2AD4" w14:textId="77777777" w:rsidR="00F03D4B" w:rsidRDefault="00F03D4B" w:rsidP="00D62C90">
      <w:pPr>
        <w:spacing w:after="0"/>
        <w:rPr>
          <w:rFonts w:cs="Arial"/>
        </w:rPr>
      </w:pPr>
    </w:p>
    <w:p w14:paraId="0094F41E" w14:textId="77777777" w:rsidR="0062249D" w:rsidRPr="00D25990" w:rsidRDefault="0062249D" w:rsidP="00FD0E93">
      <w:pPr>
        <w:pStyle w:val="Heading3"/>
        <w:spacing w:after="0"/>
        <w:ind w:hanging="426"/>
      </w:pPr>
      <w:bookmarkStart w:id="61" w:name="_Toc450147996"/>
      <w:bookmarkStart w:id="62" w:name="_Toc450886566"/>
      <w:r>
        <w:t>Size of the submission</w:t>
      </w:r>
      <w:bookmarkEnd w:id="61"/>
      <w:bookmarkEnd w:id="62"/>
    </w:p>
    <w:p w14:paraId="40EB6E3E" w14:textId="77777777" w:rsidR="00A44970" w:rsidRDefault="0062249D" w:rsidP="00A44970">
      <w:pPr>
        <w:pStyle w:val="ListParagraph"/>
        <w:numPr>
          <w:ilvl w:val="0"/>
          <w:numId w:val="18"/>
        </w:numPr>
        <w:tabs>
          <w:tab w:val="left" w:pos="142"/>
        </w:tabs>
        <w:spacing w:after="0"/>
        <w:ind w:left="142" w:hanging="568"/>
        <w:rPr>
          <w:rFonts w:ascii="Arial" w:hAnsi="Arial" w:cs="Arial"/>
          <w:sz w:val="24"/>
          <w:szCs w:val="24"/>
        </w:rPr>
      </w:pPr>
      <w:r w:rsidRPr="009500EC">
        <w:rPr>
          <w:rFonts w:ascii="Arial" w:hAnsi="Arial" w:cs="Arial"/>
          <w:sz w:val="24"/>
          <w:szCs w:val="24"/>
        </w:rPr>
        <w:t xml:space="preserve">To avoid the TEF becoming overly burdensome and in the interests of fairness to avoid one provider submitting considerably more information than another, we propose setting a </w:t>
      </w:r>
      <w:r w:rsidR="00F3139C" w:rsidRPr="009500EC">
        <w:rPr>
          <w:rFonts w:ascii="Arial" w:hAnsi="Arial" w:cs="Arial"/>
          <w:b/>
          <w:sz w:val="24"/>
          <w:szCs w:val="24"/>
        </w:rPr>
        <w:t>15 page</w:t>
      </w:r>
      <w:r w:rsidRPr="009500EC">
        <w:rPr>
          <w:rFonts w:ascii="Arial" w:hAnsi="Arial" w:cs="Arial"/>
          <w:b/>
          <w:sz w:val="24"/>
          <w:szCs w:val="24"/>
        </w:rPr>
        <w:t xml:space="preserve"> maximum</w:t>
      </w:r>
      <w:r w:rsidRPr="009500EC">
        <w:rPr>
          <w:rFonts w:ascii="Arial" w:hAnsi="Arial" w:cs="Arial"/>
          <w:sz w:val="24"/>
          <w:szCs w:val="24"/>
        </w:rPr>
        <w:t xml:space="preserve"> on the length of a provider submission. </w:t>
      </w:r>
      <w:r w:rsidR="00F3139C" w:rsidRPr="009500EC">
        <w:rPr>
          <w:rFonts w:ascii="Arial" w:hAnsi="Arial" w:cs="Arial"/>
          <w:sz w:val="24"/>
          <w:szCs w:val="24"/>
        </w:rPr>
        <w:t xml:space="preserve">Technical guidance will set out font size, margin widths and other details to ensure the limit is applied fairly. </w:t>
      </w:r>
      <w:r w:rsidRPr="009500EC">
        <w:rPr>
          <w:rFonts w:ascii="Arial" w:hAnsi="Arial" w:cs="Arial"/>
          <w:sz w:val="24"/>
          <w:szCs w:val="24"/>
        </w:rPr>
        <w:t>There</w:t>
      </w:r>
      <w:r w:rsidR="00F3139C" w:rsidRPr="009500EC">
        <w:rPr>
          <w:rFonts w:ascii="Arial" w:hAnsi="Arial" w:cs="Arial"/>
          <w:sz w:val="24"/>
          <w:szCs w:val="24"/>
        </w:rPr>
        <w:t xml:space="preserve"> will be no minimum page limit and no mandatory questions.</w:t>
      </w:r>
    </w:p>
    <w:p w14:paraId="43A44047" w14:textId="77777777" w:rsidR="00A44970" w:rsidRDefault="00A44970" w:rsidP="00A44970">
      <w:pPr>
        <w:pStyle w:val="ListParagraph"/>
        <w:tabs>
          <w:tab w:val="left" w:pos="142"/>
        </w:tabs>
        <w:spacing w:after="0"/>
        <w:ind w:left="142"/>
        <w:rPr>
          <w:rFonts w:ascii="Arial" w:hAnsi="Arial" w:cs="Arial"/>
          <w:sz w:val="24"/>
          <w:szCs w:val="24"/>
        </w:rPr>
      </w:pPr>
    </w:p>
    <w:p w14:paraId="511C5AE8" w14:textId="22F10562" w:rsidR="00A44970" w:rsidRPr="00A44970" w:rsidRDefault="00A44970" w:rsidP="00A44970">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rPr>
          <w:rFonts w:ascii="Arial" w:hAnsi="Arial" w:cs="Arial"/>
          <w:b/>
        </w:rPr>
      </w:pPr>
      <w:r w:rsidRPr="00A44970">
        <w:rPr>
          <w:rFonts w:ascii="Arial" w:hAnsi="Arial" w:cs="Arial"/>
          <w:b/>
        </w:rPr>
        <w:t xml:space="preserve">Q7: </w:t>
      </w:r>
    </w:p>
    <w:p w14:paraId="47D86493" w14:textId="77777777" w:rsidR="00A44970" w:rsidRPr="00A44970" w:rsidRDefault="00A44970" w:rsidP="00A44970">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rPr>
          <w:rFonts w:ascii="Arial" w:hAnsi="Arial" w:cs="Arial"/>
          <w:b/>
        </w:rPr>
      </w:pPr>
      <w:r w:rsidRPr="00A44970">
        <w:rPr>
          <w:rFonts w:ascii="Arial" w:hAnsi="Arial" w:cs="Arial"/>
          <w:b/>
        </w:rPr>
        <w:t>A) Do you agree with the proposed approach for the provider submission?</w:t>
      </w:r>
    </w:p>
    <w:p w14:paraId="539743A0" w14:textId="77777777" w:rsidR="00A44970" w:rsidRPr="00A44970" w:rsidRDefault="00A44970" w:rsidP="00A44970">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Arial" w:hAnsi="Arial" w:cs="Arial"/>
          <w:b/>
        </w:rPr>
      </w:pPr>
      <w:r w:rsidRPr="00A44970">
        <w:rPr>
          <w:rFonts w:ascii="Arial" w:hAnsi="Arial" w:cs="Arial"/>
          <w:b/>
        </w:rPr>
        <w:t xml:space="preserve">B) Do you agree with the proposed 15 page limit? </w:t>
      </w:r>
    </w:p>
    <w:p w14:paraId="788D1F25" w14:textId="61521C37" w:rsidR="00B515CE" w:rsidRPr="00C94052" w:rsidRDefault="00A44970" w:rsidP="00723663">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rPr>
      </w:pPr>
      <w:r w:rsidRPr="00A44970">
        <w:rPr>
          <w:rFonts w:ascii="Arial" w:hAnsi="Arial" w:cs="Arial"/>
          <w:b/>
        </w:rPr>
        <w:t>Please explain your reasons and out</w:t>
      </w:r>
      <w:r w:rsidR="00C94052">
        <w:rPr>
          <w:rFonts w:ascii="Arial" w:hAnsi="Arial" w:cs="Arial"/>
          <w:b/>
        </w:rPr>
        <w:t>line any alternative suggestion</w:t>
      </w:r>
    </w:p>
    <w:p w14:paraId="58F0D563" w14:textId="77777777" w:rsidR="0082775E" w:rsidRPr="009C42C1" w:rsidRDefault="00EF3562" w:rsidP="00FD0E93">
      <w:pPr>
        <w:pStyle w:val="Heading3"/>
        <w:spacing w:after="0"/>
        <w:ind w:hanging="426"/>
      </w:pPr>
      <w:bookmarkStart w:id="63" w:name="_Toc450147997"/>
      <w:bookmarkStart w:id="64" w:name="_Toc450886567"/>
      <w:r>
        <w:t>T</w:t>
      </w:r>
      <w:r w:rsidR="009362DF">
        <w:t xml:space="preserve">ypes of </w:t>
      </w:r>
      <w:r w:rsidR="00EF673D">
        <w:t xml:space="preserve">additional </w:t>
      </w:r>
      <w:r w:rsidR="009362DF">
        <w:t>evidence</w:t>
      </w:r>
      <w:bookmarkEnd w:id="63"/>
      <w:bookmarkEnd w:id="64"/>
    </w:p>
    <w:p w14:paraId="2A37160D" w14:textId="77777777" w:rsidR="0082775E" w:rsidRPr="009500EC" w:rsidRDefault="0082775E" w:rsidP="00AF7684">
      <w:pPr>
        <w:pStyle w:val="ListParagraph"/>
        <w:numPr>
          <w:ilvl w:val="0"/>
          <w:numId w:val="18"/>
        </w:numPr>
        <w:tabs>
          <w:tab w:val="left" w:pos="142"/>
        </w:tabs>
        <w:spacing w:after="0"/>
        <w:ind w:left="142" w:hanging="568"/>
        <w:rPr>
          <w:rFonts w:ascii="Arial" w:hAnsi="Arial" w:cs="Arial"/>
          <w:sz w:val="24"/>
          <w:szCs w:val="24"/>
        </w:rPr>
      </w:pPr>
      <w:r w:rsidRPr="009500EC">
        <w:rPr>
          <w:rFonts w:ascii="Arial" w:hAnsi="Arial" w:cs="Arial"/>
          <w:sz w:val="24"/>
          <w:szCs w:val="24"/>
        </w:rPr>
        <w:t xml:space="preserve">In </w:t>
      </w:r>
      <w:r w:rsidR="00974C35" w:rsidRPr="009500EC">
        <w:rPr>
          <w:rFonts w:ascii="Arial" w:hAnsi="Arial" w:cs="Arial"/>
          <w:b/>
          <w:sz w:val="24"/>
          <w:szCs w:val="24"/>
        </w:rPr>
        <w:t xml:space="preserve">Figure </w:t>
      </w:r>
      <w:r w:rsidR="00B53A16" w:rsidRPr="009500EC">
        <w:rPr>
          <w:rFonts w:ascii="Arial" w:hAnsi="Arial" w:cs="Arial"/>
          <w:b/>
          <w:sz w:val="24"/>
          <w:szCs w:val="24"/>
        </w:rPr>
        <w:t>6</w:t>
      </w:r>
      <w:r w:rsidRPr="009500EC">
        <w:rPr>
          <w:rFonts w:ascii="Arial" w:hAnsi="Arial" w:cs="Arial"/>
          <w:sz w:val="24"/>
          <w:szCs w:val="24"/>
        </w:rPr>
        <w:t xml:space="preserve">, we have included examples of the </w:t>
      </w:r>
      <w:r w:rsidR="009362DF" w:rsidRPr="009500EC">
        <w:rPr>
          <w:rFonts w:ascii="Arial" w:hAnsi="Arial" w:cs="Arial"/>
          <w:sz w:val="24"/>
          <w:szCs w:val="24"/>
        </w:rPr>
        <w:t xml:space="preserve">types of </w:t>
      </w:r>
      <w:r w:rsidR="00EF673D" w:rsidRPr="009500EC">
        <w:rPr>
          <w:rFonts w:ascii="Arial" w:hAnsi="Arial" w:cs="Arial"/>
          <w:sz w:val="24"/>
          <w:szCs w:val="24"/>
        </w:rPr>
        <w:t xml:space="preserve">additional </w:t>
      </w:r>
      <w:r w:rsidR="009362DF" w:rsidRPr="009500EC">
        <w:rPr>
          <w:rFonts w:ascii="Arial" w:hAnsi="Arial" w:cs="Arial"/>
          <w:sz w:val="24"/>
          <w:szCs w:val="24"/>
        </w:rPr>
        <w:t>evidence</w:t>
      </w:r>
      <w:r w:rsidRPr="009500EC">
        <w:rPr>
          <w:rFonts w:ascii="Arial" w:hAnsi="Arial" w:cs="Arial"/>
          <w:sz w:val="24"/>
          <w:szCs w:val="24"/>
        </w:rPr>
        <w:t xml:space="preserve"> a provider may wish to include in their </w:t>
      </w:r>
      <w:r w:rsidR="004175C9" w:rsidRPr="009500EC">
        <w:rPr>
          <w:rFonts w:ascii="Arial" w:hAnsi="Arial" w:cs="Arial"/>
          <w:sz w:val="24"/>
          <w:szCs w:val="24"/>
        </w:rPr>
        <w:t>submission.</w:t>
      </w:r>
      <w:r w:rsidRPr="009500EC">
        <w:rPr>
          <w:rFonts w:ascii="Arial" w:hAnsi="Arial" w:cs="Arial"/>
          <w:sz w:val="24"/>
          <w:szCs w:val="24"/>
        </w:rPr>
        <w:t xml:space="preserve"> </w:t>
      </w:r>
    </w:p>
    <w:p w14:paraId="1E55B775" w14:textId="77777777" w:rsidR="0082775E" w:rsidRPr="009500EC" w:rsidRDefault="0082775E" w:rsidP="009500EC">
      <w:pPr>
        <w:pStyle w:val="ListParagraph"/>
        <w:tabs>
          <w:tab w:val="left" w:pos="142"/>
        </w:tabs>
        <w:spacing w:after="0"/>
        <w:ind w:left="142"/>
        <w:rPr>
          <w:rFonts w:ascii="Arial" w:hAnsi="Arial" w:cs="Arial"/>
          <w:sz w:val="24"/>
          <w:szCs w:val="24"/>
        </w:rPr>
      </w:pPr>
    </w:p>
    <w:p w14:paraId="596BC8F6" w14:textId="77777777" w:rsidR="0062249D" w:rsidRPr="009500EC" w:rsidRDefault="00046317" w:rsidP="00AF7684">
      <w:pPr>
        <w:pStyle w:val="ListParagraph"/>
        <w:numPr>
          <w:ilvl w:val="0"/>
          <w:numId w:val="18"/>
        </w:numPr>
        <w:tabs>
          <w:tab w:val="left" w:pos="142"/>
        </w:tabs>
        <w:spacing w:after="0"/>
        <w:ind w:left="142" w:hanging="568"/>
        <w:rPr>
          <w:rFonts w:ascii="Arial" w:hAnsi="Arial" w:cs="Arial"/>
          <w:sz w:val="24"/>
          <w:szCs w:val="24"/>
        </w:rPr>
      </w:pPr>
      <w:r w:rsidRPr="009500EC">
        <w:rPr>
          <w:rFonts w:ascii="Arial" w:hAnsi="Arial" w:cs="Arial"/>
          <w:sz w:val="24"/>
          <w:szCs w:val="24"/>
        </w:rPr>
        <w:t xml:space="preserve">The list in </w:t>
      </w:r>
      <w:r w:rsidR="003F688A" w:rsidRPr="009500EC">
        <w:rPr>
          <w:rFonts w:ascii="Arial" w:hAnsi="Arial" w:cs="Arial"/>
          <w:b/>
          <w:sz w:val="24"/>
          <w:szCs w:val="24"/>
        </w:rPr>
        <w:t>F</w:t>
      </w:r>
      <w:r w:rsidRPr="009500EC">
        <w:rPr>
          <w:rFonts w:ascii="Arial" w:hAnsi="Arial" w:cs="Arial"/>
          <w:b/>
          <w:sz w:val="24"/>
          <w:szCs w:val="24"/>
        </w:rPr>
        <w:t>igure 6</w:t>
      </w:r>
      <w:r w:rsidRPr="009500EC">
        <w:rPr>
          <w:rFonts w:ascii="Arial" w:hAnsi="Arial" w:cs="Arial"/>
          <w:sz w:val="24"/>
          <w:szCs w:val="24"/>
        </w:rPr>
        <w:t xml:space="preserve"> is not exhaustive and the examples are </w:t>
      </w:r>
      <w:r w:rsidR="0082775E" w:rsidRPr="009500EC">
        <w:rPr>
          <w:rFonts w:ascii="Arial" w:hAnsi="Arial" w:cs="Arial"/>
          <w:sz w:val="24"/>
          <w:szCs w:val="24"/>
        </w:rPr>
        <w:t>intended</w:t>
      </w:r>
      <w:r w:rsidRPr="009500EC">
        <w:rPr>
          <w:rFonts w:ascii="Arial" w:hAnsi="Arial" w:cs="Arial"/>
          <w:sz w:val="24"/>
          <w:szCs w:val="24"/>
        </w:rPr>
        <w:t xml:space="preserve"> </w:t>
      </w:r>
      <w:r w:rsidR="00034B8B" w:rsidRPr="009500EC">
        <w:rPr>
          <w:rFonts w:ascii="Arial" w:hAnsi="Arial" w:cs="Arial"/>
          <w:sz w:val="24"/>
          <w:szCs w:val="24"/>
        </w:rPr>
        <w:t xml:space="preserve">to be </w:t>
      </w:r>
      <w:r w:rsidR="0082775E" w:rsidRPr="009500EC">
        <w:rPr>
          <w:rFonts w:ascii="Arial" w:hAnsi="Arial" w:cs="Arial"/>
          <w:sz w:val="24"/>
          <w:szCs w:val="24"/>
        </w:rPr>
        <w:t>indicative rather than prescriptive</w:t>
      </w:r>
      <w:r w:rsidR="00F1282C" w:rsidRPr="009500EC">
        <w:rPr>
          <w:rFonts w:ascii="Arial" w:hAnsi="Arial" w:cs="Arial"/>
          <w:sz w:val="24"/>
          <w:szCs w:val="24"/>
        </w:rPr>
        <w:t xml:space="preserve">. </w:t>
      </w:r>
      <w:r w:rsidR="00095711" w:rsidRPr="009500EC">
        <w:rPr>
          <w:rFonts w:ascii="Arial" w:hAnsi="Arial" w:cs="Arial"/>
          <w:sz w:val="24"/>
          <w:szCs w:val="24"/>
        </w:rPr>
        <w:t>A provider will not be expected or encouraged to submit all of this evidence</w:t>
      </w:r>
      <w:r w:rsidR="00974C35" w:rsidRPr="009500EC">
        <w:rPr>
          <w:rFonts w:ascii="Arial" w:hAnsi="Arial" w:cs="Arial"/>
          <w:sz w:val="24"/>
          <w:szCs w:val="24"/>
        </w:rPr>
        <w:t xml:space="preserve"> – the </w:t>
      </w:r>
      <w:r w:rsidR="00034B8B" w:rsidRPr="009500EC">
        <w:rPr>
          <w:rFonts w:ascii="Arial" w:hAnsi="Arial" w:cs="Arial"/>
          <w:sz w:val="24"/>
          <w:szCs w:val="24"/>
        </w:rPr>
        <w:t xml:space="preserve">range </w:t>
      </w:r>
      <w:r w:rsidR="00974C35" w:rsidRPr="009500EC">
        <w:rPr>
          <w:rFonts w:ascii="Arial" w:hAnsi="Arial" w:cs="Arial"/>
          <w:sz w:val="24"/>
          <w:szCs w:val="24"/>
        </w:rPr>
        <w:t xml:space="preserve">of examples is </w:t>
      </w:r>
      <w:r w:rsidR="00034B8B" w:rsidRPr="009500EC">
        <w:rPr>
          <w:rFonts w:ascii="Arial" w:hAnsi="Arial" w:cs="Arial"/>
          <w:sz w:val="24"/>
          <w:szCs w:val="24"/>
        </w:rPr>
        <w:t xml:space="preserve">intended </w:t>
      </w:r>
      <w:r w:rsidR="00974C35" w:rsidRPr="009500EC">
        <w:rPr>
          <w:rFonts w:ascii="Arial" w:hAnsi="Arial" w:cs="Arial"/>
          <w:sz w:val="24"/>
          <w:szCs w:val="24"/>
        </w:rPr>
        <w:t xml:space="preserve">to reflect the diversity of the sector rather than to imply that every provider can or should submit each </w:t>
      </w:r>
      <w:r w:rsidR="00034B8B" w:rsidRPr="009500EC">
        <w:rPr>
          <w:rFonts w:ascii="Arial" w:hAnsi="Arial" w:cs="Arial"/>
          <w:sz w:val="24"/>
          <w:szCs w:val="24"/>
        </w:rPr>
        <w:t>one</w:t>
      </w:r>
      <w:r w:rsidR="00974C35" w:rsidRPr="009500EC">
        <w:rPr>
          <w:rFonts w:ascii="Arial" w:hAnsi="Arial" w:cs="Arial"/>
          <w:sz w:val="24"/>
          <w:szCs w:val="24"/>
        </w:rPr>
        <w:t xml:space="preserve">. </w:t>
      </w:r>
      <w:r w:rsidR="00E94645" w:rsidRPr="009500EC">
        <w:rPr>
          <w:rFonts w:ascii="Arial" w:hAnsi="Arial" w:cs="Arial"/>
          <w:sz w:val="24"/>
          <w:szCs w:val="24"/>
        </w:rPr>
        <w:t xml:space="preserve">Providers will, instead, </w:t>
      </w:r>
      <w:r w:rsidR="00F1282C" w:rsidRPr="009500EC">
        <w:rPr>
          <w:rFonts w:ascii="Arial" w:hAnsi="Arial" w:cs="Arial"/>
          <w:sz w:val="24"/>
          <w:szCs w:val="24"/>
        </w:rPr>
        <w:t xml:space="preserve">be expected </w:t>
      </w:r>
      <w:r w:rsidR="00E94645" w:rsidRPr="009500EC">
        <w:rPr>
          <w:rFonts w:ascii="Arial" w:hAnsi="Arial" w:cs="Arial"/>
          <w:sz w:val="24"/>
          <w:szCs w:val="24"/>
        </w:rPr>
        <w:t xml:space="preserve">to judge for themselves how best to make their case </w:t>
      </w:r>
      <w:r w:rsidR="00095711" w:rsidRPr="009500EC">
        <w:rPr>
          <w:rFonts w:ascii="Arial" w:hAnsi="Arial" w:cs="Arial"/>
          <w:sz w:val="24"/>
          <w:szCs w:val="24"/>
        </w:rPr>
        <w:t>using their own choice of indicators of impact and effectiveness.</w:t>
      </w:r>
      <w:r w:rsidR="00F1282C" w:rsidRPr="009500EC">
        <w:rPr>
          <w:rFonts w:ascii="Arial" w:hAnsi="Arial" w:cs="Arial"/>
          <w:sz w:val="24"/>
          <w:szCs w:val="24"/>
        </w:rPr>
        <w:t xml:space="preserve"> </w:t>
      </w:r>
    </w:p>
    <w:p w14:paraId="7E7AFC68" w14:textId="77777777" w:rsidR="009500EC" w:rsidRDefault="009500EC" w:rsidP="00095711">
      <w:pPr>
        <w:spacing w:after="0"/>
        <w:rPr>
          <w:rFonts w:cs="Arial"/>
        </w:rPr>
      </w:pPr>
    </w:p>
    <w:p w14:paraId="5FC6CCB5" w14:textId="77777777" w:rsidR="00974C35" w:rsidRDefault="00F1282C" w:rsidP="00AF7684">
      <w:pPr>
        <w:pStyle w:val="ListParagraph"/>
        <w:numPr>
          <w:ilvl w:val="0"/>
          <w:numId w:val="18"/>
        </w:numPr>
        <w:tabs>
          <w:tab w:val="left" w:pos="142"/>
        </w:tabs>
        <w:spacing w:after="0"/>
        <w:ind w:left="142" w:hanging="568"/>
        <w:rPr>
          <w:rFonts w:ascii="Arial" w:hAnsi="Arial" w:cs="Arial"/>
          <w:b/>
          <w:sz w:val="24"/>
          <w:szCs w:val="24"/>
        </w:rPr>
      </w:pPr>
      <w:r w:rsidRPr="009500EC">
        <w:rPr>
          <w:rFonts w:ascii="Arial" w:hAnsi="Arial" w:cs="Arial"/>
          <w:b/>
          <w:sz w:val="24"/>
          <w:szCs w:val="24"/>
        </w:rPr>
        <w:t xml:space="preserve">Figure </w:t>
      </w:r>
      <w:r w:rsidR="00B53A16" w:rsidRPr="009500EC">
        <w:rPr>
          <w:rFonts w:ascii="Arial" w:hAnsi="Arial" w:cs="Arial"/>
          <w:b/>
          <w:sz w:val="24"/>
          <w:szCs w:val="24"/>
        </w:rPr>
        <w:t>6</w:t>
      </w:r>
      <w:r w:rsidR="00637191" w:rsidRPr="009500EC">
        <w:rPr>
          <w:rFonts w:ascii="Arial" w:hAnsi="Arial" w:cs="Arial"/>
          <w:b/>
          <w:sz w:val="24"/>
          <w:szCs w:val="24"/>
        </w:rPr>
        <w:t xml:space="preserve">: Indicative list of additional </w:t>
      </w:r>
      <w:r w:rsidR="00095711" w:rsidRPr="009500EC">
        <w:rPr>
          <w:rFonts w:ascii="Arial" w:hAnsi="Arial" w:cs="Arial"/>
          <w:b/>
          <w:sz w:val="24"/>
          <w:szCs w:val="24"/>
        </w:rPr>
        <w:t>evidence</w:t>
      </w:r>
    </w:p>
    <w:p w14:paraId="2B7B4803" w14:textId="77777777" w:rsidR="00FD51F3" w:rsidRPr="00FD51F3" w:rsidRDefault="00FD51F3" w:rsidP="00FD51F3">
      <w:pPr>
        <w:tabs>
          <w:tab w:val="left" w:pos="142"/>
        </w:tabs>
        <w:spacing w:after="0"/>
        <w:ind w:left="-426"/>
        <w:rPr>
          <w:rFonts w:cs="Arial"/>
          <w:b/>
        </w:rPr>
      </w:pPr>
    </w:p>
    <w:tbl>
      <w:tblPr>
        <w:tblStyle w:val="Table-bluegrid"/>
        <w:tblW w:w="4299" w:type="pct"/>
        <w:tblLayout w:type="fixed"/>
        <w:tblLook w:val="01E0" w:firstRow="1" w:lastRow="1" w:firstColumn="1" w:lastColumn="1" w:noHBand="0" w:noVBand="0"/>
      </w:tblPr>
      <w:tblGrid>
        <w:gridCol w:w="1950"/>
        <w:gridCol w:w="6522"/>
      </w:tblGrid>
      <w:tr w:rsidR="00FD51F3" w:rsidRPr="0028755F" w14:paraId="07B9748E" w14:textId="77777777" w:rsidTr="00FD51F3">
        <w:trPr>
          <w:cnfStyle w:val="100000000000" w:firstRow="1" w:lastRow="0" w:firstColumn="0" w:lastColumn="0" w:oddVBand="0" w:evenVBand="0" w:oddHBand="0" w:evenHBand="0" w:firstRowFirstColumn="0" w:firstRowLastColumn="0" w:lastRowFirstColumn="0" w:lastRowLastColumn="0"/>
          <w:trHeight w:val="166"/>
        </w:trPr>
        <w:tc>
          <w:tcPr>
            <w:tcW w:w="1151" w:type="pct"/>
          </w:tcPr>
          <w:p w14:paraId="0828F5DA" w14:textId="007196CD" w:rsidR="00FD51F3" w:rsidRPr="002A0605" w:rsidRDefault="00FD51F3" w:rsidP="00FD51F3">
            <w:pPr>
              <w:pStyle w:val="Tabletitle-WhiteNormal"/>
              <w:ind w:left="0"/>
            </w:pPr>
            <w:r>
              <w:t>Aspect</w:t>
            </w:r>
          </w:p>
        </w:tc>
        <w:tc>
          <w:tcPr>
            <w:tcW w:w="3849" w:type="pct"/>
          </w:tcPr>
          <w:p w14:paraId="266C57CF" w14:textId="295A710B" w:rsidR="00FD51F3" w:rsidRPr="002A0605" w:rsidRDefault="00FD51F3" w:rsidP="00017E33">
            <w:pPr>
              <w:pStyle w:val="Tabletitle-WhiteNormal"/>
            </w:pPr>
            <w:r>
              <w:t xml:space="preserve">Possible examples of evidence </w:t>
            </w:r>
          </w:p>
        </w:tc>
      </w:tr>
      <w:tr w:rsidR="00FD51F3" w:rsidRPr="00015C4E" w14:paraId="2C4FDDE6" w14:textId="77777777" w:rsidTr="00FD51F3">
        <w:trPr>
          <w:trHeight w:val="263"/>
        </w:trPr>
        <w:tc>
          <w:tcPr>
            <w:tcW w:w="1151" w:type="pct"/>
          </w:tcPr>
          <w:p w14:paraId="70B912E2" w14:textId="79FD85E1" w:rsidR="00FD51F3" w:rsidRPr="003654E6" w:rsidRDefault="00FD51F3" w:rsidP="00017E33">
            <w:pPr>
              <w:pStyle w:val="Tabletext-Bold"/>
            </w:pPr>
            <w:r>
              <w:t>Teaching Quality</w:t>
            </w:r>
          </w:p>
        </w:tc>
        <w:tc>
          <w:tcPr>
            <w:tcW w:w="3849" w:type="pct"/>
          </w:tcPr>
          <w:p w14:paraId="0813B739" w14:textId="54885E71" w:rsidR="00FD51F3" w:rsidRDefault="00FD51F3" w:rsidP="00FD51F3">
            <w:pPr>
              <w:pStyle w:val="ListParagraph"/>
              <w:numPr>
                <w:ilvl w:val="0"/>
                <w:numId w:val="29"/>
              </w:numPr>
              <w:spacing w:after="0" w:line="240" w:lineRule="auto"/>
              <w:rPr>
                <w:rFonts w:ascii="Arial" w:eastAsia="Times New Roman" w:hAnsi="Arial" w:cs="Arial"/>
                <w:color w:val="000000"/>
                <w:sz w:val="24"/>
                <w:szCs w:val="24"/>
              </w:rPr>
            </w:pPr>
            <w:r w:rsidRPr="008926CD">
              <w:rPr>
                <w:rFonts w:ascii="Arial" w:eastAsia="Times New Roman" w:hAnsi="Arial" w:cs="Arial"/>
                <w:color w:val="000000"/>
                <w:sz w:val="24"/>
                <w:szCs w:val="24"/>
              </w:rPr>
              <w:t xml:space="preserve">Impact and effectiveness of </w:t>
            </w:r>
            <w:r>
              <w:rPr>
                <w:rFonts w:ascii="Arial" w:eastAsia="Times New Roman" w:hAnsi="Arial" w:cs="Arial"/>
                <w:color w:val="000000"/>
                <w:sz w:val="24"/>
                <w:szCs w:val="24"/>
              </w:rPr>
              <w:t>i</w:t>
            </w:r>
            <w:r w:rsidRPr="008926CD">
              <w:rPr>
                <w:rFonts w:ascii="Arial" w:eastAsia="Times New Roman" w:hAnsi="Arial" w:cs="Arial"/>
                <w:color w:val="000000"/>
                <w:sz w:val="24"/>
                <w:szCs w:val="24"/>
              </w:rPr>
              <w:t>nvolving students in teaching evaluation e</w:t>
            </w:r>
            <w:r w:rsidR="006E49D9">
              <w:rPr>
                <w:rFonts w:ascii="Arial" w:eastAsia="Times New Roman" w:hAnsi="Arial" w:cs="Arial"/>
                <w:color w:val="000000"/>
                <w:sz w:val="24"/>
                <w:szCs w:val="24"/>
              </w:rPr>
              <w:t>.</w:t>
            </w:r>
            <w:r w:rsidRPr="008926CD">
              <w:rPr>
                <w:rFonts w:ascii="Arial" w:eastAsia="Times New Roman" w:hAnsi="Arial" w:cs="Arial"/>
                <w:color w:val="000000"/>
                <w:sz w:val="24"/>
                <w:szCs w:val="24"/>
              </w:rPr>
              <w:t>g</w:t>
            </w:r>
            <w:r w:rsidR="006E49D9">
              <w:rPr>
                <w:rFonts w:ascii="Arial" w:eastAsia="Times New Roman" w:hAnsi="Arial" w:cs="Arial"/>
                <w:color w:val="000000"/>
                <w:sz w:val="24"/>
                <w:szCs w:val="24"/>
              </w:rPr>
              <w:t>.</w:t>
            </w:r>
            <w:r w:rsidRPr="008926CD">
              <w:rPr>
                <w:rFonts w:ascii="Arial" w:eastAsia="Times New Roman" w:hAnsi="Arial" w:cs="Arial"/>
                <w:color w:val="000000"/>
                <w:sz w:val="24"/>
                <w:szCs w:val="24"/>
              </w:rPr>
              <w:t xml:space="preserve"> collecting and acting on thei</w:t>
            </w:r>
            <w:r>
              <w:rPr>
                <w:rFonts w:ascii="Arial" w:eastAsia="Times New Roman" w:hAnsi="Arial" w:cs="Arial"/>
                <w:color w:val="000000"/>
                <w:sz w:val="24"/>
                <w:szCs w:val="24"/>
              </w:rPr>
              <w:t>r feedback</w:t>
            </w:r>
          </w:p>
          <w:p w14:paraId="7768BD60" w14:textId="12530E08" w:rsidR="00FD51F3" w:rsidRPr="00377EDB" w:rsidRDefault="00FD51F3" w:rsidP="00FD51F3">
            <w:pPr>
              <w:pStyle w:val="ListParagraph"/>
              <w:numPr>
                <w:ilvl w:val="0"/>
                <w:numId w:val="29"/>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Impact and e</w:t>
            </w:r>
            <w:r w:rsidRPr="00377EDB">
              <w:rPr>
                <w:rFonts w:ascii="Arial" w:eastAsia="Times New Roman" w:hAnsi="Arial" w:cs="Arial"/>
                <w:color w:val="000000"/>
                <w:sz w:val="24"/>
                <w:szCs w:val="24"/>
              </w:rPr>
              <w:t>ffectiveness of schemes focused on monitoring and maximising students’ engagement with their studies</w:t>
            </w:r>
            <w:r>
              <w:rPr>
                <w:rFonts w:ascii="Arial" w:eastAsia="Times New Roman" w:hAnsi="Arial" w:cs="Arial"/>
                <w:color w:val="000000"/>
                <w:sz w:val="24"/>
                <w:szCs w:val="24"/>
              </w:rPr>
              <w:t xml:space="preserve"> e</w:t>
            </w:r>
            <w:r w:rsidR="006E49D9">
              <w:rPr>
                <w:rFonts w:ascii="Arial" w:eastAsia="Times New Roman" w:hAnsi="Arial" w:cs="Arial"/>
                <w:color w:val="000000"/>
                <w:sz w:val="24"/>
                <w:szCs w:val="24"/>
              </w:rPr>
              <w:t>.</w:t>
            </w:r>
            <w:r>
              <w:rPr>
                <w:rFonts w:ascii="Arial" w:eastAsia="Times New Roman" w:hAnsi="Arial" w:cs="Arial"/>
                <w:color w:val="000000"/>
                <w:sz w:val="24"/>
                <w:szCs w:val="24"/>
              </w:rPr>
              <w:t>g</w:t>
            </w:r>
            <w:r w:rsidR="006E49D9">
              <w:rPr>
                <w:rFonts w:ascii="Arial" w:eastAsia="Times New Roman" w:hAnsi="Arial" w:cs="Arial"/>
                <w:color w:val="000000"/>
                <w:sz w:val="24"/>
                <w:szCs w:val="24"/>
              </w:rPr>
              <w:t>.</w:t>
            </w:r>
            <w:r>
              <w:rPr>
                <w:rFonts w:ascii="Arial" w:eastAsia="Times New Roman" w:hAnsi="Arial" w:cs="Arial"/>
                <w:color w:val="000000"/>
                <w:sz w:val="24"/>
                <w:szCs w:val="24"/>
              </w:rPr>
              <w:t xml:space="preserve"> the UK Engagement Survey (UKES) and other mechanisms</w:t>
            </w:r>
          </w:p>
          <w:p w14:paraId="08360A82" w14:textId="77777777" w:rsidR="00FD51F3" w:rsidRPr="00EA7101" w:rsidRDefault="00FD51F3" w:rsidP="00FD51F3">
            <w:pPr>
              <w:pStyle w:val="ListParagraph"/>
              <w:numPr>
                <w:ilvl w:val="0"/>
                <w:numId w:val="29"/>
              </w:numPr>
              <w:spacing w:after="0" w:line="240" w:lineRule="auto"/>
              <w:rPr>
                <w:rFonts w:ascii="Arial" w:eastAsia="Times New Roman" w:hAnsi="Arial" w:cs="Arial"/>
                <w:color w:val="000000"/>
                <w:sz w:val="24"/>
                <w:szCs w:val="24"/>
              </w:rPr>
            </w:pPr>
            <w:r w:rsidRPr="00EA7101">
              <w:rPr>
                <w:rFonts w:ascii="Arial" w:hAnsi="Arial" w:cs="Arial"/>
                <w:sz w:val="24"/>
                <w:szCs w:val="24"/>
              </w:rPr>
              <w:t>Recognition of courses by professional, statutory and regulatory bodies (PSRBs)</w:t>
            </w:r>
          </w:p>
          <w:p w14:paraId="1C3DCFA8" w14:textId="77777777" w:rsidR="00FD51F3" w:rsidRPr="008926CD" w:rsidRDefault="00FD51F3" w:rsidP="00FD51F3">
            <w:pPr>
              <w:pStyle w:val="ListParagraph"/>
              <w:numPr>
                <w:ilvl w:val="0"/>
                <w:numId w:val="29"/>
              </w:numPr>
              <w:spacing w:after="0" w:line="240" w:lineRule="auto"/>
              <w:rPr>
                <w:rFonts w:ascii="Arial" w:hAnsi="Arial" w:cs="Arial"/>
                <w:sz w:val="24"/>
                <w:szCs w:val="24"/>
              </w:rPr>
            </w:pPr>
            <w:r>
              <w:rPr>
                <w:rFonts w:ascii="Arial" w:eastAsia="Times New Roman" w:hAnsi="Arial" w:cs="Arial"/>
                <w:color w:val="000000"/>
                <w:sz w:val="24"/>
                <w:szCs w:val="24"/>
              </w:rPr>
              <w:t xml:space="preserve">How </w:t>
            </w:r>
            <w:r w:rsidRPr="008926CD">
              <w:rPr>
                <w:rFonts w:ascii="Arial" w:eastAsia="Times New Roman" w:hAnsi="Arial" w:cs="Arial"/>
                <w:color w:val="000000"/>
                <w:sz w:val="24"/>
                <w:szCs w:val="24"/>
              </w:rPr>
              <w:t xml:space="preserve">the provider is successfully </w:t>
            </w:r>
            <w:r>
              <w:rPr>
                <w:rFonts w:ascii="Arial" w:eastAsia="Times New Roman" w:hAnsi="Arial" w:cs="Arial"/>
                <w:color w:val="000000"/>
                <w:sz w:val="24"/>
                <w:szCs w:val="24"/>
              </w:rPr>
              <w:t xml:space="preserve">identifying, </w:t>
            </w:r>
            <w:r>
              <w:rPr>
                <w:rFonts w:ascii="Arial" w:eastAsia="Times New Roman" w:hAnsi="Arial" w:cs="Arial"/>
                <w:color w:val="000000"/>
                <w:sz w:val="24"/>
                <w:szCs w:val="24"/>
              </w:rPr>
              <w:lastRenderedPageBreak/>
              <w:t xml:space="preserve">addressing and preventing </w:t>
            </w:r>
            <w:r w:rsidRPr="008926CD">
              <w:rPr>
                <w:rFonts w:ascii="Arial" w:eastAsia="Times New Roman" w:hAnsi="Arial" w:cs="Arial"/>
                <w:color w:val="000000"/>
                <w:sz w:val="24"/>
                <w:szCs w:val="24"/>
              </w:rPr>
              <w:t>grade inflation</w:t>
            </w:r>
          </w:p>
          <w:p w14:paraId="0A541CE0" w14:textId="77777777" w:rsidR="00FD51F3" w:rsidRPr="00384225" w:rsidRDefault="00FD51F3" w:rsidP="00FD51F3">
            <w:pPr>
              <w:pStyle w:val="ListParagraph"/>
              <w:numPr>
                <w:ilvl w:val="0"/>
                <w:numId w:val="29"/>
              </w:numPr>
              <w:spacing w:after="0" w:line="240" w:lineRule="auto"/>
              <w:rPr>
                <w:rFonts w:ascii="Arial" w:eastAsia="Times New Roman" w:hAnsi="Arial" w:cs="Arial"/>
                <w:color w:val="000000"/>
                <w:sz w:val="24"/>
                <w:szCs w:val="24"/>
              </w:rPr>
            </w:pPr>
            <w:r w:rsidRPr="00384225">
              <w:rPr>
                <w:rFonts w:ascii="Arial" w:eastAsia="Times New Roman" w:hAnsi="Arial" w:cs="Arial"/>
                <w:color w:val="000000"/>
                <w:sz w:val="24"/>
                <w:szCs w:val="24"/>
              </w:rPr>
              <w:t>Quantitative information on teaching intensity, such as weighted contact hours</w:t>
            </w:r>
            <w:r w:rsidRPr="00FB5EDD">
              <w:rPr>
                <w:rStyle w:val="FootnoteReference"/>
                <w:lang w:eastAsia="en-US"/>
              </w:rPr>
              <w:footnoteReference w:id="32"/>
            </w:r>
          </w:p>
          <w:p w14:paraId="57E483BB" w14:textId="77777777" w:rsidR="00FD51F3" w:rsidRPr="008926CD" w:rsidRDefault="00FD51F3" w:rsidP="00FD51F3">
            <w:pPr>
              <w:pStyle w:val="ListParagraph"/>
              <w:numPr>
                <w:ilvl w:val="0"/>
                <w:numId w:val="29"/>
              </w:numPr>
              <w:spacing w:after="0" w:line="240" w:lineRule="auto"/>
              <w:rPr>
                <w:rFonts w:ascii="Arial" w:eastAsia="Times New Roman" w:hAnsi="Arial" w:cs="Arial"/>
                <w:color w:val="000000"/>
                <w:sz w:val="24"/>
                <w:szCs w:val="24"/>
              </w:rPr>
            </w:pPr>
            <w:r w:rsidRPr="008926CD">
              <w:rPr>
                <w:rFonts w:ascii="Arial" w:hAnsi="Arial" w:cs="Arial"/>
                <w:sz w:val="24"/>
                <w:szCs w:val="24"/>
              </w:rPr>
              <w:t>Impact and effectiveness of external examining</w:t>
            </w:r>
          </w:p>
          <w:p w14:paraId="749E8C46" w14:textId="77777777" w:rsidR="00FD51F3" w:rsidRPr="008926CD" w:rsidRDefault="00FD51F3" w:rsidP="00FD51F3">
            <w:pPr>
              <w:pStyle w:val="ListParagraph"/>
              <w:numPr>
                <w:ilvl w:val="0"/>
                <w:numId w:val="29"/>
              </w:numPr>
              <w:spacing w:after="0" w:line="240" w:lineRule="auto"/>
              <w:rPr>
                <w:rFonts w:ascii="Arial" w:hAnsi="Arial" w:cs="Arial"/>
                <w:sz w:val="24"/>
                <w:szCs w:val="24"/>
              </w:rPr>
            </w:pPr>
            <w:r w:rsidRPr="008926CD">
              <w:rPr>
                <w:rFonts w:ascii="Arial" w:hAnsi="Arial" w:cs="Arial"/>
                <w:sz w:val="24"/>
                <w:szCs w:val="24"/>
              </w:rPr>
              <w:t>Impact and effectiveness of teaching observation schemes</w:t>
            </w:r>
          </w:p>
          <w:p w14:paraId="0178567D" w14:textId="77777777" w:rsidR="00FD51F3" w:rsidRPr="008926CD" w:rsidRDefault="00FD51F3" w:rsidP="00FD51F3">
            <w:pPr>
              <w:pStyle w:val="ListParagraph"/>
              <w:numPr>
                <w:ilvl w:val="0"/>
                <w:numId w:val="29"/>
              </w:numPr>
              <w:spacing w:after="0" w:line="240" w:lineRule="auto"/>
              <w:rPr>
                <w:rFonts w:ascii="Arial" w:hAnsi="Arial" w:cs="Arial"/>
                <w:sz w:val="24"/>
                <w:szCs w:val="24"/>
              </w:rPr>
            </w:pPr>
            <w:r>
              <w:rPr>
                <w:rFonts w:ascii="Arial" w:hAnsi="Arial" w:cs="Arial"/>
                <w:sz w:val="24"/>
                <w:szCs w:val="24"/>
              </w:rPr>
              <w:t xml:space="preserve">Impact and effectiveness </w:t>
            </w:r>
            <w:r w:rsidRPr="008926CD">
              <w:rPr>
                <w:rFonts w:ascii="Arial" w:hAnsi="Arial" w:cs="Arial"/>
                <w:sz w:val="24"/>
                <w:szCs w:val="24"/>
              </w:rPr>
              <w:t xml:space="preserve">of innovative </w:t>
            </w:r>
            <w:r>
              <w:rPr>
                <w:rFonts w:ascii="Arial" w:hAnsi="Arial" w:cs="Arial"/>
                <w:sz w:val="24"/>
                <w:szCs w:val="24"/>
              </w:rPr>
              <w:t>approaches</w:t>
            </w:r>
            <w:r w:rsidRPr="008926CD">
              <w:rPr>
                <w:rFonts w:ascii="Arial" w:hAnsi="Arial" w:cs="Arial"/>
                <w:sz w:val="24"/>
                <w:szCs w:val="24"/>
              </w:rPr>
              <w:t xml:space="preserve">, new technology or educational research </w:t>
            </w:r>
          </w:p>
          <w:p w14:paraId="009AB309" w14:textId="77777777" w:rsidR="00FD51F3" w:rsidRPr="00384225" w:rsidRDefault="00FD51F3" w:rsidP="00FD51F3">
            <w:pPr>
              <w:pStyle w:val="ListParagraph"/>
              <w:numPr>
                <w:ilvl w:val="0"/>
                <w:numId w:val="29"/>
              </w:numPr>
              <w:spacing w:after="0" w:line="240" w:lineRule="auto"/>
              <w:rPr>
                <w:rFonts w:ascii="Arial" w:hAnsi="Arial" w:cs="Arial"/>
                <w:sz w:val="24"/>
                <w:szCs w:val="24"/>
              </w:rPr>
            </w:pPr>
            <w:r w:rsidRPr="00384225">
              <w:rPr>
                <w:rFonts w:ascii="Arial" w:hAnsi="Arial" w:cs="Arial"/>
                <w:sz w:val="24"/>
                <w:szCs w:val="24"/>
              </w:rPr>
              <w:t xml:space="preserve">Recognition and reward schemes, including progression and promotion opportunities for staff based on teaching commitment and performance </w:t>
            </w:r>
          </w:p>
          <w:p w14:paraId="49D30788" w14:textId="77777777" w:rsidR="00FD51F3" w:rsidRPr="00384225" w:rsidRDefault="00FD51F3" w:rsidP="00FD51F3">
            <w:pPr>
              <w:pStyle w:val="ListParagraph"/>
              <w:numPr>
                <w:ilvl w:val="0"/>
                <w:numId w:val="29"/>
              </w:numPr>
              <w:spacing w:after="0" w:line="240" w:lineRule="auto"/>
              <w:rPr>
                <w:rFonts w:ascii="Arial" w:hAnsi="Arial" w:cs="Arial"/>
                <w:sz w:val="24"/>
                <w:szCs w:val="24"/>
              </w:rPr>
            </w:pPr>
            <w:r w:rsidRPr="00384225">
              <w:rPr>
                <w:rFonts w:ascii="Arial" w:hAnsi="Arial" w:cs="Arial"/>
                <w:sz w:val="24"/>
                <w:szCs w:val="24"/>
              </w:rPr>
              <w:t>Quantitative information relating to the qualification, experience and contractual basis of staff who teach</w:t>
            </w:r>
          </w:p>
          <w:p w14:paraId="07165F81" w14:textId="3FD4D8A3" w:rsidR="00FD51F3" w:rsidRPr="00015C4E" w:rsidRDefault="00FD51F3" w:rsidP="00FD51F3">
            <w:pPr>
              <w:pStyle w:val="Tabletext-Normal"/>
              <w:numPr>
                <w:ilvl w:val="0"/>
                <w:numId w:val="29"/>
              </w:numPr>
            </w:pPr>
            <w:r w:rsidRPr="008926CD">
              <w:rPr>
                <w:rFonts w:cs="Arial"/>
                <w:sz w:val="24"/>
              </w:rPr>
              <w:t>Impact and effectiveness of feedback initiatives aimed at supporting students’ development, progression and achievement</w:t>
            </w:r>
          </w:p>
        </w:tc>
      </w:tr>
      <w:tr w:rsidR="00FD51F3" w:rsidRPr="00015C4E" w14:paraId="4544F22D" w14:textId="77777777" w:rsidTr="00FD51F3">
        <w:trPr>
          <w:trHeight w:val="200"/>
        </w:trPr>
        <w:tc>
          <w:tcPr>
            <w:tcW w:w="1151" w:type="pct"/>
          </w:tcPr>
          <w:p w14:paraId="0F009A40" w14:textId="3394F4F2" w:rsidR="00FD51F3" w:rsidRDefault="00FD51F3" w:rsidP="00017E33">
            <w:pPr>
              <w:pStyle w:val="Tabletext-Bold"/>
            </w:pPr>
            <w:r>
              <w:lastRenderedPageBreak/>
              <w:t>Learning Environment</w:t>
            </w:r>
          </w:p>
        </w:tc>
        <w:tc>
          <w:tcPr>
            <w:tcW w:w="3849" w:type="pct"/>
          </w:tcPr>
          <w:p w14:paraId="1869ABEB" w14:textId="77777777" w:rsidR="00FD51F3" w:rsidRPr="009500EC" w:rsidRDefault="00FD51F3" w:rsidP="00FD51F3">
            <w:pPr>
              <w:pStyle w:val="ListParagraph"/>
              <w:numPr>
                <w:ilvl w:val="0"/>
                <w:numId w:val="31"/>
              </w:numPr>
              <w:spacing w:after="0" w:line="240" w:lineRule="auto"/>
              <w:rPr>
                <w:rFonts w:ascii="Arial" w:hAnsi="Arial" w:cs="Arial"/>
                <w:sz w:val="24"/>
                <w:szCs w:val="24"/>
              </w:rPr>
            </w:pPr>
            <w:r w:rsidRPr="009500EC">
              <w:rPr>
                <w:rFonts w:ascii="Arial" w:hAnsi="Arial" w:cs="Arial"/>
                <w:sz w:val="24"/>
                <w:szCs w:val="24"/>
              </w:rPr>
              <w:t xml:space="preserve">Impact and effectiveness of initiatives aimed at supporting the transition into and through a higher education course </w:t>
            </w:r>
          </w:p>
          <w:p w14:paraId="28F50368" w14:textId="77777777" w:rsidR="00FD51F3" w:rsidRPr="009500EC" w:rsidRDefault="00FD51F3" w:rsidP="00FD51F3">
            <w:pPr>
              <w:pStyle w:val="ListParagraph"/>
              <w:numPr>
                <w:ilvl w:val="0"/>
                <w:numId w:val="31"/>
              </w:numPr>
              <w:spacing w:after="0" w:line="240" w:lineRule="auto"/>
              <w:rPr>
                <w:rFonts w:ascii="Arial" w:hAnsi="Arial" w:cs="Arial"/>
                <w:sz w:val="24"/>
                <w:szCs w:val="24"/>
              </w:rPr>
            </w:pPr>
            <w:r w:rsidRPr="009500EC">
              <w:rPr>
                <w:rFonts w:ascii="Arial" w:hAnsi="Arial" w:cs="Arial"/>
                <w:sz w:val="24"/>
                <w:szCs w:val="24"/>
              </w:rPr>
              <w:t>Quantitative information demonstrating proportional investment in teaching and learning infrastructure</w:t>
            </w:r>
          </w:p>
          <w:p w14:paraId="5A9066A0" w14:textId="77777777" w:rsidR="00FD51F3" w:rsidRPr="009500EC" w:rsidRDefault="00FD51F3" w:rsidP="00FD51F3">
            <w:pPr>
              <w:pStyle w:val="ListParagraph"/>
              <w:numPr>
                <w:ilvl w:val="0"/>
                <w:numId w:val="31"/>
              </w:numPr>
              <w:spacing w:after="0" w:line="240" w:lineRule="auto"/>
              <w:rPr>
                <w:rFonts w:ascii="Arial" w:hAnsi="Arial" w:cs="Arial"/>
                <w:sz w:val="24"/>
                <w:szCs w:val="24"/>
              </w:rPr>
            </w:pPr>
            <w:r w:rsidRPr="009500EC">
              <w:rPr>
                <w:rFonts w:ascii="Arial" w:hAnsi="Arial" w:cs="Arial"/>
                <w:sz w:val="24"/>
                <w:szCs w:val="24"/>
              </w:rPr>
              <w:t>Use and effectiveness of learner analytics in tracking and monitoring progress and development</w:t>
            </w:r>
          </w:p>
          <w:p w14:paraId="70BDEAA7" w14:textId="77777777" w:rsidR="00FD51F3" w:rsidRPr="009500EC" w:rsidRDefault="00FD51F3" w:rsidP="00FD51F3">
            <w:pPr>
              <w:pStyle w:val="ListParagraph"/>
              <w:numPr>
                <w:ilvl w:val="0"/>
                <w:numId w:val="31"/>
              </w:numPr>
              <w:spacing w:after="0" w:line="240" w:lineRule="auto"/>
              <w:rPr>
                <w:rFonts w:ascii="Arial" w:hAnsi="Arial" w:cs="Arial"/>
                <w:sz w:val="24"/>
                <w:szCs w:val="24"/>
              </w:rPr>
            </w:pPr>
            <w:r w:rsidRPr="009500EC">
              <w:rPr>
                <w:rFonts w:ascii="Arial" w:hAnsi="Arial" w:cs="Arial"/>
                <w:sz w:val="24"/>
                <w:szCs w:val="24"/>
              </w:rPr>
              <w:t>Extent, nature and impact of employer engagement in course design and/or delivery</w:t>
            </w:r>
          </w:p>
          <w:p w14:paraId="252A3503" w14:textId="40E00367" w:rsidR="00FD51F3" w:rsidRPr="00015C4E" w:rsidRDefault="00FD51F3" w:rsidP="00FD51F3">
            <w:pPr>
              <w:pStyle w:val="Tabletext-Normal"/>
              <w:numPr>
                <w:ilvl w:val="0"/>
                <w:numId w:val="31"/>
              </w:numPr>
            </w:pPr>
            <w:r w:rsidRPr="009500EC">
              <w:rPr>
                <w:rFonts w:cs="Arial"/>
                <w:sz w:val="24"/>
              </w:rPr>
              <w:t>Extent and impact of student involvement in or exposure to the latest developments in research, scholarship or professional practice (one or more)</w:t>
            </w:r>
          </w:p>
        </w:tc>
      </w:tr>
      <w:tr w:rsidR="00FD51F3" w:rsidRPr="00015C4E" w14:paraId="401AC4A7" w14:textId="77777777" w:rsidTr="00FD51F3">
        <w:trPr>
          <w:trHeight w:val="200"/>
        </w:trPr>
        <w:tc>
          <w:tcPr>
            <w:tcW w:w="1151" w:type="pct"/>
          </w:tcPr>
          <w:p w14:paraId="5F432008" w14:textId="68CC8147" w:rsidR="00FD51F3" w:rsidRDefault="00FD51F3" w:rsidP="00017E33">
            <w:pPr>
              <w:pStyle w:val="Tabletext-Bold"/>
            </w:pPr>
            <w:r w:rsidRPr="00FD51F3">
              <w:t>Student Outcomes and Learning Gain</w:t>
            </w:r>
          </w:p>
        </w:tc>
        <w:tc>
          <w:tcPr>
            <w:tcW w:w="3849" w:type="pct"/>
          </w:tcPr>
          <w:p w14:paraId="6584F9EE" w14:textId="77777777" w:rsidR="00FD51F3" w:rsidRPr="00FD51F3" w:rsidRDefault="00FD51F3" w:rsidP="00FD51F3">
            <w:pPr>
              <w:pStyle w:val="ListParagraph"/>
              <w:numPr>
                <w:ilvl w:val="0"/>
                <w:numId w:val="31"/>
              </w:numPr>
              <w:spacing w:after="0"/>
              <w:rPr>
                <w:rFonts w:ascii="Arial" w:hAnsi="Arial" w:cs="Arial"/>
                <w:sz w:val="24"/>
                <w:szCs w:val="24"/>
              </w:rPr>
            </w:pPr>
            <w:r w:rsidRPr="00FD51F3">
              <w:rPr>
                <w:rFonts w:ascii="Arial" w:hAnsi="Arial" w:cs="Arial"/>
                <w:sz w:val="24"/>
                <w:szCs w:val="24"/>
              </w:rPr>
              <w:t xml:space="preserve">Impact and effectiveness of initiatives aimed at understanding, assessing and improving retention and completion </w:t>
            </w:r>
          </w:p>
          <w:p w14:paraId="397505D0" w14:textId="77777777" w:rsidR="00FD51F3" w:rsidRPr="00FD51F3" w:rsidRDefault="00FD51F3" w:rsidP="00FD51F3">
            <w:pPr>
              <w:pStyle w:val="ListParagraph"/>
              <w:numPr>
                <w:ilvl w:val="0"/>
                <w:numId w:val="31"/>
              </w:numPr>
              <w:spacing w:after="0"/>
              <w:rPr>
                <w:rFonts w:ascii="Arial" w:hAnsi="Arial" w:cs="Arial"/>
                <w:sz w:val="24"/>
                <w:szCs w:val="24"/>
              </w:rPr>
            </w:pPr>
            <w:r w:rsidRPr="00FD51F3">
              <w:rPr>
                <w:rFonts w:ascii="Arial" w:hAnsi="Arial" w:cs="Arial"/>
                <w:sz w:val="24"/>
                <w:szCs w:val="24"/>
              </w:rPr>
              <w:t xml:space="preserve">Learning gain and distance-travelled by students </w:t>
            </w:r>
          </w:p>
          <w:p w14:paraId="596CDB0C" w14:textId="77777777" w:rsidR="00FD51F3" w:rsidRPr="00FD51F3" w:rsidRDefault="00FD51F3" w:rsidP="00FD51F3">
            <w:pPr>
              <w:pStyle w:val="ListParagraph"/>
              <w:numPr>
                <w:ilvl w:val="0"/>
                <w:numId w:val="31"/>
              </w:numPr>
              <w:spacing w:after="0"/>
              <w:rPr>
                <w:rFonts w:ascii="Arial" w:hAnsi="Arial" w:cs="Arial"/>
                <w:sz w:val="24"/>
                <w:szCs w:val="24"/>
              </w:rPr>
            </w:pPr>
            <w:r w:rsidRPr="00FD51F3">
              <w:rPr>
                <w:rFonts w:ascii="Arial" w:hAnsi="Arial" w:cs="Arial"/>
                <w:sz w:val="24"/>
                <w:szCs w:val="24"/>
              </w:rPr>
              <w:t>Evidence of longer-term employment outcomes and progression of graduates including into highly-skilled employment</w:t>
            </w:r>
          </w:p>
          <w:p w14:paraId="401C3712" w14:textId="77777777" w:rsidR="00FD51F3" w:rsidRPr="00FD51F3" w:rsidRDefault="00FD51F3" w:rsidP="00FD51F3">
            <w:pPr>
              <w:pStyle w:val="ListParagraph"/>
              <w:numPr>
                <w:ilvl w:val="0"/>
                <w:numId w:val="31"/>
              </w:numPr>
              <w:spacing w:after="0"/>
              <w:rPr>
                <w:rFonts w:ascii="Arial" w:hAnsi="Arial" w:cs="Arial"/>
                <w:sz w:val="24"/>
                <w:szCs w:val="24"/>
              </w:rPr>
            </w:pPr>
            <w:r w:rsidRPr="00FD51F3">
              <w:rPr>
                <w:rFonts w:ascii="Arial" w:hAnsi="Arial" w:cs="Arial"/>
                <w:sz w:val="24"/>
                <w:szCs w:val="24"/>
              </w:rPr>
              <w:t>Evidence and impact of initiatives aimed at maximising graduate employability</w:t>
            </w:r>
          </w:p>
          <w:p w14:paraId="157993F8" w14:textId="77777777" w:rsidR="00FD51F3" w:rsidRPr="00FD51F3" w:rsidRDefault="00FD51F3" w:rsidP="00FD51F3">
            <w:pPr>
              <w:pStyle w:val="ListParagraph"/>
              <w:numPr>
                <w:ilvl w:val="0"/>
                <w:numId w:val="31"/>
              </w:numPr>
              <w:spacing w:after="0"/>
              <w:rPr>
                <w:rFonts w:ascii="Arial" w:hAnsi="Arial" w:cs="Arial"/>
                <w:sz w:val="24"/>
                <w:szCs w:val="24"/>
              </w:rPr>
            </w:pPr>
            <w:r w:rsidRPr="00FD51F3">
              <w:rPr>
                <w:rFonts w:ascii="Arial" w:hAnsi="Arial" w:cs="Arial"/>
                <w:sz w:val="24"/>
                <w:szCs w:val="24"/>
              </w:rPr>
              <w:t>Extent of student involvement in enterprise and entrepreneurship</w:t>
            </w:r>
          </w:p>
          <w:p w14:paraId="742E502E" w14:textId="77777777" w:rsidR="00FD51F3" w:rsidRPr="00FD51F3" w:rsidRDefault="00FD51F3" w:rsidP="00FD51F3">
            <w:pPr>
              <w:pStyle w:val="ListParagraph"/>
              <w:numPr>
                <w:ilvl w:val="0"/>
                <w:numId w:val="31"/>
              </w:numPr>
              <w:spacing w:after="0"/>
              <w:rPr>
                <w:rFonts w:ascii="Arial" w:hAnsi="Arial" w:cs="Arial"/>
                <w:sz w:val="24"/>
                <w:szCs w:val="24"/>
              </w:rPr>
            </w:pPr>
            <w:r w:rsidRPr="00FD51F3">
              <w:rPr>
                <w:rFonts w:ascii="Arial" w:hAnsi="Arial" w:cs="Arial"/>
                <w:sz w:val="24"/>
                <w:szCs w:val="24"/>
              </w:rPr>
              <w:t xml:space="preserve">Use and effectiveness of initiatives used to help </w:t>
            </w:r>
            <w:r w:rsidRPr="00FD51F3">
              <w:rPr>
                <w:rFonts w:ascii="Arial" w:hAnsi="Arial" w:cs="Arial"/>
                <w:sz w:val="24"/>
                <w:szCs w:val="24"/>
              </w:rPr>
              <w:lastRenderedPageBreak/>
              <w:t>measure and record student progress, such as  Grade Point Average (GPA)</w:t>
            </w:r>
          </w:p>
          <w:p w14:paraId="2D30B19E" w14:textId="2FC6F2AB" w:rsidR="00FD51F3" w:rsidRPr="009500EC" w:rsidRDefault="00FD51F3" w:rsidP="00FD51F3">
            <w:pPr>
              <w:pStyle w:val="ListParagraph"/>
              <w:numPr>
                <w:ilvl w:val="0"/>
                <w:numId w:val="31"/>
              </w:numPr>
              <w:spacing w:after="0" w:line="240" w:lineRule="auto"/>
              <w:rPr>
                <w:rFonts w:ascii="Arial" w:hAnsi="Arial" w:cs="Arial"/>
                <w:sz w:val="24"/>
                <w:szCs w:val="24"/>
              </w:rPr>
            </w:pPr>
            <w:r w:rsidRPr="00FD51F3">
              <w:rPr>
                <w:rFonts w:ascii="Arial" w:hAnsi="Arial" w:cs="Arial"/>
                <w:sz w:val="24"/>
                <w:szCs w:val="24"/>
              </w:rPr>
              <w:t>Impact of initiatives aimed at closing gaps in development, attainment and progression for students from different backgrounds, in particular those from disadvantaged backgrounds or those who are at greater risk of not achieving positive outcomes.</w:t>
            </w:r>
          </w:p>
        </w:tc>
      </w:tr>
    </w:tbl>
    <w:p w14:paraId="31A3A3FD" w14:textId="77777777" w:rsidR="00994A6B" w:rsidRDefault="00994A6B" w:rsidP="00994A6B">
      <w:pPr>
        <w:spacing w:after="0"/>
        <w:rPr>
          <w:rFonts w:cs="Arial"/>
        </w:rPr>
      </w:pPr>
    </w:p>
    <w:p w14:paraId="6DD6EF6F" w14:textId="675BCEBF" w:rsidR="00994A6B" w:rsidRPr="00296F41" w:rsidRDefault="00994A6B" w:rsidP="00A2778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Arial"/>
          <w:b/>
        </w:rPr>
      </w:pPr>
      <w:r w:rsidRPr="00296F41">
        <w:rPr>
          <w:rFonts w:cs="Arial"/>
          <w:b/>
        </w:rPr>
        <w:t>Q</w:t>
      </w:r>
      <w:r w:rsidR="00B53A16" w:rsidRPr="00296F41">
        <w:rPr>
          <w:rFonts w:cs="Arial"/>
          <w:b/>
        </w:rPr>
        <w:t>8</w:t>
      </w:r>
      <w:r w:rsidRPr="00296F41">
        <w:rPr>
          <w:rFonts w:cs="Arial"/>
          <w:b/>
        </w:rPr>
        <w:t xml:space="preserve">: </w:t>
      </w:r>
      <w:r w:rsidR="00296F41">
        <w:rPr>
          <w:rFonts w:cs="Arial"/>
          <w:b/>
        </w:rPr>
        <w:t>W</w:t>
      </w:r>
      <w:r w:rsidR="00034B8B">
        <w:rPr>
          <w:rFonts w:cs="Arial"/>
          <w:b/>
        </w:rPr>
        <w:t>ithout the list becoming exhaustive or prescriptive, w</w:t>
      </w:r>
      <w:r w:rsidR="00296F41">
        <w:rPr>
          <w:rFonts w:cs="Arial"/>
          <w:b/>
        </w:rPr>
        <w:t>e</w:t>
      </w:r>
      <w:r w:rsidR="00D77141" w:rsidRPr="00296F41">
        <w:rPr>
          <w:rFonts w:cs="Arial"/>
          <w:b/>
        </w:rPr>
        <w:t xml:space="preserve"> are keen to ensure that the examples </w:t>
      </w:r>
      <w:r w:rsidR="00F469A9">
        <w:rPr>
          <w:rFonts w:cs="Arial"/>
          <w:b/>
        </w:rPr>
        <w:t xml:space="preserve">of additional evidence </w:t>
      </w:r>
      <w:r w:rsidR="00034B8B">
        <w:rPr>
          <w:rFonts w:cs="Arial"/>
          <w:b/>
        </w:rPr>
        <w:t xml:space="preserve">included </w:t>
      </w:r>
      <w:r w:rsidR="00D77141" w:rsidRPr="00296F41">
        <w:rPr>
          <w:rFonts w:cs="Arial"/>
          <w:b/>
        </w:rPr>
        <w:t xml:space="preserve">in Figure </w:t>
      </w:r>
      <w:r w:rsidR="00296F41">
        <w:rPr>
          <w:rFonts w:cs="Arial"/>
          <w:b/>
        </w:rPr>
        <w:t>6</w:t>
      </w:r>
      <w:r w:rsidR="00D77141" w:rsidRPr="00296F41">
        <w:rPr>
          <w:rFonts w:cs="Arial"/>
          <w:b/>
        </w:rPr>
        <w:t xml:space="preserve"> reflect a divers</w:t>
      </w:r>
      <w:r w:rsidR="00296F41">
        <w:rPr>
          <w:rFonts w:cs="Arial"/>
          <w:b/>
        </w:rPr>
        <w:t>ity</w:t>
      </w:r>
      <w:r w:rsidR="00D77141" w:rsidRPr="00296F41">
        <w:rPr>
          <w:rFonts w:cs="Arial"/>
          <w:b/>
        </w:rPr>
        <w:t xml:space="preserve"> of approaches to delivery. </w:t>
      </w:r>
      <w:r w:rsidR="00E30773">
        <w:rPr>
          <w:rFonts w:cs="Arial"/>
          <w:b/>
        </w:rPr>
        <w:t xml:space="preserve">Do you agree with the examples? </w:t>
      </w:r>
      <w:r w:rsidR="00D77141" w:rsidRPr="00296F41">
        <w:rPr>
          <w:rFonts w:cs="Arial"/>
          <w:b/>
        </w:rPr>
        <w:t xml:space="preserve">Please </w:t>
      </w:r>
      <w:r w:rsidR="00034B8B">
        <w:rPr>
          <w:rFonts w:cs="Arial"/>
          <w:b/>
        </w:rPr>
        <w:t>outline</w:t>
      </w:r>
      <w:r w:rsidR="00034B8B" w:rsidRPr="00296F41">
        <w:rPr>
          <w:rFonts w:cs="Arial"/>
          <w:b/>
        </w:rPr>
        <w:t xml:space="preserve"> </w:t>
      </w:r>
      <w:r w:rsidR="00E30773">
        <w:rPr>
          <w:rFonts w:cs="Arial"/>
          <w:b/>
        </w:rPr>
        <w:t xml:space="preserve">your reasons and </w:t>
      </w:r>
      <w:r w:rsidR="00D77141" w:rsidRPr="00296F41">
        <w:rPr>
          <w:rFonts w:cs="Arial"/>
          <w:b/>
        </w:rPr>
        <w:t xml:space="preserve">suggest </w:t>
      </w:r>
      <w:r w:rsidR="005A5072">
        <w:rPr>
          <w:rFonts w:cs="Arial"/>
          <w:b/>
        </w:rPr>
        <w:t>any additions</w:t>
      </w:r>
      <w:r w:rsidRPr="00296F41">
        <w:rPr>
          <w:rFonts w:cs="Arial"/>
          <w:b/>
        </w:rPr>
        <w:t xml:space="preserve"> </w:t>
      </w:r>
      <w:r w:rsidR="00E30773">
        <w:rPr>
          <w:rFonts w:cs="Arial"/>
          <w:b/>
        </w:rPr>
        <w:t>or alternative</w:t>
      </w:r>
      <w:r w:rsidR="00034B8B">
        <w:rPr>
          <w:rFonts w:cs="Arial"/>
          <w:b/>
        </w:rPr>
        <w:t>s</w:t>
      </w:r>
      <w:r w:rsidR="00E30773">
        <w:rPr>
          <w:rFonts w:cs="Arial"/>
          <w:b/>
        </w:rPr>
        <w:t>.</w:t>
      </w:r>
    </w:p>
    <w:p w14:paraId="69AC5CF3" w14:textId="77777777" w:rsidR="00384225" w:rsidRDefault="00384225" w:rsidP="00553955">
      <w:pPr>
        <w:spacing w:after="0"/>
        <w:rPr>
          <w:rFonts w:cs="Arial"/>
        </w:rPr>
      </w:pPr>
    </w:p>
    <w:p w14:paraId="1476B836" w14:textId="77777777" w:rsidR="00553955" w:rsidRPr="00D25990" w:rsidRDefault="00553955" w:rsidP="00FD0E93">
      <w:pPr>
        <w:pStyle w:val="Heading3"/>
        <w:spacing w:after="0"/>
        <w:ind w:hanging="426"/>
      </w:pPr>
      <w:bookmarkStart w:id="65" w:name="_Toc450147998"/>
      <w:bookmarkStart w:id="66" w:name="_Toc450886568"/>
      <w:r w:rsidRPr="00D64D85">
        <w:t>The student voice</w:t>
      </w:r>
      <w:bookmarkEnd w:id="65"/>
      <w:bookmarkEnd w:id="66"/>
    </w:p>
    <w:p w14:paraId="177AFF7E" w14:textId="734CDBE2" w:rsidR="00B16B62" w:rsidRDefault="00EE1593" w:rsidP="00AF7684">
      <w:pPr>
        <w:pStyle w:val="ListParagraph"/>
        <w:numPr>
          <w:ilvl w:val="0"/>
          <w:numId w:val="18"/>
        </w:numPr>
        <w:tabs>
          <w:tab w:val="left" w:pos="142"/>
        </w:tabs>
        <w:spacing w:after="0"/>
        <w:ind w:left="142" w:hanging="568"/>
        <w:rPr>
          <w:rFonts w:ascii="Arial" w:hAnsi="Arial" w:cs="Arial"/>
          <w:sz w:val="24"/>
          <w:szCs w:val="24"/>
        </w:rPr>
      </w:pPr>
      <w:r w:rsidRPr="009500EC">
        <w:rPr>
          <w:rFonts w:ascii="Arial" w:hAnsi="Arial" w:cs="Arial"/>
          <w:sz w:val="24"/>
          <w:szCs w:val="24"/>
        </w:rPr>
        <w:t>In recognition of the central importance of students in the TEF, t</w:t>
      </w:r>
      <w:r w:rsidR="00553955" w:rsidRPr="009500EC">
        <w:rPr>
          <w:rFonts w:ascii="Arial" w:hAnsi="Arial" w:cs="Arial"/>
          <w:sz w:val="24"/>
          <w:szCs w:val="24"/>
        </w:rPr>
        <w:t>echnical guidance issued before the applications window opens will make clear that</w:t>
      </w:r>
      <w:r w:rsidR="0067459B">
        <w:rPr>
          <w:rFonts w:ascii="Arial" w:hAnsi="Arial" w:cs="Arial"/>
          <w:sz w:val="24"/>
          <w:szCs w:val="24"/>
        </w:rPr>
        <w:t>, where feasible,</w:t>
      </w:r>
      <w:r w:rsidR="00553955" w:rsidRPr="009500EC">
        <w:rPr>
          <w:rFonts w:ascii="Arial" w:hAnsi="Arial" w:cs="Arial"/>
          <w:sz w:val="24"/>
          <w:szCs w:val="24"/>
        </w:rPr>
        <w:t xml:space="preserve"> students should be involved in preparing the submission and will identify some potential mechanisms for so doing. A provider will be expected to outline how students have been involved in </w:t>
      </w:r>
      <w:r w:rsidR="0093735C" w:rsidRPr="009500EC">
        <w:rPr>
          <w:rFonts w:ascii="Arial" w:hAnsi="Arial" w:cs="Arial"/>
          <w:sz w:val="24"/>
          <w:szCs w:val="24"/>
        </w:rPr>
        <w:t>its submission</w:t>
      </w:r>
      <w:r w:rsidRPr="009500EC">
        <w:rPr>
          <w:rFonts w:ascii="Arial" w:hAnsi="Arial" w:cs="Arial"/>
          <w:sz w:val="24"/>
          <w:szCs w:val="24"/>
        </w:rPr>
        <w:t>, working, for example, with student</w:t>
      </w:r>
      <w:r w:rsidR="00BC0123" w:rsidRPr="009500EC">
        <w:rPr>
          <w:rFonts w:ascii="Arial" w:hAnsi="Arial" w:cs="Arial"/>
          <w:sz w:val="24"/>
          <w:szCs w:val="24"/>
        </w:rPr>
        <w:t>s</w:t>
      </w:r>
      <w:r w:rsidR="00FC3CBD" w:rsidRPr="009500EC">
        <w:rPr>
          <w:rFonts w:ascii="Arial" w:hAnsi="Arial" w:cs="Arial"/>
          <w:sz w:val="24"/>
          <w:szCs w:val="24"/>
        </w:rPr>
        <w:t xml:space="preserve"> or their representatives</w:t>
      </w:r>
      <w:r w:rsidR="00B16B62">
        <w:rPr>
          <w:rFonts w:ascii="Arial" w:hAnsi="Arial" w:cs="Arial"/>
          <w:sz w:val="24"/>
          <w:szCs w:val="24"/>
        </w:rPr>
        <w:t>, though there will be no presumption that any particular mechanism or bodies should be used or involved.</w:t>
      </w:r>
      <w:r w:rsidR="00DA044F" w:rsidRPr="009500EC">
        <w:rPr>
          <w:rFonts w:ascii="Arial" w:hAnsi="Arial" w:cs="Arial"/>
          <w:sz w:val="24"/>
          <w:szCs w:val="24"/>
        </w:rPr>
        <w:t xml:space="preserve"> </w:t>
      </w:r>
    </w:p>
    <w:p w14:paraId="24EA3C45" w14:textId="77777777" w:rsidR="00B16B62" w:rsidRDefault="00B16B62" w:rsidP="00B16B62">
      <w:pPr>
        <w:pStyle w:val="ListParagraph"/>
        <w:tabs>
          <w:tab w:val="left" w:pos="142"/>
        </w:tabs>
        <w:spacing w:after="0"/>
        <w:ind w:left="142"/>
        <w:rPr>
          <w:rFonts w:ascii="Arial" w:hAnsi="Arial" w:cs="Arial"/>
          <w:sz w:val="24"/>
          <w:szCs w:val="24"/>
        </w:rPr>
      </w:pPr>
    </w:p>
    <w:p w14:paraId="0921A6A0" w14:textId="2E93B1EC" w:rsidR="00553955" w:rsidRPr="00702FF9" w:rsidRDefault="00DA044F" w:rsidP="00843F86">
      <w:pPr>
        <w:pStyle w:val="ListParagraph"/>
        <w:numPr>
          <w:ilvl w:val="0"/>
          <w:numId w:val="18"/>
        </w:numPr>
        <w:tabs>
          <w:tab w:val="left" w:pos="142"/>
        </w:tabs>
        <w:spacing w:after="0"/>
        <w:ind w:left="142" w:hanging="568"/>
        <w:rPr>
          <w:rFonts w:ascii="Arial" w:hAnsi="Arial" w:cs="Arial"/>
          <w:sz w:val="24"/>
          <w:szCs w:val="24"/>
        </w:rPr>
      </w:pPr>
      <w:r w:rsidRPr="009500EC">
        <w:rPr>
          <w:rFonts w:ascii="Arial" w:hAnsi="Arial" w:cs="Arial"/>
          <w:sz w:val="24"/>
          <w:szCs w:val="24"/>
        </w:rPr>
        <w:t xml:space="preserve">No provider will be disadvantaged in the event of non-cooperation by their </w:t>
      </w:r>
      <w:r w:rsidR="0067459B">
        <w:rPr>
          <w:rFonts w:ascii="Arial" w:hAnsi="Arial" w:cs="Arial"/>
          <w:sz w:val="24"/>
          <w:szCs w:val="24"/>
        </w:rPr>
        <w:t xml:space="preserve">students or </w:t>
      </w:r>
      <w:r w:rsidR="007A10C0" w:rsidRPr="009500EC">
        <w:rPr>
          <w:rFonts w:ascii="Arial" w:hAnsi="Arial" w:cs="Arial"/>
          <w:sz w:val="24"/>
          <w:szCs w:val="24"/>
        </w:rPr>
        <w:t>S</w:t>
      </w:r>
      <w:r w:rsidRPr="009500EC">
        <w:rPr>
          <w:rFonts w:ascii="Arial" w:hAnsi="Arial" w:cs="Arial"/>
          <w:sz w:val="24"/>
          <w:szCs w:val="24"/>
        </w:rPr>
        <w:t xml:space="preserve">tudent </w:t>
      </w:r>
      <w:r w:rsidR="007A10C0" w:rsidRPr="009500EC">
        <w:rPr>
          <w:rFonts w:ascii="Arial" w:hAnsi="Arial" w:cs="Arial"/>
          <w:sz w:val="24"/>
          <w:szCs w:val="24"/>
        </w:rPr>
        <w:t>Union</w:t>
      </w:r>
      <w:r w:rsidR="0067459B">
        <w:rPr>
          <w:rFonts w:ascii="Arial" w:hAnsi="Arial" w:cs="Arial"/>
          <w:sz w:val="24"/>
          <w:szCs w:val="24"/>
        </w:rPr>
        <w:t>.</w:t>
      </w:r>
    </w:p>
    <w:p w14:paraId="38465432" w14:textId="77777777" w:rsidR="00843F86" w:rsidRDefault="00843F86" w:rsidP="00843F86"/>
    <w:p w14:paraId="731D7AE8" w14:textId="77777777" w:rsidR="00702FF9" w:rsidRDefault="00702FF9" w:rsidP="00843F86"/>
    <w:p w14:paraId="7D18DCD3" w14:textId="77777777" w:rsidR="00843F86" w:rsidRDefault="00843F86" w:rsidP="00843F86"/>
    <w:p w14:paraId="3DDC829D" w14:textId="77777777" w:rsidR="00843F86" w:rsidRDefault="00843F86" w:rsidP="00843F86"/>
    <w:p w14:paraId="4F8B9388" w14:textId="77777777" w:rsidR="00843F86" w:rsidRDefault="00843F86" w:rsidP="00843F86"/>
    <w:p w14:paraId="38A7A1B9" w14:textId="77777777" w:rsidR="00843F86" w:rsidRDefault="00843F86" w:rsidP="00843F86"/>
    <w:p w14:paraId="11F3FD78" w14:textId="77777777" w:rsidR="00843F86" w:rsidRDefault="00843F86" w:rsidP="00843F86"/>
    <w:p w14:paraId="584F8E1A" w14:textId="77777777" w:rsidR="00843F86" w:rsidRDefault="00843F86" w:rsidP="00843F86"/>
    <w:p w14:paraId="7F0B6D68" w14:textId="77777777" w:rsidR="00843F86" w:rsidRDefault="00843F86" w:rsidP="00843F86"/>
    <w:p w14:paraId="7471398C" w14:textId="77777777" w:rsidR="00843F86" w:rsidRDefault="00843F86" w:rsidP="00843F86"/>
    <w:p w14:paraId="4EC14D24" w14:textId="7556E673" w:rsidR="00843F86" w:rsidRDefault="00FF0106" w:rsidP="00843F86">
      <w:pPr>
        <w:pStyle w:val="Heading2"/>
        <w:ind w:hanging="426"/>
      </w:pPr>
      <w:bookmarkStart w:id="67" w:name="_Toc450886569"/>
      <w:r>
        <w:lastRenderedPageBreak/>
        <w:t xml:space="preserve">4. </w:t>
      </w:r>
      <w:r w:rsidR="00843F86">
        <w:t>Assessment – The Assessment Process</w:t>
      </w:r>
      <w:bookmarkEnd w:id="67"/>
    </w:p>
    <w:p w14:paraId="68B9428E" w14:textId="77777777" w:rsidR="00843F86" w:rsidRPr="009500EC" w:rsidRDefault="00843F86" w:rsidP="00843F86">
      <w:pPr>
        <w:pStyle w:val="ListParagraph"/>
        <w:numPr>
          <w:ilvl w:val="0"/>
          <w:numId w:val="18"/>
        </w:numPr>
        <w:tabs>
          <w:tab w:val="left" w:pos="142"/>
        </w:tabs>
        <w:spacing w:after="0"/>
        <w:ind w:left="142" w:hanging="568"/>
        <w:rPr>
          <w:rFonts w:ascii="Arial" w:hAnsi="Arial" w:cs="Arial"/>
          <w:b/>
          <w:sz w:val="24"/>
          <w:szCs w:val="24"/>
        </w:rPr>
      </w:pPr>
      <w:r w:rsidRPr="009500EC">
        <w:rPr>
          <w:rFonts w:ascii="Arial" w:hAnsi="Arial" w:cs="Arial"/>
          <w:b/>
          <w:sz w:val="24"/>
          <w:szCs w:val="24"/>
        </w:rPr>
        <w:t xml:space="preserve">We were clear in the Green Paper that judgements about teaching and learning quality should be made by individuals with appropriate experience and expertise who are independent of Government and the provider being assessed. It is vital that those doing the assessing and the process of assessment itself can command the confidence of higher education providers, students, employers and other stakeholders, in the UK and internationally. </w:t>
      </w:r>
    </w:p>
    <w:p w14:paraId="263B31AE" w14:textId="77777777" w:rsidR="00843F86" w:rsidRPr="009500EC" w:rsidRDefault="00843F86" w:rsidP="00843F86">
      <w:pPr>
        <w:pStyle w:val="ListParagraph"/>
        <w:tabs>
          <w:tab w:val="left" w:pos="142"/>
        </w:tabs>
        <w:spacing w:after="0"/>
        <w:ind w:left="142"/>
        <w:rPr>
          <w:rFonts w:ascii="Arial" w:hAnsi="Arial" w:cs="Arial"/>
          <w:b/>
          <w:sz w:val="24"/>
          <w:szCs w:val="24"/>
        </w:rPr>
      </w:pPr>
    </w:p>
    <w:p w14:paraId="79F20420" w14:textId="77777777" w:rsidR="00843F86" w:rsidRPr="009500EC" w:rsidRDefault="00843F86" w:rsidP="00843F86">
      <w:pPr>
        <w:pStyle w:val="ListParagraph"/>
        <w:numPr>
          <w:ilvl w:val="0"/>
          <w:numId w:val="18"/>
        </w:numPr>
        <w:tabs>
          <w:tab w:val="left" w:pos="142"/>
        </w:tabs>
        <w:spacing w:after="0"/>
        <w:ind w:left="142" w:hanging="568"/>
        <w:rPr>
          <w:rFonts w:ascii="Arial" w:hAnsi="Arial" w:cs="Arial"/>
          <w:b/>
          <w:sz w:val="24"/>
          <w:szCs w:val="24"/>
        </w:rPr>
      </w:pPr>
      <w:r w:rsidRPr="009500EC">
        <w:rPr>
          <w:rFonts w:ascii="Arial" w:hAnsi="Arial" w:cs="Arial"/>
          <w:b/>
          <w:sz w:val="24"/>
          <w:szCs w:val="24"/>
        </w:rPr>
        <w:t xml:space="preserve">The assessment process we propose here reflects the need for academic judgement. However, it also includes a number of checks and balances to ensure consistency and fairness. This chapter presents proposals for how the assessment process will operate and the decision-making process that results in a judgement on the TEF rating a provider is awarded.  </w:t>
      </w:r>
    </w:p>
    <w:p w14:paraId="549533C3" w14:textId="77777777" w:rsidR="00843F86" w:rsidRDefault="00843F86" w:rsidP="00843F86">
      <w:pPr>
        <w:spacing w:after="0"/>
        <w:rPr>
          <w:rFonts w:cs="Arial"/>
        </w:rPr>
      </w:pPr>
    </w:p>
    <w:p w14:paraId="7AEFAEA8" w14:textId="77777777" w:rsidR="00843F86" w:rsidRPr="003A0F68" w:rsidRDefault="00843F86" w:rsidP="00843F86">
      <w:pPr>
        <w:pStyle w:val="Heading3"/>
        <w:spacing w:after="0"/>
        <w:ind w:hanging="426"/>
      </w:pPr>
      <w:bookmarkStart w:id="68" w:name="_Toc450148000"/>
      <w:bookmarkStart w:id="69" w:name="_Toc450886570"/>
      <w:r w:rsidRPr="003A0F68">
        <w:t>Decision making against the framework</w:t>
      </w:r>
      <w:bookmarkEnd w:id="68"/>
      <w:bookmarkEnd w:id="69"/>
      <w:r w:rsidRPr="003A0F68">
        <w:t xml:space="preserve"> </w:t>
      </w:r>
    </w:p>
    <w:p w14:paraId="10ECA12B" w14:textId="77777777" w:rsidR="00843F86" w:rsidRPr="00F23B30" w:rsidRDefault="00843F86" w:rsidP="00843F86">
      <w:pPr>
        <w:pStyle w:val="ListParagraph"/>
        <w:numPr>
          <w:ilvl w:val="0"/>
          <w:numId w:val="18"/>
        </w:numPr>
        <w:tabs>
          <w:tab w:val="left" w:pos="142"/>
        </w:tabs>
        <w:spacing w:after="0"/>
        <w:ind w:left="142" w:hanging="568"/>
        <w:rPr>
          <w:rFonts w:cs="Arial"/>
        </w:rPr>
      </w:pPr>
      <w:r w:rsidRPr="009500EC">
        <w:rPr>
          <w:rFonts w:ascii="Arial" w:hAnsi="Arial" w:cs="Arial"/>
          <w:sz w:val="24"/>
          <w:szCs w:val="24"/>
        </w:rPr>
        <w:t>The TEF Panel will make a decision on each provider’s rating based on their performance against the core metrics and the extent to which they have met the criteria (</w:t>
      </w:r>
      <w:r w:rsidRPr="009500EC">
        <w:rPr>
          <w:rFonts w:ascii="Arial" w:hAnsi="Arial" w:cs="Arial"/>
          <w:b/>
          <w:sz w:val="24"/>
          <w:szCs w:val="24"/>
        </w:rPr>
        <w:t>Chapter 1: Assessment Framework</w:t>
      </w:r>
      <w:r w:rsidRPr="009500EC">
        <w:rPr>
          <w:rFonts w:ascii="Arial" w:hAnsi="Arial" w:cs="Arial"/>
          <w:sz w:val="24"/>
          <w:szCs w:val="24"/>
        </w:rPr>
        <w:t>). We have assigned equal weighting across all three aspects (Teaching Quality, Learning Environment and Student Outcomes and Learning Gain) in recognition that each plays an important role in contributing to teaching excellence.</w:t>
      </w:r>
    </w:p>
    <w:p w14:paraId="60EF9D4D" w14:textId="77777777" w:rsidR="00843F86" w:rsidRPr="00F23B30" w:rsidRDefault="00843F86" w:rsidP="00843F86">
      <w:pPr>
        <w:pStyle w:val="ListParagraph"/>
        <w:tabs>
          <w:tab w:val="left" w:pos="142"/>
        </w:tabs>
        <w:spacing w:after="0"/>
        <w:ind w:left="142"/>
        <w:rPr>
          <w:rFonts w:ascii="Arial" w:hAnsi="Arial" w:cs="Arial"/>
          <w:sz w:val="24"/>
          <w:szCs w:val="24"/>
        </w:rPr>
      </w:pPr>
    </w:p>
    <w:p w14:paraId="63727307" w14:textId="77777777" w:rsidR="00843F86" w:rsidRDefault="00843F86" w:rsidP="00843F86">
      <w:pPr>
        <w:pStyle w:val="ListParagraph"/>
        <w:numPr>
          <w:ilvl w:val="0"/>
          <w:numId w:val="18"/>
        </w:numPr>
        <w:tabs>
          <w:tab w:val="left" w:pos="142"/>
        </w:tabs>
        <w:spacing w:after="0"/>
        <w:ind w:left="142" w:hanging="568"/>
        <w:rPr>
          <w:rFonts w:ascii="Arial" w:hAnsi="Arial" w:cs="Arial"/>
          <w:sz w:val="24"/>
          <w:szCs w:val="24"/>
        </w:rPr>
      </w:pPr>
      <w:r w:rsidRPr="00F23B30">
        <w:rPr>
          <w:rFonts w:ascii="Arial" w:hAnsi="Arial" w:cs="Arial"/>
          <w:sz w:val="24"/>
          <w:szCs w:val="24"/>
        </w:rPr>
        <w:t xml:space="preserve">Reflecting the fact that in order to enter </w:t>
      </w:r>
      <w:r>
        <w:rPr>
          <w:rFonts w:ascii="Arial" w:hAnsi="Arial" w:cs="Arial"/>
          <w:sz w:val="24"/>
          <w:szCs w:val="24"/>
        </w:rPr>
        <w:t xml:space="preserve">the </w:t>
      </w:r>
      <w:r w:rsidRPr="00F23B30">
        <w:rPr>
          <w:rFonts w:ascii="Arial" w:hAnsi="Arial" w:cs="Arial"/>
          <w:sz w:val="24"/>
          <w:szCs w:val="24"/>
        </w:rPr>
        <w:t xml:space="preserve">TEF a provider must first be meeting the high baseline standards for quality in the sector, assessors will not be looking for evidence of the fundamental quality expectations and processes that are assessed during the QA process. Panel members will carry out their assessment with the assurance that these are in place and will instead focus on identifying evidence of excellence above the baseline. This will ensure that QA and </w:t>
      </w:r>
      <w:r>
        <w:rPr>
          <w:rFonts w:ascii="Arial" w:hAnsi="Arial" w:cs="Arial"/>
          <w:sz w:val="24"/>
          <w:szCs w:val="24"/>
        </w:rPr>
        <w:t xml:space="preserve">the </w:t>
      </w:r>
      <w:r w:rsidRPr="00F23B30">
        <w:rPr>
          <w:rFonts w:ascii="Arial" w:hAnsi="Arial" w:cs="Arial"/>
          <w:sz w:val="24"/>
          <w:szCs w:val="24"/>
        </w:rPr>
        <w:t>TEF work as a single system and minimise the bureaucracy for the sector.</w:t>
      </w:r>
    </w:p>
    <w:p w14:paraId="02ACA824" w14:textId="77777777" w:rsidR="00843F86" w:rsidRDefault="00843F86" w:rsidP="00843F86">
      <w:pPr>
        <w:pStyle w:val="ListParagraph"/>
        <w:tabs>
          <w:tab w:val="left" w:pos="142"/>
        </w:tabs>
        <w:spacing w:after="0"/>
        <w:ind w:left="142"/>
        <w:rPr>
          <w:rFonts w:ascii="Arial" w:hAnsi="Arial" w:cs="Arial"/>
          <w:sz w:val="24"/>
          <w:szCs w:val="24"/>
        </w:rPr>
      </w:pPr>
    </w:p>
    <w:p w14:paraId="6505E11C" w14:textId="2D99DC7E" w:rsidR="00843F86" w:rsidRDefault="00843F86" w:rsidP="00843F86">
      <w:pPr>
        <w:pStyle w:val="ListParagraph"/>
        <w:numPr>
          <w:ilvl w:val="0"/>
          <w:numId w:val="18"/>
        </w:numPr>
        <w:tabs>
          <w:tab w:val="left" w:pos="142"/>
        </w:tabs>
        <w:spacing w:after="0"/>
        <w:ind w:left="142" w:hanging="568"/>
        <w:rPr>
          <w:rFonts w:ascii="Arial" w:hAnsi="Arial" w:cs="Arial"/>
          <w:sz w:val="24"/>
          <w:szCs w:val="24"/>
        </w:rPr>
      </w:pPr>
      <w:r w:rsidRPr="009500EC">
        <w:rPr>
          <w:rFonts w:ascii="Arial" w:hAnsi="Arial" w:cs="Arial"/>
          <w:sz w:val="24"/>
          <w:szCs w:val="24"/>
        </w:rPr>
        <w:t>Assessors will make a holistic assessment based on both core metrics and additional evidence. To determine a provider’s performance against the core metrics, HEFCE analysts will compare the performance of each provider against the benchmark and flag</w:t>
      </w:r>
    </w:p>
    <w:p w14:paraId="34BB22CD" w14:textId="72B1ACC0" w:rsidR="00843F86" w:rsidRDefault="00843F86" w:rsidP="00843F86">
      <w:pPr>
        <w:pStyle w:val="ListParagraph"/>
        <w:tabs>
          <w:tab w:val="left" w:pos="142"/>
        </w:tabs>
        <w:spacing w:after="0"/>
        <w:ind w:left="142"/>
        <w:rPr>
          <w:rFonts w:ascii="Arial" w:hAnsi="Arial" w:cs="Arial"/>
          <w:sz w:val="24"/>
          <w:szCs w:val="24"/>
        </w:rPr>
      </w:pPr>
      <w:proofErr w:type="gramStart"/>
      <w:r w:rsidRPr="009500EC">
        <w:rPr>
          <w:rFonts w:ascii="Arial" w:hAnsi="Arial" w:cs="Arial"/>
          <w:sz w:val="24"/>
          <w:szCs w:val="24"/>
        </w:rPr>
        <w:t>those</w:t>
      </w:r>
      <w:proofErr w:type="gramEnd"/>
      <w:r w:rsidRPr="009500EC">
        <w:rPr>
          <w:rFonts w:ascii="Arial" w:hAnsi="Arial" w:cs="Arial"/>
          <w:sz w:val="24"/>
          <w:szCs w:val="24"/>
        </w:rPr>
        <w:t xml:space="preserve"> which are either significantly above or below the benchmark. These significance flags highlight where performance is strong or weak (</w:t>
      </w:r>
      <w:r w:rsidRPr="009500EC">
        <w:rPr>
          <w:rFonts w:ascii="Arial" w:hAnsi="Arial" w:cs="Arial"/>
          <w:b/>
          <w:sz w:val="24"/>
          <w:szCs w:val="24"/>
        </w:rPr>
        <w:t xml:space="preserve">Chapter 3a: Evidence - Metrics </w:t>
      </w:r>
      <w:r w:rsidRPr="009500EC">
        <w:rPr>
          <w:rFonts w:ascii="Arial" w:hAnsi="Arial" w:cs="Arial"/>
          <w:sz w:val="24"/>
          <w:szCs w:val="24"/>
        </w:rPr>
        <w:t>explains how benchmarks and significance flags operate).</w:t>
      </w:r>
    </w:p>
    <w:p w14:paraId="4DA36107" w14:textId="77777777" w:rsidR="003C3984" w:rsidRDefault="003C3984" w:rsidP="00843F86">
      <w:pPr>
        <w:pStyle w:val="ListParagraph"/>
        <w:tabs>
          <w:tab w:val="left" w:pos="142"/>
        </w:tabs>
        <w:spacing w:after="0"/>
        <w:ind w:left="142"/>
        <w:rPr>
          <w:rFonts w:ascii="Arial" w:hAnsi="Arial" w:cs="Arial"/>
          <w:sz w:val="24"/>
          <w:szCs w:val="24"/>
        </w:rPr>
      </w:pPr>
    </w:p>
    <w:p w14:paraId="7BE98BCB" w14:textId="77777777" w:rsidR="003C3984" w:rsidRPr="00C03A26" w:rsidRDefault="003C3984" w:rsidP="003C3984">
      <w:pPr>
        <w:pStyle w:val="ListParagraph"/>
        <w:numPr>
          <w:ilvl w:val="0"/>
          <w:numId w:val="18"/>
        </w:numPr>
        <w:tabs>
          <w:tab w:val="left" w:pos="142"/>
        </w:tabs>
        <w:spacing w:after="0"/>
        <w:ind w:left="142" w:hanging="568"/>
        <w:rPr>
          <w:rFonts w:cs="Arial"/>
        </w:rPr>
      </w:pPr>
      <w:r w:rsidRPr="00C03A26">
        <w:rPr>
          <w:rFonts w:ascii="Arial" w:hAnsi="Arial" w:cs="Arial"/>
          <w:sz w:val="24"/>
          <w:szCs w:val="24"/>
        </w:rPr>
        <w:t>Where a provider is significantly above or below the benchmark for all or most metrics, the decision is likely to be straightforward unless contextual information and additional evidence present compelling mitigating factors. However, for most providers, the metrics will present a more complex picture. In general, the more marginal (against the metrics) or unusual in terms of delivery or circumstance a provider’s situation, the more assessors will need to rely on the additional evidence presented in the provider submission.</w:t>
      </w:r>
    </w:p>
    <w:p w14:paraId="49A4E6C1" w14:textId="77777777" w:rsidR="003C3984" w:rsidRPr="00C03A26" w:rsidRDefault="003C3984" w:rsidP="003C3984">
      <w:pPr>
        <w:pStyle w:val="ListParagraph"/>
        <w:tabs>
          <w:tab w:val="left" w:pos="142"/>
        </w:tabs>
        <w:spacing w:after="0"/>
        <w:ind w:left="142"/>
        <w:rPr>
          <w:rFonts w:cs="Arial"/>
        </w:rPr>
      </w:pPr>
    </w:p>
    <w:p w14:paraId="79F06357" w14:textId="77777777" w:rsidR="003C3984" w:rsidRDefault="003C3984" w:rsidP="003C3984">
      <w:pPr>
        <w:pStyle w:val="ListParagraph"/>
        <w:numPr>
          <w:ilvl w:val="0"/>
          <w:numId w:val="18"/>
        </w:numPr>
        <w:tabs>
          <w:tab w:val="left" w:pos="142"/>
        </w:tabs>
        <w:spacing w:after="0"/>
        <w:ind w:left="142" w:hanging="568"/>
        <w:rPr>
          <w:rFonts w:ascii="Arial" w:hAnsi="Arial" w:cs="Arial"/>
          <w:sz w:val="24"/>
          <w:szCs w:val="24"/>
        </w:rPr>
      </w:pPr>
      <w:r w:rsidRPr="00C03A26">
        <w:rPr>
          <w:rFonts w:ascii="Arial" w:hAnsi="Arial" w:cs="Arial"/>
          <w:sz w:val="24"/>
          <w:szCs w:val="24"/>
        </w:rPr>
        <w:t xml:space="preserve">Two metrics (depending on whether we have a highly skilled jobs metric – see </w:t>
      </w:r>
      <w:r w:rsidRPr="00C03A26">
        <w:rPr>
          <w:rFonts w:ascii="Arial" w:hAnsi="Arial" w:cs="Arial"/>
          <w:b/>
          <w:sz w:val="24"/>
          <w:szCs w:val="24"/>
        </w:rPr>
        <w:t>Chapter 3a: Evidence – Metrics</w:t>
      </w:r>
      <w:r w:rsidRPr="00C03A26">
        <w:rPr>
          <w:rFonts w:ascii="Arial" w:hAnsi="Arial" w:cs="Arial"/>
          <w:sz w:val="24"/>
          <w:szCs w:val="24"/>
        </w:rPr>
        <w:t xml:space="preserve">) are currently aligned with each aspect (see </w:t>
      </w:r>
      <w:r w:rsidRPr="00C03A26">
        <w:rPr>
          <w:rFonts w:ascii="Arial" w:hAnsi="Arial" w:cs="Arial"/>
          <w:b/>
          <w:sz w:val="24"/>
          <w:szCs w:val="24"/>
        </w:rPr>
        <w:t xml:space="preserve">Chapter 1: The </w:t>
      </w:r>
      <w:r w:rsidRPr="00C03A26">
        <w:rPr>
          <w:rFonts w:ascii="Arial" w:hAnsi="Arial" w:cs="Arial"/>
          <w:b/>
          <w:sz w:val="24"/>
          <w:szCs w:val="24"/>
        </w:rPr>
        <w:lastRenderedPageBreak/>
        <w:t>Assessment Framework</w:t>
      </w:r>
      <w:r w:rsidRPr="00C03A26">
        <w:rPr>
          <w:rFonts w:ascii="Arial" w:hAnsi="Arial" w:cs="Arial"/>
          <w:sz w:val="24"/>
          <w:szCs w:val="24"/>
        </w:rPr>
        <w:t>). A provider is flagged as ‘positive’ in this aspect if it is significantly above benchmark on either of the metrics associated with that aspect. It is flagged as ‘negative’ if it is significantly below the benchmark on either of the metrics. In cases where, for one aspect, a provider is positive on one metric and negative on the</w:t>
      </w:r>
      <w:r>
        <w:rPr>
          <w:rFonts w:ascii="Arial" w:hAnsi="Arial" w:cs="Arial"/>
          <w:sz w:val="24"/>
          <w:szCs w:val="24"/>
        </w:rPr>
        <w:t xml:space="preserve"> </w:t>
      </w:r>
      <w:r w:rsidRPr="00C03A26">
        <w:rPr>
          <w:rFonts w:ascii="Arial" w:hAnsi="Arial" w:cs="Arial"/>
          <w:sz w:val="24"/>
          <w:szCs w:val="24"/>
        </w:rPr>
        <w:t xml:space="preserve">on the other, it will be classified as ‘split’ for that aspect. A metric will </w:t>
      </w:r>
      <w:r>
        <w:rPr>
          <w:rFonts w:ascii="Arial" w:hAnsi="Arial" w:cs="Arial"/>
          <w:sz w:val="24"/>
          <w:szCs w:val="24"/>
        </w:rPr>
        <w:t xml:space="preserve">similarly </w:t>
      </w:r>
      <w:r w:rsidRPr="00C03A26">
        <w:rPr>
          <w:rFonts w:ascii="Arial" w:hAnsi="Arial" w:cs="Arial"/>
          <w:sz w:val="24"/>
          <w:szCs w:val="24"/>
        </w:rPr>
        <w:t xml:space="preserve">be classified as ‘split’ where the flags for widening participation groups within the metric </w:t>
      </w:r>
      <w:r>
        <w:rPr>
          <w:rFonts w:ascii="Arial" w:hAnsi="Arial" w:cs="Arial"/>
          <w:sz w:val="24"/>
          <w:szCs w:val="24"/>
        </w:rPr>
        <w:t>are positive or negative and the institutional level flag is the opposite.</w:t>
      </w:r>
    </w:p>
    <w:p w14:paraId="16200C46" w14:textId="77777777" w:rsidR="003C3984" w:rsidRPr="00C03A26" w:rsidRDefault="003C3984" w:rsidP="003C3984">
      <w:pPr>
        <w:pStyle w:val="ListParagraph"/>
        <w:tabs>
          <w:tab w:val="left" w:pos="142"/>
        </w:tabs>
        <w:spacing w:after="0"/>
        <w:ind w:left="142"/>
        <w:rPr>
          <w:rFonts w:ascii="Arial" w:hAnsi="Arial" w:cs="Arial"/>
          <w:sz w:val="24"/>
          <w:szCs w:val="24"/>
        </w:rPr>
      </w:pPr>
    </w:p>
    <w:p w14:paraId="6683A315" w14:textId="77777777" w:rsidR="003C3984" w:rsidRDefault="003C3984" w:rsidP="003C3984">
      <w:pPr>
        <w:pStyle w:val="ListParagraph"/>
        <w:numPr>
          <w:ilvl w:val="0"/>
          <w:numId w:val="18"/>
        </w:numPr>
        <w:tabs>
          <w:tab w:val="left" w:pos="142"/>
        </w:tabs>
        <w:spacing w:after="0"/>
        <w:ind w:left="142" w:hanging="568"/>
        <w:rPr>
          <w:rFonts w:ascii="Arial" w:hAnsi="Arial" w:cs="Arial"/>
          <w:sz w:val="24"/>
          <w:szCs w:val="24"/>
        </w:rPr>
      </w:pPr>
      <w:r w:rsidRPr="00C03A26">
        <w:rPr>
          <w:rFonts w:ascii="Arial" w:hAnsi="Arial" w:cs="Arial"/>
          <w:sz w:val="24"/>
          <w:szCs w:val="24"/>
        </w:rPr>
        <w:t xml:space="preserve">Assessors will be expected to review any additional evidence in the provider’s submission to determine whether performance against the metrics is mitigated and whether the submission presents evidence to show that teaching and learning are nonetheless excellent. </w:t>
      </w:r>
    </w:p>
    <w:p w14:paraId="63144BAC" w14:textId="77777777" w:rsidR="003C3984" w:rsidRDefault="003C3984" w:rsidP="003C3984">
      <w:pPr>
        <w:pStyle w:val="ListParagraph"/>
        <w:tabs>
          <w:tab w:val="left" w:pos="142"/>
        </w:tabs>
        <w:spacing w:after="0"/>
        <w:ind w:left="142"/>
        <w:rPr>
          <w:rFonts w:ascii="Arial" w:hAnsi="Arial" w:cs="Arial"/>
          <w:sz w:val="24"/>
          <w:szCs w:val="24"/>
        </w:rPr>
      </w:pPr>
    </w:p>
    <w:p w14:paraId="1CA7E6AB" w14:textId="77777777" w:rsidR="003C3984" w:rsidRDefault="003C3984" w:rsidP="003C3984">
      <w:pPr>
        <w:pStyle w:val="ListParagraph"/>
        <w:numPr>
          <w:ilvl w:val="0"/>
          <w:numId w:val="18"/>
        </w:numPr>
        <w:tabs>
          <w:tab w:val="left" w:pos="142"/>
        </w:tabs>
        <w:spacing w:after="0"/>
        <w:ind w:left="142" w:hanging="568"/>
        <w:rPr>
          <w:rFonts w:ascii="Arial" w:hAnsi="Arial" w:cs="Arial"/>
          <w:sz w:val="24"/>
          <w:szCs w:val="24"/>
        </w:rPr>
      </w:pPr>
      <w:r w:rsidRPr="00C03A26">
        <w:rPr>
          <w:rFonts w:ascii="Arial" w:hAnsi="Arial" w:cs="Arial"/>
          <w:sz w:val="24"/>
          <w:szCs w:val="24"/>
        </w:rPr>
        <w:t>Based on the relative performance of providers against the core metrics, we anticipate providers will fall into a bell-shaped distribution of performance across the ratings. We would expect that approximately 20% would receive a rating of Meets Expectations</w:t>
      </w:r>
      <w:r w:rsidRPr="00FB5EDD">
        <w:rPr>
          <w:rStyle w:val="FootnoteReference"/>
        </w:rPr>
        <w:footnoteReference w:id="33"/>
      </w:r>
      <w:r w:rsidRPr="00FB5EDD">
        <w:rPr>
          <w:rStyle w:val="FootnoteReference"/>
        </w:rPr>
        <w:t>.</w:t>
      </w:r>
      <w:r w:rsidRPr="00C03A26">
        <w:rPr>
          <w:rFonts w:ascii="Arial" w:hAnsi="Arial" w:cs="Arial"/>
          <w:sz w:val="24"/>
          <w:szCs w:val="24"/>
        </w:rPr>
        <w:t xml:space="preserve"> We would also expect that approximately 20-30% would receive an Outstanding rating and the remaining 50-60% would receive an Excellent rating. We expect this to be reflected in technical guidance for assessors but that assessors themselves would not be obligated to check or ensure that the awards follow this distribution, only that they have followed the guidance.</w:t>
      </w:r>
    </w:p>
    <w:p w14:paraId="7048F826" w14:textId="77777777" w:rsidR="003C3984" w:rsidRPr="00C03A26" w:rsidRDefault="003C3984" w:rsidP="003C3984">
      <w:pPr>
        <w:pStyle w:val="ListParagraph"/>
        <w:tabs>
          <w:tab w:val="left" w:pos="142"/>
        </w:tabs>
        <w:spacing w:after="0"/>
        <w:ind w:left="142"/>
        <w:rPr>
          <w:rFonts w:ascii="Arial" w:hAnsi="Arial" w:cs="Arial"/>
          <w:sz w:val="24"/>
          <w:szCs w:val="24"/>
        </w:rPr>
      </w:pPr>
    </w:p>
    <w:p w14:paraId="3A64B554" w14:textId="77777777" w:rsidR="003C3984" w:rsidRPr="00D25990" w:rsidRDefault="003C3984" w:rsidP="003C3984">
      <w:pPr>
        <w:pStyle w:val="Heading3"/>
        <w:spacing w:after="0"/>
        <w:ind w:hanging="426"/>
      </w:pPr>
      <w:bookmarkStart w:id="70" w:name="_Toc450148001"/>
      <w:bookmarkStart w:id="71" w:name="_Toc450886571"/>
      <w:r>
        <w:t>Commendations</w:t>
      </w:r>
      <w:bookmarkEnd w:id="70"/>
      <w:bookmarkEnd w:id="71"/>
    </w:p>
    <w:p w14:paraId="448D242B" w14:textId="77777777" w:rsidR="003C3984" w:rsidRDefault="003C3984" w:rsidP="003C3984">
      <w:pPr>
        <w:pStyle w:val="ListParagraph"/>
        <w:numPr>
          <w:ilvl w:val="0"/>
          <w:numId w:val="18"/>
        </w:numPr>
        <w:tabs>
          <w:tab w:val="left" w:pos="142"/>
        </w:tabs>
        <w:spacing w:after="0"/>
        <w:ind w:left="142" w:hanging="568"/>
        <w:rPr>
          <w:rFonts w:ascii="Arial" w:hAnsi="Arial" w:cs="Arial"/>
          <w:sz w:val="24"/>
          <w:szCs w:val="24"/>
        </w:rPr>
      </w:pPr>
      <w:r w:rsidRPr="00C03A26">
        <w:rPr>
          <w:rFonts w:ascii="Arial" w:hAnsi="Arial" w:cs="Arial"/>
          <w:sz w:val="24"/>
          <w:szCs w:val="24"/>
        </w:rPr>
        <w:t xml:space="preserve">A number of responses to the Green Paper suggested that the TEF could recognise providers who excel in particular areas through awarding commendations. This additional differentiation would allow a provider to showcase its particular distinctiveness to students and other stakeholders. </w:t>
      </w:r>
    </w:p>
    <w:p w14:paraId="75B1587D" w14:textId="77777777" w:rsidR="003C3984" w:rsidRDefault="003C3984" w:rsidP="003C3984">
      <w:pPr>
        <w:pStyle w:val="ListParagraph"/>
        <w:tabs>
          <w:tab w:val="left" w:pos="142"/>
        </w:tabs>
        <w:spacing w:after="0"/>
        <w:ind w:left="142"/>
        <w:rPr>
          <w:rFonts w:ascii="Arial" w:hAnsi="Arial" w:cs="Arial"/>
          <w:sz w:val="24"/>
          <w:szCs w:val="24"/>
        </w:rPr>
      </w:pPr>
    </w:p>
    <w:p w14:paraId="2F9CAF91" w14:textId="77777777" w:rsidR="003C3984" w:rsidRPr="00C03A26" w:rsidRDefault="003C3984" w:rsidP="003C3984">
      <w:pPr>
        <w:pStyle w:val="ListParagraph"/>
        <w:numPr>
          <w:ilvl w:val="0"/>
          <w:numId w:val="18"/>
        </w:numPr>
        <w:tabs>
          <w:tab w:val="left" w:pos="142"/>
        </w:tabs>
        <w:spacing w:after="0"/>
        <w:ind w:left="142" w:hanging="568"/>
        <w:rPr>
          <w:rFonts w:ascii="Arial" w:hAnsi="Arial" w:cs="Arial"/>
          <w:sz w:val="24"/>
          <w:szCs w:val="24"/>
        </w:rPr>
      </w:pPr>
      <w:r w:rsidRPr="00C03A26">
        <w:rPr>
          <w:rFonts w:ascii="Arial" w:hAnsi="Arial" w:cs="Arial"/>
          <w:sz w:val="24"/>
          <w:szCs w:val="24"/>
        </w:rPr>
        <w:t xml:space="preserve">Commendations would be intended to be relatively rare, highlighting that providers who achieve one are amongst the top-performing in that particular area. We would expect technical guidance to reflect that only 5-10% of providers would be likely to receive a commendation in any given area, without imposing a forced distribution or quota for assessors to follow. </w:t>
      </w:r>
    </w:p>
    <w:p w14:paraId="290826C4" w14:textId="77777777" w:rsidR="003C3984" w:rsidRPr="00C03A26" w:rsidRDefault="003C3984" w:rsidP="003C3984">
      <w:pPr>
        <w:pStyle w:val="ListParagraph"/>
        <w:tabs>
          <w:tab w:val="left" w:pos="142"/>
        </w:tabs>
        <w:spacing w:after="0"/>
        <w:ind w:left="142"/>
        <w:rPr>
          <w:rFonts w:ascii="Arial" w:hAnsi="Arial" w:cs="Arial"/>
          <w:sz w:val="24"/>
          <w:szCs w:val="24"/>
        </w:rPr>
      </w:pPr>
    </w:p>
    <w:p w14:paraId="38C405EB" w14:textId="77777777" w:rsidR="003C3984" w:rsidRPr="00C03A26" w:rsidRDefault="003C3984" w:rsidP="003C3984">
      <w:pPr>
        <w:pStyle w:val="ListParagraph"/>
        <w:numPr>
          <w:ilvl w:val="0"/>
          <w:numId w:val="18"/>
        </w:numPr>
        <w:tabs>
          <w:tab w:val="left" w:pos="142"/>
        </w:tabs>
        <w:spacing w:after="0"/>
        <w:ind w:left="142" w:hanging="568"/>
        <w:rPr>
          <w:rFonts w:ascii="Arial" w:hAnsi="Arial" w:cs="Arial"/>
          <w:sz w:val="24"/>
          <w:szCs w:val="24"/>
        </w:rPr>
      </w:pPr>
      <w:r w:rsidRPr="00C03A26">
        <w:rPr>
          <w:rFonts w:ascii="Arial" w:hAnsi="Arial" w:cs="Arial"/>
          <w:sz w:val="24"/>
          <w:szCs w:val="24"/>
        </w:rPr>
        <w:t>Assessors would consider whether a provider merited a commendation as they judge performance within each aspect (i</w:t>
      </w:r>
      <w:r>
        <w:rPr>
          <w:rFonts w:ascii="Arial" w:hAnsi="Arial" w:cs="Arial"/>
          <w:sz w:val="24"/>
          <w:szCs w:val="24"/>
        </w:rPr>
        <w:t>.</w:t>
      </w:r>
      <w:r w:rsidRPr="00C03A26">
        <w:rPr>
          <w:rFonts w:ascii="Arial" w:hAnsi="Arial" w:cs="Arial"/>
          <w:sz w:val="24"/>
          <w:szCs w:val="24"/>
        </w:rPr>
        <w:t>e</w:t>
      </w:r>
      <w:r>
        <w:rPr>
          <w:rFonts w:ascii="Arial" w:hAnsi="Arial" w:cs="Arial"/>
          <w:sz w:val="24"/>
          <w:szCs w:val="24"/>
        </w:rPr>
        <w:t>.</w:t>
      </w:r>
      <w:r w:rsidRPr="00C03A26">
        <w:rPr>
          <w:rFonts w:ascii="Arial" w:hAnsi="Arial" w:cs="Arial"/>
          <w:sz w:val="24"/>
          <w:szCs w:val="24"/>
        </w:rPr>
        <w:t xml:space="preserve"> Teaching Quality, Learning Environment and Student Outcomes). </w:t>
      </w:r>
    </w:p>
    <w:p w14:paraId="5323E49B" w14:textId="77777777" w:rsidR="003C3984" w:rsidRPr="00C03A26" w:rsidRDefault="003C3984" w:rsidP="003C3984">
      <w:pPr>
        <w:pStyle w:val="ListParagraph"/>
        <w:tabs>
          <w:tab w:val="left" w:pos="142"/>
        </w:tabs>
        <w:spacing w:after="0"/>
        <w:ind w:left="142"/>
        <w:rPr>
          <w:rFonts w:ascii="Arial" w:hAnsi="Arial" w:cs="Arial"/>
          <w:sz w:val="24"/>
          <w:szCs w:val="24"/>
        </w:rPr>
      </w:pPr>
    </w:p>
    <w:p w14:paraId="2305FF27" w14:textId="77777777" w:rsidR="003C3984" w:rsidRPr="00C03A26" w:rsidRDefault="003C3984" w:rsidP="003C3984">
      <w:pPr>
        <w:pStyle w:val="ListParagraph"/>
        <w:numPr>
          <w:ilvl w:val="0"/>
          <w:numId w:val="18"/>
        </w:numPr>
        <w:tabs>
          <w:tab w:val="left" w:pos="142"/>
        </w:tabs>
        <w:spacing w:after="0"/>
        <w:ind w:left="142" w:hanging="568"/>
        <w:rPr>
          <w:rFonts w:ascii="Arial" w:hAnsi="Arial" w:cs="Arial"/>
          <w:sz w:val="24"/>
          <w:szCs w:val="24"/>
        </w:rPr>
      </w:pPr>
      <w:r w:rsidRPr="00C03A26">
        <w:rPr>
          <w:rFonts w:ascii="Arial" w:hAnsi="Arial" w:cs="Arial"/>
          <w:sz w:val="24"/>
          <w:szCs w:val="24"/>
        </w:rPr>
        <w:t>We anticipate that it would be possible for providers at all levels to receive a commendation, although it would be likely to be unusual for those rated as Meets Expectations. Given the high bar for achieving a commendation, it would also be likely to be unusual for a provider to receive multiple commendations, although not impossible.</w:t>
      </w:r>
    </w:p>
    <w:p w14:paraId="381A43C6" w14:textId="77777777" w:rsidR="003C3984" w:rsidRPr="00C03A26" w:rsidRDefault="003C3984" w:rsidP="003C3984">
      <w:pPr>
        <w:pStyle w:val="ListParagraph"/>
        <w:tabs>
          <w:tab w:val="left" w:pos="142"/>
        </w:tabs>
        <w:spacing w:after="0"/>
        <w:ind w:left="142"/>
        <w:rPr>
          <w:rFonts w:ascii="Arial" w:hAnsi="Arial" w:cs="Arial"/>
          <w:sz w:val="24"/>
          <w:szCs w:val="24"/>
        </w:rPr>
      </w:pPr>
    </w:p>
    <w:p w14:paraId="62A6DD24" w14:textId="77777777" w:rsidR="003C3984" w:rsidRPr="00C03A26" w:rsidRDefault="003C3984" w:rsidP="003C3984">
      <w:pPr>
        <w:pStyle w:val="ListParagraph"/>
        <w:numPr>
          <w:ilvl w:val="0"/>
          <w:numId w:val="18"/>
        </w:numPr>
        <w:tabs>
          <w:tab w:val="left" w:pos="142"/>
        </w:tabs>
        <w:spacing w:after="0"/>
        <w:ind w:left="142" w:hanging="568"/>
        <w:rPr>
          <w:rFonts w:ascii="Arial" w:hAnsi="Arial" w:cs="Arial"/>
          <w:sz w:val="24"/>
          <w:szCs w:val="24"/>
        </w:rPr>
      </w:pPr>
      <w:r w:rsidRPr="00C03A26">
        <w:rPr>
          <w:rFonts w:ascii="Arial" w:hAnsi="Arial" w:cs="Arial"/>
          <w:sz w:val="24"/>
          <w:szCs w:val="24"/>
        </w:rPr>
        <w:lastRenderedPageBreak/>
        <w:t>We are interested in your views on the value of commendations in particular areas and what those areas might be. We propose that commendations could be made to indicate excellence in the following areas, which relate implicitly to the criteria meaning that no separate or additional evidence would be required:</w:t>
      </w:r>
    </w:p>
    <w:p w14:paraId="367EA298" w14:textId="77777777" w:rsidR="003C3984" w:rsidRPr="009D13AA" w:rsidRDefault="003C3984" w:rsidP="003C3984">
      <w:pPr>
        <w:pStyle w:val="ListParagraph"/>
        <w:numPr>
          <w:ilvl w:val="0"/>
          <w:numId w:val="27"/>
        </w:numPr>
        <w:spacing w:after="0"/>
        <w:ind w:left="567" w:hanging="425"/>
        <w:rPr>
          <w:rFonts w:ascii="Arial" w:hAnsi="Arial" w:cs="Arial"/>
          <w:sz w:val="24"/>
          <w:szCs w:val="24"/>
        </w:rPr>
      </w:pPr>
      <w:r>
        <w:rPr>
          <w:rFonts w:ascii="Arial" w:hAnsi="Arial" w:cs="Arial"/>
          <w:sz w:val="24"/>
          <w:szCs w:val="24"/>
        </w:rPr>
        <w:t>Excellence in research-led teaching</w:t>
      </w:r>
    </w:p>
    <w:p w14:paraId="33306601" w14:textId="77777777" w:rsidR="003C3984" w:rsidRPr="009D13AA" w:rsidRDefault="003C3984" w:rsidP="003C3984">
      <w:pPr>
        <w:pStyle w:val="ListParagraph"/>
        <w:numPr>
          <w:ilvl w:val="0"/>
          <w:numId w:val="27"/>
        </w:numPr>
        <w:spacing w:after="0"/>
        <w:ind w:left="567" w:hanging="425"/>
        <w:rPr>
          <w:rFonts w:ascii="Arial" w:hAnsi="Arial" w:cs="Arial"/>
          <w:sz w:val="24"/>
          <w:szCs w:val="24"/>
        </w:rPr>
      </w:pPr>
      <w:r>
        <w:rPr>
          <w:rFonts w:ascii="Arial" w:hAnsi="Arial" w:cs="Arial"/>
          <w:sz w:val="24"/>
          <w:szCs w:val="24"/>
        </w:rPr>
        <w:t>Excellence in business engagement</w:t>
      </w:r>
    </w:p>
    <w:p w14:paraId="62C60476" w14:textId="77777777" w:rsidR="003C3984" w:rsidRPr="009D13AA" w:rsidRDefault="003C3984" w:rsidP="003C3984">
      <w:pPr>
        <w:pStyle w:val="ListParagraph"/>
        <w:numPr>
          <w:ilvl w:val="0"/>
          <w:numId w:val="27"/>
        </w:numPr>
        <w:spacing w:after="0"/>
        <w:ind w:left="567" w:hanging="425"/>
        <w:rPr>
          <w:rFonts w:ascii="Arial" w:hAnsi="Arial" w:cs="Arial"/>
          <w:sz w:val="24"/>
          <w:szCs w:val="24"/>
        </w:rPr>
      </w:pPr>
      <w:r>
        <w:rPr>
          <w:rFonts w:ascii="Arial" w:hAnsi="Arial" w:cs="Arial"/>
          <w:sz w:val="24"/>
          <w:szCs w:val="24"/>
        </w:rPr>
        <w:t>Excellence in achieving positive outcomes</w:t>
      </w:r>
      <w:r w:rsidRPr="009D13AA">
        <w:rPr>
          <w:rFonts w:ascii="Arial" w:hAnsi="Arial" w:cs="Arial"/>
          <w:sz w:val="24"/>
          <w:szCs w:val="24"/>
        </w:rPr>
        <w:t xml:space="preserve"> </w:t>
      </w:r>
      <w:r>
        <w:rPr>
          <w:rFonts w:ascii="Arial" w:hAnsi="Arial" w:cs="Arial"/>
          <w:sz w:val="24"/>
          <w:szCs w:val="24"/>
        </w:rPr>
        <w:t xml:space="preserve">for </w:t>
      </w:r>
      <w:r w:rsidRPr="009D13AA">
        <w:rPr>
          <w:rFonts w:ascii="Arial" w:hAnsi="Arial" w:cs="Arial"/>
          <w:sz w:val="24"/>
          <w:szCs w:val="24"/>
        </w:rPr>
        <w:t>students from disadvantaged backgrounds</w:t>
      </w:r>
    </w:p>
    <w:p w14:paraId="61A60360" w14:textId="77777777" w:rsidR="003C3984" w:rsidRDefault="003C3984" w:rsidP="003C3984">
      <w:pPr>
        <w:pStyle w:val="ListParagraph"/>
        <w:numPr>
          <w:ilvl w:val="0"/>
          <w:numId w:val="27"/>
        </w:numPr>
        <w:spacing w:after="0"/>
        <w:ind w:left="567" w:hanging="425"/>
        <w:rPr>
          <w:rFonts w:ascii="Arial" w:hAnsi="Arial" w:cs="Arial"/>
          <w:sz w:val="24"/>
          <w:szCs w:val="24"/>
        </w:rPr>
      </w:pPr>
      <w:r>
        <w:rPr>
          <w:rFonts w:ascii="Arial" w:hAnsi="Arial" w:cs="Arial"/>
          <w:sz w:val="24"/>
          <w:szCs w:val="24"/>
        </w:rPr>
        <w:t>Excellence in innovative teaching methods</w:t>
      </w:r>
    </w:p>
    <w:p w14:paraId="38DC51EB" w14:textId="77777777" w:rsidR="003C3984" w:rsidRDefault="003C3984" w:rsidP="003C3984">
      <w:pPr>
        <w:pStyle w:val="ListParagraph"/>
        <w:numPr>
          <w:ilvl w:val="0"/>
          <w:numId w:val="27"/>
        </w:numPr>
        <w:spacing w:after="0"/>
        <w:ind w:left="567" w:hanging="425"/>
        <w:rPr>
          <w:rFonts w:ascii="Arial" w:hAnsi="Arial" w:cs="Arial"/>
          <w:sz w:val="24"/>
          <w:szCs w:val="24"/>
        </w:rPr>
      </w:pPr>
      <w:r>
        <w:rPr>
          <w:rFonts w:ascii="Arial" w:hAnsi="Arial" w:cs="Arial"/>
          <w:sz w:val="24"/>
          <w:szCs w:val="24"/>
        </w:rPr>
        <w:t>Excellence in delivering part-time and/or distance learning</w:t>
      </w:r>
    </w:p>
    <w:p w14:paraId="4185B7DA" w14:textId="7D232E4F" w:rsidR="003C3984" w:rsidRDefault="003C3984" w:rsidP="003C3984">
      <w:pPr>
        <w:pStyle w:val="ListParagraph"/>
        <w:numPr>
          <w:ilvl w:val="0"/>
          <w:numId w:val="27"/>
        </w:numPr>
        <w:spacing w:after="0"/>
        <w:ind w:left="567" w:hanging="425"/>
        <w:rPr>
          <w:rFonts w:ascii="Arial" w:hAnsi="Arial" w:cs="Arial"/>
          <w:sz w:val="24"/>
          <w:szCs w:val="24"/>
        </w:rPr>
      </w:pPr>
      <w:r>
        <w:rPr>
          <w:rFonts w:ascii="Arial" w:hAnsi="Arial" w:cs="Arial"/>
          <w:sz w:val="24"/>
          <w:szCs w:val="24"/>
        </w:rPr>
        <w:t>Excellence in the support, reward and recognition available</w:t>
      </w:r>
      <w:r w:rsidRPr="003C3984">
        <w:rPr>
          <w:rFonts w:ascii="Arial" w:hAnsi="Arial" w:cs="Arial"/>
          <w:sz w:val="24"/>
          <w:szCs w:val="24"/>
        </w:rPr>
        <w:t xml:space="preserve"> for teaching staff</w:t>
      </w:r>
    </w:p>
    <w:p w14:paraId="59113053" w14:textId="77777777" w:rsidR="003C3984" w:rsidRPr="003C3984" w:rsidRDefault="003C3984" w:rsidP="003C3984">
      <w:pPr>
        <w:spacing w:after="0"/>
        <w:rPr>
          <w:rFonts w:cs="Arial"/>
          <w:b/>
          <w:i/>
        </w:rPr>
      </w:pPr>
    </w:p>
    <w:p w14:paraId="0377BB0B" w14:textId="77777777" w:rsidR="003C3984" w:rsidRDefault="003C3984" w:rsidP="003C398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Arial"/>
          <w:b/>
        </w:rPr>
      </w:pPr>
      <w:r>
        <w:rPr>
          <w:rFonts w:cs="Arial"/>
          <w:b/>
        </w:rPr>
        <w:t>Q9:</w:t>
      </w:r>
    </w:p>
    <w:p w14:paraId="234F5523" w14:textId="77777777" w:rsidR="003C3984" w:rsidRDefault="003C3984" w:rsidP="003C398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Arial"/>
          <w:b/>
        </w:rPr>
      </w:pPr>
      <w:r>
        <w:rPr>
          <w:rFonts w:cs="Arial"/>
          <w:b/>
        </w:rPr>
        <w:t xml:space="preserve">A) </w:t>
      </w:r>
      <w:r w:rsidRPr="004B4708">
        <w:rPr>
          <w:rFonts w:cs="Arial"/>
          <w:b/>
        </w:rPr>
        <w:t xml:space="preserve">Do you think the TEF should issue commendations? </w:t>
      </w:r>
    </w:p>
    <w:p w14:paraId="3581E5C6" w14:textId="77777777" w:rsidR="003C3984" w:rsidRDefault="003C3984" w:rsidP="003C398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Arial"/>
          <w:b/>
        </w:rPr>
      </w:pPr>
    </w:p>
    <w:p w14:paraId="5358B066" w14:textId="77777777" w:rsidR="003C3984" w:rsidRDefault="003C3984" w:rsidP="003C398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Arial"/>
          <w:b/>
        </w:rPr>
      </w:pPr>
      <w:r>
        <w:rPr>
          <w:rFonts w:cs="Arial"/>
          <w:b/>
        </w:rPr>
        <w:t xml:space="preserve">B) </w:t>
      </w:r>
      <w:r w:rsidRPr="004B4708">
        <w:rPr>
          <w:rFonts w:cs="Arial"/>
          <w:b/>
        </w:rPr>
        <w:t xml:space="preserve">If </w:t>
      </w:r>
      <w:r>
        <w:rPr>
          <w:rFonts w:cs="Arial"/>
          <w:b/>
        </w:rPr>
        <w:t>so</w:t>
      </w:r>
      <w:r w:rsidRPr="004B4708">
        <w:rPr>
          <w:rFonts w:cs="Arial"/>
          <w:b/>
        </w:rPr>
        <w:t xml:space="preserve">, do you agree with the areas identified above? </w:t>
      </w:r>
    </w:p>
    <w:p w14:paraId="0C74203C" w14:textId="77777777" w:rsidR="003C3984" w:rsidRDefault="003C3984" w:rsidP="003C398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Arial"/>
          <w:b/>
        </w:rPr>
      </w:pPr>
    </w:p>
    <w:p w14:paraId="5E0555D7" w14:textId="71EAE544" w:rsidR="003C3984" w:rsidRPr="005D56C9" w:rsidRDefault="003C3984" w:rsidP="003C398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Arial"/>
          <w:b/>
        </w:rPr>
      </w:pPr>
      <w:r w:rsidRPr="004B4708">
        <w:rPr>
          <w:rFonts w:cs="Arial"/>
          <w:b/>
        </w:rPr>
        <w:t xml:space="preserve">Please indicate if you </w:t>
      </w:r>
      <w:r w:rsidR="00EB7132">
        <w:rPr>
          <w:rFonts w:cs="Arial"/>
          <w:b/>
        </w:rPr>
        <w:t xml:space="preserve">have </w:t>
      </w:r>
      <w:r w:rsidRPr="004B4708">
        <w:rPr>
          <w:rFonts w:cs="Arial"/>
          <w:b/>
        </w:rPr>
        <w:t>any additional or alternative suggestions</w:t>
      </w:r>
      <w:r>
        <w:rPr>
          <w:rFonts w:cs="Arial"/>
          <w:b/>
        </w:rPr>
        <w:t xml:space="preserve"> for areas that might be covered by commendations.</w:t>
      </w:r>
    </w:p>
    <w:p w14:paraId="0DBB1437" w14:textId="77777777" w:rsidR="003C3984" w:rsidRDefault="003C3984" w:rsidP="003C3984">
      <w:pPr>
        <w:spacing w:after="0"/>
        <w:rPr>
          <w:rFonts w:cs="Arial"/>
          <w:b/>
        </w:rPr>
      </w:pPr>
    </w:p>
    <w:p w14:paraId="5D03462A" w14:textId="77777777" w:rsidR="003C3984" w:rsidRPr="003A3282" w:rsidRDefault="003C3984" w:rsidP="003C3984">
      <w:pPr>
        <w:pStyle w:val="Heading3"/>
        <w:spacing w:after="0"/>
        <w:ind w:hanging="426"/>
      </w:pPr>
      <w:bookmarkStart w:id="72" w:name="_Toc450148002"/>
      <w:bookmarkStart w:id="73" w:name="_Toc450886572"/>
      <w:r>
        <w:t>The TEF Panel</w:t>
      </w:r>
      <w:bookmarkEnd w:id="72"/>
      <w:bookmarkEnd w:id="73"/>
    </w:p>
    <w:p w14:paraId="61A79E56" w14:textId="77777777" w:rsidR="003C3984" w:rsidRDefault="003C3984" w:rsidP="003C3984">
      <w:pPr>
        <w:pStyle w:val="ListParagraph"/>
        <w:numPr>
          <w:ilvl w:val="0"/>
          <w:numId w:val="18"/>
        </w:numPr>
        <w:tabs>
          <w:tab w:val="left" w:pos="142"/>
        </w:tabs>
        <w:spacing w:after="0"/>
        <w:ind w:left="142" w:hanging="568"/>
        <w:rPr>
          <w:rFonts w:ascii="Arial" w:hAnsi="Arial" w:cs="Arial"/>
          <w:sz w:val="24"/>
          <w:szCs w:val="24"/>
        </w:rPr>
      </w:pPr>
      <w:r w:rsidRPr="00C03A26">
        <w:rPr>
          <w:rFonts w:ascii="Arial" w:hAnsi="Arial" w:cs="Arial"/>
          <w:sz w:val="24"/>
          <w:szCs w:val="24"/>
        </w:rPr>
        <w:t xml:space="preserve">The role of the </w:t>
      </w:r>
      <w:r w:rsidRPr="00C03A26">
        <w:rPr>
          <w:rFonts w:ascii="Arial" w:hAnsi="Arial" w:cs="Arial"/>
          <w:b/>
          <w:sz w:val="24"/>
          <w:szCs w:val="24"/>
        </w:rPr>
        <w:t>TEF Panel</w:t>
      </w:r>
      <w:r w:rsidRPr="00C03A26">
        <w:rPr>
          <w:rFonts w:ascii="Arial" w:hAnsi="Arial" w:cs="Arial"/>
          <w:sz w:val="24"/>
          <w:szCs w:val="24"/>
        </w:rPr>
        <w:t xml:space="preserve"> is to reach a collective decision about the level of excellence demonstrated by a provider using the framework for assessment (see </w:t>
      </w:r>
      <w:r w:rsidRPr="00C03A26">
        <w:rPr>
          <w:rFonts w:ascii="Arial" w:hAnsi="Arial" w:cs="Arial"/>
          <w:b/>
          <w:sz w:val="24"/>
          <w:szCs w:val="24"/>
        </w:rPr>
        <w:t>Chapter 1: The Assessment Framework</w:t>
      </w:r>
      <w:r w:rsidRPr="00C03A26">
        <w:rPr>
          <w:rFonts w:ascii="Arial" w:hAnsi="Arial" w:cs="Arial"/>
          <w:sz w:val="24"/>
          <w:szCs w:val="24"/>
        </w:rPr>
        <w:t xml:space="preserve">). The work of the TEF Panel will be facilitated by TEF officers who will not take part in assessment decisions, and supported by recommendations from a wider group of </w:t>
      </w:r>
      <w:r w:rsidRPr="00C03A26">
        <w:rPr>
          <w:rFonts w:ascii="Arial" w:hAnsi="Arial" w:cs="Arial"/>
          <w:b/>
          <w:sz w:val="24"/>
          <w:szCs w:val="24"/>
        </w:rPr>
        <w:t>TEF assessors</w:t>
      </w:r>
      <w:r w:rsidRPr="00C03A26">
        <w:rPr>
          <w:rFonts w:ascii="Arial" w:hAnsi="Arial" w:cs="Arial"/>
          <w:sz w:val="24"/>
          <w:szCs w:val="24"/>
        </w:rPr>
        <w:t xml:space="preserve">. </w:t>
      </w:r>
    </w:p>
    <w:p w14:paraId="7672245A" w14:textId="77777777" w:rsidR="003C3984" w:rsidRDefault="003C3984" w:rsidP="003C3984">
      <w:pPr>
        <w:pStyle w:val="ListParagraph"/>
        <w:tabs>
          <w:tab w:val="left" w:pos="142"/>
        </w:tabs>
        <w:spacing w:after="0"/>
        <w:ind w:left="142"/>
        <w:rPr>
          <w:rFonts w:ascii="Arial" w:hAnsi="Arial" w:cs="Arial"/>
          <w:sz w:val="24"/>
          <w:szCs w:val="24"/>
        </w:rPr>
      </w:pPr>
    </w:p>
    <w:p w14:paraId="071CEBD3" w14:textId="77777777" w:rsidR="005A3A09" w:rsidRDefault="003C3984" w:rsidP="003C3984">
      <w:pPr>
        <w:pStyle w:val="ListParagraph"/>
        <w:numPr>
          <w:ilvl w:val="0"/>
          <w:numId w:val="18"/>
        </w:numPr>
        <w:tabs>
          <w:tab w:val="left" w:pos="142"/>
        </w:tabs>
        <w:spacing w:after="0"/>
        <w:ind w:left="142" w:hanging="568"/>
        <w:rPr>
          <w:rFonts w:ascii="Arial" w:hAnsi="Arial" w:cs="Arial"/>
          <w:sz w:val="24"/>
          <w:szCs w:val="24"/>
        </w:rPr>
      </w:pPr>
      <w:r w:rsidRPr="00C03A26">
        <w:rPr>
          <w:rFonts w:ascii="Arial" w:hAnsi="Arial" w:cs="Arial"/>
          <w:sz w:val="24"/>
          <w:szCs w:val="24"/>
        </w:rPr>
        <w:t xml:space="preserve">The TEF Panel will be composed of individuals with experience and expertise in teaching and learning within a higher education setting, and students. There will also be specialist input from employer representatives and individuals with widening participation expertise. </w:t>
      </w:r>
    </w:p>
    <w:p w14:paraId="546B1B10" w14:textId="77777777" w:rsidR="005A3A09" w:rsidRPr="005A3A09" w:rsidRDefault="005A3A09" w:rsidP="005A3A09">
      <w:pPr>
        <w:pStyle w:val="ListParagraph"/>
        <w:spacing w:after="0"/>
        <w:rPr>
          <w:rFonts w:ascii="Arial" w:hAnsi="Arial" w:cs="Arial"/>
          <w:sz w:val="24"/>
        </w:rPr>
      </w:pPr>
    </w:p>
    <w:p w14:paraId="0F9369B4" w14:textId="780A801A" w:rsidR="003C3984" w:rsidRPr="005A3A09" w:rsidRDefault="003C3984" w:rsidP="005A3A09">
      <w:pPr>
        <w:pStyle w:val="ListParagraph"/>
        <w:numPr>
          <w:ilvl w:val="0"/>
          <w:numId w:val="18"/>
        </w:numPr>
        <w:tabs>
          <w:tab w:val="left" w:pos="142"/>
        </w:tabs>
        <w:spacing w:after="0"/>
        <w:ind w:left="142" w:hanging="568"/>
        <w:rPr>
          <w:rFonts w:ascii="Arial" w:hAnsi="Arial" w:cs="Arial"/>
          <w:sz w:val="28"/>
          <w:szCs w:val="24"/>
        </w:rPr>
      </w:pPr>
      <w:r w:rsidRPr="005A3A09">
        <w:rPr>
          <w:rFonts w:ascii="Arial" w:hAnsi="Arial" w:cs="Arial"/>
          <w:sz w:val="24"/>
        </w:rPr>
        <w:t xml:space="preserve">Appointment of TEF Panel members and TEF assessors will begin shortly after the publication of this consultation (see </w:t>
      </w:r>
      <w:r w:rsidRPr="005A3A09">
        <w:rPr>
          <w:rFonts w:ascii="Arial" w:hAnsi="Arial" w:cs="Arial"/>
          <w:b/>
          <w:sz w:val="24"/>
        </w:rPr>
        <w:t>Annex B: Timetable – Key dates for providers</w:t>
      </w:r>
      <w:r w:rsidRPr="005A3A09">
        <w:rPr>
          <w:rFonts w:ascii="Arial" w:hAnsi="Arial" w:cs="Arial"/>
          <w:sz w:val="24"/>
        </w:rPr>
        <w:t>). HEFCE will invite applications, with details of the roles, including the person specification</w:t>
      </w:r>
      <w:bookmarkEnd w:id="3"/>
      <w:bookmarkEnd w:id="4"/>
      <w:r w:rsidR="005A3A09" w:rsidRPr="005A3A09">
        <w:rPr>
          <w:rFonts w:ascii="Arial" w:hAnsi="Arial" w:cs="Arial"/>
          <w:sz w:val="24"/>
        </w:rPr>
        <w:t xml:space="preserve"> </w:t>
      </w:r>
      <w:r w:rsidRPr="005A3A09">
        <w:rPr>
          <w:rFonts w:ascii="Arial" w:hAnsi="Arial" w:cs="Arial"/>
          <w:sz w:val="24"/>
        </w:rPr>
        <w:t xml:space="preserve">and essential criteria. The level of expertise and experience expected of TEF assessors and TEF Panel members will reflect our ambition for the TEF to be able to command the respect of providers, students and other stakeholders in the UK and internationally. </w:t>
      </w:r>
    </w:p>
    <w:p w14:paraId="254AC68E" w14:textId="77777777" w:rsidR="003C3984" w:rsidRPr="005A3A09" w:rsidRDefault="003C3984" w:rsidP="005A3A09">
      <w:pPr>
        <w:pStyle w:val="ListParagraph"/>
        <w:tabs>
          <w:tab w:val="left" w:pos="142"/>
        </w:tabs>
        <w:spacing w:after="0"/>
        <w:ind w:left="142"/>
        <w:rPr>
          <w:rFonts w:ascii="Arial" w:hAnsi="Arial" w:cs="Arial"/>
          <w:sz w:val="28"/>
          <w:szCs w:val="24"/>
        </w:rPr>
      </w:pPr>
    </w:p>
    <w:p w14:paraId="40AFF6D9" w14:textId="77777777" w:rsidR="003C3984" w:rsidRDefault="003C3984" w:rsidP="003C3984">
      <w:pPr>
        <w:pStyle w:val="ListParagraph"/>
        <w:numPr>
          <w:ilvl w:val="0"/>
          <w:numId w:val="18"/>
        </w:numPr>
        <w:tabs>
          <w:tab w:val="left" w:pos="142"/>
        </w:tabs>
        <w:spacing w:after="0"/>
        <w:ind w:left="142" w:hanging="568"/>
        <w:rPr>
          <w:rFonts w:ascii="Arial" w:hAnsi="Arial" w:cs="Arial"/>
          <w:sz w:val="24"/>
          <w:szCs w:val="24"/>
        </w:rPr>
      </w:pPr>
      <w:r w:rsidRPr="00C03A26">
        <w:rPr>
          <w:rFonts w:ascii="Arial" w:hAnsi="Arial" w:cs="Arial"/>
          <w:sz w:val="24"/>
          <w:szCs w:val="24"/>
        </w:rPr>
        <w:t xml:space="preserve">As outlined in the White Paper, the TEF Panel Chair in Year Two will be an appointment made jointly by the Secretary of State and HEFCE. </w:t>
      </w:r>
    </w:p>
    <w:p w14:paraId="4CB8CB48" w14:textId="77777777" w:rsidR="003C3984" w:rsidRDefault="003C3984" w:rsidP="003C3984">
      <w:pPr>
        <w:pStyle w:val="ListParagraph"/>
        <w:tabs>
          <w:tab w:val="left" w:pos="142"/>
        </w:tabs>
        <w:spacing w:after="0"/>
        <w:ind w:left="142"/>
        <w:rPr>
          <w:rFonts w:ascii="Arial" w:hAnsi="Arial" w:cs="Arial"/>
          <w:sz w:val="24"/>
          <w:szCs w:val="24"/>
        </w:rPr>
      </w:pPr>
    </w:p>
    <w:p w14:paraId="4B73D575" w14:textId="77777777" w:rsidR="003C3984" w:rsidRPr="00D25990" w:rsidRDefault="003C3984" w:rsidP="003C3984">
      <w:pPr>
        <w:pStyle w:val="Heading3"/>
        <w:spacing w:after="0"/>
        <w:ind w:hanging="426"/>
      </w:pPr>
      <w:bookmarkStart w:id="74" w:name="_Toc450148003"/>
      <w:bookmarkStart w:id="75" w:name="_Toc450886573"/>
      <w:r>
        <w:t>The assessment process</w:t>
      </w:r>
      <w:bookmarkEnd w:id="74"/>
      <w:bookmarkEnd w:id="75"/>
    </w:p>
    <w:p w14:paraId="35D0CDFC" w14:textId="77777777" w:rsidR="003C3984" w:rsidRDefault="003C3984" w:rsidP="003C3984">
      <w:pPr>
        <w:pStyle w:val="ListParagraph"/>
        <w:numPr>
          <w:ilvl w:val="0"/>
          <w:numId w:val="18"/>
        </w:numPr>
        <w:tabs>
          <w:tab w:val="left" w:pos="142"/>
        </w:tabs>
        <w:spacing w:after="0"/>
        <w:ind w:left="142" w:hanging="568"/>
        <w:rPr>
          <w:rFonts w:ascii="Arial" w:hAnsi="Arial" w:cs="Arial"/>
          <w:sz w:val="24"/>
          <w:szCs w:val="24"/>
        </w:rPr>
      </w:pPr>
      <w:r w:rsidRPr="00C03A26">
        <w:rPr>
          <w:rFonts w:ascii="Arial" w:hAnsi="Arial" w:cs="Arial"/>
          <w:sz w:val="24"/>
          <w:szCs w:val="24"/>
        </w:rPr>
        <w:t xml:space="preserve">We propose an assessment process which is in three stages, summarised in </w:t>
      </w:r>
      <w:r w:rsidRPr="00C03A26">
        <w:rPr>
          <w:rFonts w:ascii="Arial" w:hAnsi="Arial" w:cs="Arial"/>
          <w:b/>
          <w:sz w:val="24"/>
          <w:szCs w:val="24"/>
        </w:rPr>
        <w:t>Figure 7</w:t>
      </w:r>
      <w:r w:rsidRPr="00C03A26">
        <w:rPr>
          <w:rFonts w:ascii="Arial" w:hAnsi="Arial" w:cs="Arial"/>
          <w:sz w:val="24"/>
          <w:szCs w:val="24"/>
        </w:rPr>
        <w:t xml:space="preserve">. A role description for each of the different actors involved in the process is in </w:t>
      </w:r>
      <w:r w:rsidRPr="00C03A26">
        <w:rPr>
          <w:rFonts w:ascii="Arial" w:hAnsi="Arial" w:cs="Arial"/>
          <w:b/>
          <w:sz w:val="24"/>
          <w:szCs w:val="24"/>
        </w:rPr>
        <w:t>Figure 8</w:t>
      </w:r>
      <w:r w:rsidRPr="00C03A26">
        <w:rPr>
          <w:rFonts w:ascii="Arial" w:hAnsi="Arial" w:cs="Arial"/>
          <w:sz w:val="24"/>
          <w:szCs w:val="24"/>
        </w:rPr>
        <w:t>.</w:t>
      </w:r>
    </w:p>
    <w:p w14:paraId="267B0647" w14:textId="77777777" w:rsidR="003C3984" w:rsidRPr="00AA2D8F" w:rsidRDefault="003C3984" w:rsidP="003C3984">
      <w:pPr>
        <w:tabs>
          <w:tab w:val="left" w:pos="142"/>
        </w:tabs>
        <w:spacing w:after="0"/>
        <w:rPr>
          <w:rFonts w:cs="Arial"/>
        </w:rPr>
      </w:pPr>
    </w:p>
    <w:p w14:paraId="58ACA171" w14:textId="77777777" w:rsidR="003C3984" w:rsidRPr="00C03A26" w:rsidRDefault="003C3984" w:rsidP="003C3984">
      <w:pPr>
        <w:pStyle w:val="ListParagraph"/>
        <w:numPr>
          <w:ilvl w:val="0"/>
          <w:numId w:val="18"/>
        </w:numPr>
        <w:tabs>
          <w:tab w:val="left" w:pos="142"/>
        </w:tabs>
        <w:spacing w:after="0"/>
        <w:ind w:left="142" w:hanging="568"/>
        <w:rPr>
          <w:rFonts w:ascii="Arial" w:hAnsi="Arial" w:cs="Arial"/>
          <w:b/>
          <w:sz w:val="24"/>
          <w:szCs w:val="24"/>
        </w:rPr>
      </w:pPr>
      <w:r w:rsidRPr="00C03A26">
        <w:rPr>
          <w:rFonts w:ascii="Arial" w:hAnsi="Arial" w:cs="Arial"/>
          <w:b/>
          <w:sz w:val="24"/>
          <w:szCs w:val="24"/>
        </w:rPr>
        <w:t>Figure 7: The proposed assessment process</w:t>
      </w:r>
    </w:p>
    <w:p w14:paraId="71BA491C" w14:textId="77777777" w:rsidR="003C3984" w:rsidRDefault="003C3984" w:rsidP="003C3984">
      <w:pPr>
        <w:spacing w:after="0"/>
        <w:rPr>
          <w:rFonts w:cs="Arial"/>
          <w:b/>
        </w:rPr>
      </w:pPr>
    </w:p>
    <w:p w14:paraId="1293A7F1" w14:textId="77777777" w:rsidR="003C3984" w:rsidRDefault="003C3984" w:rsidP="003C398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Arial"/>
          <w:b/>
        </w:rPr>
      </w:pPr>
      <w:r w:rsidRPr="005C3DBC">
        <w:rPr>
          <w:rFonts w:cs="Arial"/>
          <w:b/>
        </w:rPr>
        <w:lastRenderedPageBreak/>
        <w:t xml:space="preserve">Stage 1: Individual assessment </w:t>
      </w:r>
    </w:p>
    <w:p w14:paraId="459E8A43" w14:textId="77777777" w:rsidR="003C3984" w:rsidRPr="001F7EF8" w:rsidRDefault="003C3984" w:rsidP="003C398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Arial"/>
          <w:b/>
        </w:rPr>
      </w:pPr>
    </w:p>
    <w:p w14:paraId="6E2B11A4" w14:textId="77777777" w:rsidR="003C3984" w:rsidRDefault="003C3984" w:rsidP="003C3984">
      <w:pPr>
        <w:pStyle w:val="ListParagraph"/>
        <w:numPr>
          <w:ilvl w:val="0"/>
          <w:numId w:val="6"/>
        </w:numPr>
        <w:pBdr>
          <w:top w:val="single" w:sz="4" w:space="1" w:color="auto"/>
          <w:left w:val="single" w:sz="4" w:space="6" w:color="auto"/>
          <w:bottom w:val="single" w:sz="4" w:space="1" w:color="auto"/>
          <w:right w:val="single" w:sz="4" w:space="4" w:color="auto"/>
        </w:pBdr>
        <w:spacing w:after="0" w:line="240" w:lineRule="auto"/>
        <w:contextualSpacing w:val="0"/>
        <w:rPr>
          <w:rFonts w:ascii="Arial" w:hAnsi="Arial" w:cs="Arial"/>
        </w:rPr>
      </w:pPr>
      <w:r>
        <w:rPr>
          <w:rFonts w:ascii="Arial" w:hAnsi="Arial" w:cs="Arial"/>
        </w:rPr>
        <w:t>Assessors receive a set of applications</w:t>
      </w:r>
      <w:r w:rsidRPr="005C3DBC">
        <w:rPr>
          <w:rFonts w:ascii="Arial" w:hAnsi="Arial" w:cs="Arial"/>
        </w:rPr>
        <w:t xml:space="preserve"> for individual assessment</w:t>
      </w:r>
    </w:p>
    <w:p w14:paraId="0550B09A" w14:textId="77777777" w:rsidR="003C3984" w:rsidRDefault="003C3984" w:rsidP="003C3984">
      <w:pPr>
        <w:pStyle w:val="ListParagraph"/>
        <w:numPr>
          <w:ilvl w:val="0"/>
          <w:numId w:val="6"/>
        </w:numPr>
        <w:pBdr>
          <w:top w:val="single" w:sz="4" w:space="1" w:color="auto"/>
          <w:left w:val="single" w:sz="4" w:space="6" w:color="auto"/>
          <w:bottom w:val="single" w:sz="4" w:space="1" w:color="auto"/>
          <w:right w:val="single" w:sz="4" w:space="4" w:color="auto"/>
        </w:pBdr>
        <w:spacing w:after="0" w:line="240" w:lineRule="auto"/>
        <w:contextualSpacing w:val="0"/>
        <w:rPr>
          <w:rFonts w:ascii="Arial" w:hAnsi="Arial" w:cs="Arial"/>
        </w:rPr>
      </w:pPr>
      <w:r>
        <w:rPr>
          <w:rFonts w:ascii="Arial" w:hAnsi="Arial" w:cs="Arial"/>
        </w:rPr>
        <w:t>Facilitated and supported by TEF officers</w:t>
      </w:r>
    </w:p>
    <w:p w14:paraId="0393A657" w14:textId="77777777" w:rsidR="003C3984" w:rsidRDefault="003C3984" w:rsidP="003C3984">
      <w:pPr>
        <w:pStyle w:val="ListParagraph"/>
        <w:numPr>
          <w:ilvl w:val="0"/>
          <w:numId w:val="6"/>
        </w:numPr>
        <w:pBdr>
          <w:top w:val="single" w:sz="4" w:space="1" w:color="auto"/>
          <w:left w:val="single" w:sz="4" w:space="6" w:color="auto"/>
          <w:bottom w:val="single" w:sz="4" w:space="1" w:color="auto"/>
          <w:right w:val="single" w:sz="4" w:space="4" w:color="auto"/>
        </w:pBdr>
        <w:spacing w:after="0" w:line="240" w:lineRule="auto"/>
        <w:contextualSpacing w:val="0"/>
        <w:rPr>
          <w:rFonts w:ascii="Arial" w:hAnsi="Arial" w:cs="Arial"/>
        </w:rPr>
      </w:pPr>
      <w:r>
        <w:rPr>
          <w:rFonts w:ascii="Arial" w:hAnsi="Arial" w:cs="Arial"/>
        </w:rPr>
        <w:t>Opportunity to seek clarification or verification from provider</w:t>
      </w:r>
    </w:p>
    <w:p w14:paraId="52611964" w14:textId="77777777" w:rsidR="003C3984" w:rsidRPr="005C3DBC" w:rsidRDefault="003C3984" w:rsidP="003C398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Arial"/>
          <w:b/>
        </w:rPr>
      </w:pPr>
      <w:r>
        <w:rPr>
          <w:rFonts w:cs="Arial"/>
          <w:b/>
        </w:rPr>
        <w:t>Stage 2: Assessors agree recommendations for the TEF Panel</w:t>
      </w:r>
    </w:p>
    <w:p w14:paraId="7217FD99" w14:textId="77777777" w:rsidR="003C3984" w:rsidRDefault="003C3984" w:rsidP="003C398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Arial"/>
        </w:rPr>
      </w:pPr>
    </w:p>
    <w:p w14:paraId="1D68C27B" w14:textId="77777777" w:rsidR="003C3984" w:rsidRDefault="003C3984" w:rsidP="003C3984">
      <w:pPr>
        <w:pStyle w:val="ListParagraph"/>
        <w:numPr>
          <w:ilvl w:val="0"/>
          <w:numId w:val="7"/>
        </w:numPr>
        <w:pBdr>
          <w:top w:val="single" w:sz="4" w:space="1" w:color="auto"/>
          <w:left w:val="single" w:sz="4" w:space="4" w:color="auto"/>
          <w:bottom w:val="single" w:sz="4" w:space="1" w:color="auto"/>
          <w:right w:val="single" w:sz="4" w:space="4" w:color="auto"/>
        </w:pBdr>
        <w:spacing w:after="0" w:line="240" w:lineRule="auto"/>
        <w:contextualSpacing w:val="0"/>
        <w:rPr>
          <w:rFonts w:ascii="Arial" w:hAnsi="Arial" w:cs="Arial"/>
        </w:rPr>
      </w:pPr>
      <w:r>
        <w:rPr>
          <w:rFonts w:ascii="Arial" w:hAnsi="Arial" w:cs="Arial"/>
        </w:rPr>
        <w:t>Assessors agree provisional outcomes</w:t>
      </w:r>
    </w:p>
    <w:p w14:paraId="56F9B1BD" w14:textId="77777777" w:rsidR="003C3984" w:rsidRDefault="003C3984" w:rsidP="003C3984">
      <w:pPr>
        <w:pStyle w:val="ListParagraph"/>
        <w:numPr>
          <w:ilvl w:val="0"/>
          <w:numId w:val="7"/>
        </w:numPr>
        <w:pBdr>
          <w:top w:val="single" w:sz="4" w:space="1" w:color="auto"/>
          <w:left w:val="single" w:sz="4" w:space="4" w:color="auto"/>
          <w:bottom w:val="single" w:sz="4" w:space="1" w:color="auto"/>
          <w:right w:val="single" w:sz="4" w:space="4" w:color="auto"/>
        </w:pBdr>
        <w:spacing w:after="0" w:line="240" w:lineRule="auto"/>
        <w:contextualSpacing w:val="0"/>
        <w:rPr>
          <w:rFonts w:ascii="Arial" w:hAnsi="Arial" w:cs="Arial"/>
        </w:rPr>
      </w:pPr>
      <w:r>
        <w:rPr>
          <w:rFonts w:ascii="Arial" w:hAnsi="Arial" w:cs="Arial"/>
        </w:rPr>
        <w:t>Facilitated and supported by TEF officers</w:t>
      </w:r>
    </w:p>
    <w:p w14:paraId="44247D52" w14:textId="77777777" w:rsidR="003C3984" w:rsidRPr="0035771F" w:rsidRDefault="003C3984" w:rsidP="003C3984">
      <w:pPr>
        <w:pStyle w:val="ListParagraph"/>
        <w:numPr>
          <w:ilvl w:val="0"/>
          <w:numId w:val="7"/>
        </w:numPr>
        <w:pBdr>
          <w:top w:val="single" w:sz="4" w:space="1" w:color="auto"/>
          <w:left w:val="single" w:sz="4" w:space="4" w:color="auto"/>
          <w:bottom w:val="single" w:sz="4" w:space="1" w:color="auto"/>
          <w:right w:val="single" w:sz="4" w:space="4" w:color="auto"/>
        </w:pBdr>
        <w:spacing w:after="0" w:line="240" w:lineRule="auto"/>
        <w:contextualSpacing w:val="0"/>
        <w:rPr>
          <w:rFonts w:ascii="Arial" w:hAnsi="Arial" w:cs="Arial"/>
        </w:rPr>
      </w:pPr>
      <w:r>
        <w:rPr>
          <w:rFonts w:ascii="Arial" w:hAnsi="Arial" w:cs="Arial"/>
        </w:rPr>
        <w:t xml:space="preserve">Specialist input from widening participation experts and employer representatives </w:t>
      </w:r>
    </w:p>
    <w:p w14:paraId="46E88E93" w14:textId="77777777" w:rsidR="003C3984" w:rsidRPr="005C3DBC" w:rsidRDefault="003C3984" w:rsidP="003C398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Arial"/>
          <w:b/>
        </w:rPr>
      </w:pPr>
      <w:r w:rsidRPr="005C3DBC">
        <w:rPr>
          <w:rFonts w:cs="Arial"/>
          <w:b/>
        </w:rPr>
        <w:t xml:space="preserve">Stage 3: </w:t>
      </w:r>
      <w:r>
        <w:rPr>
          <w:rFonts w:cs="Arial"/>
          <w:b/>
        </w:rPr>
        <w:t xml:space="preserve">Confirmation of outcomes by the </w:t>
      </w:r>
      <w:r w:rsidRPr="005C3DBC">
        <w:rPr>
          <w:rFonts w:cs="Arial"/>
          <w:b/>
        </w:rPr>
        <w:t>TEF Panel</w:t>
      </w:r>
    </w:p>
    <w:p w14:paraId="62B28ACC" w14:textId="77777777" w:rsidR="003C3984" w:rsidRDefault="003C3984" w:rsidP="003C398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Arial"/>
        </w:rPr>
      </w:pPr>
    </w:p>
    <w:p w14:paraId="76839570" w14:textId="77777777" w:rsidR="003C3984" w:rsidRDefault="003C3984" w:rsidP="003C3984">
      <w:pPr>
        <w:pStyle w:val="ListParagraph"/>
        <w:numPr>
          <w:ilvl w:val="0"/>
          <w:numId w:val="8"/>
        </w:numPr>
        <w:pBdr>
          <w:top w:val="single" w:sz="4" w:space="1" w:color="auto"/>
          <w:left w:val="single" w:sz="4" w:space="4" w:color="auto"/>
          <w:bottom w:val="single" w:sz="4" w:space="1" w:color="auto"/>
          <w:right w:val="single" w:sz="4" w:space="4" w:color="auto"/>
        </w:pBdr>
        <w:spacing w:after="0" w:line="240" w:lineRule="auto"/>
        <w:contextualSpacing w:val="0"/>
        <w:rPr>
          <w:rFonts w:ascii="Arial" w:hAnsi="Arial" w:cs="Arial"/>
        </w:rPr>
      </w:pPr>
      <w:r>
        <w:rPr>
          <w:rFonts w:ascii="Arial" w:hAnsi="Arial" w:cs="Arial"/>
        </w:rPr>
        <w:t>TEF Panel moderates and confirms outcomes</w:t>
      </w:r>
    </w:p>
    <w:p w14:paraId="3108E805" w14:textId="77777777" w:rsidR="003C3984" w:rsidRDefault="003C3984" w:rsidP="003C3984">
      <w:pPr>
        <w:pStyle w:val="ListParagraph"/>
        <w:numPr>
          <w:ilvl w:val="0"/>
          <w:numId w:val="8"/>
        </w:numPr>
        <w:pBdr>
          <w:top w:val="single" w:sz="4" w:space="1" w:color="auto"/>
          <w:left w:val="single" w:sz="4" w:space="4" w:color="auto"/>
          <w:bottom w:val="single" w:sz="4" w:space="1" w:color="auto"/>
          <w:right w:val="single" w:sz="4" w:space="4" w:color="auto"/>
        </w:pBdr>
        <w:spacing w:after="0" w:line="240" w:lineRule="auto"/>
        <w:contextualSpacing w:val="0"/>
        <w:rPr>
          <w:rFonts w:ascii="Arial" w:hAnsi="Arial" w:cs="Arial"/>
        </w:rPr>
      </w:pPr>
      <w:r>
        <w:rPr>
          <w:rFonts w:ascii="Arial" w:hAnsi="Arial" w:cs="Arial"/>
        </w:rPr>
        <w:t>Facilitated and supported by TEF officers</w:t>
      </w:r>
    </w:p>
    <w:p w14:paraId="3DB9C4E2" w14:textId="77777777" w:rsidR="003C3984" w:rsidRDefault="003C3984" w:rsidP="003C3984">
      <w:pPr>
        <w:pStyle w:val="ListParagraph"/>
        <w:numPr>
          <w:ilvl w:val="0"/>
          <w:numId w:val="8"/>
        </w:numPr>
        <w:pBdr>
          <w:top w:val="single" w:sz="4" w:space="1" w:color="auto"/>
          <w:left w:val="single" w:sz="4" w:space="4" w:color="auto"/>
          <w:bottom w:val="single" w:sz="4" w:space="1" w:color="auto"/>
          <w:right w:val="single" w:sz="4" w:space="4" w:color="auto"/>
        </w:pBdr>
        <w:spacing w:after="0" w:line="240" w:lineRule="auto"/>
        <w:contextualSpacing w:val="0"/>
        <w:rPr>
          <w:rFonts w:ascii="Arial" w:hAnsi="Arial" w:cs="Arial"/>
        </w:rPr>
      </w:pPr>
      <w:r>
        <w:rPr>
          <w:rFonts w:ascii="Arial" w:hAnsi="Arial" w:cs="Arial"/>
        </w:rPr>
        <w:t>Specialists are members of the TEF Panel</w:t>
      </w:r>
    </w:p>
    <w:p w14:paraId="3697E73B" w14:textId="77777777" w:rsidR="003C3984" w:rsidRDefault="003C3984" w:rsidP="003C3984">
      <w:pPr>
        <w:pStyle w:val="ListParagraph"/>
        <w:tabs>
          <w:tab w:val="left" w:pos="142"/>
        </w:tabs>
        <w:spacing w:after="0"/>
        <w:ind w:left="142"/>
        <w:rPr>
          <w:rFonts w:ascii="Arial" w:hAnsi="Arial" w:cs="Arial"/>
          <w:sz w:val="24"/>
          <w:szCs w:val="24"/>
        </w:rPr>
      </w:pPr>
    </w:p>
    <w:p w14:paraId="55A24187" w14:textId="77777777" w:rsidR="003C3984" w:rsidRPr="00C03A26" w:rsidRDefault="003C3984" w:rsidP="003C3984">
      <w:pPr>
        <w:pStyle w:val="ListParagraph"/>
        <w:tabs>
          <w:tab w:val="left" w:pos="142"/>
        </w:tabs>
        <w:spacing w:after="0"/>
        <w:ind w:left="142"/>
        <w:rPr>
          <w:rFonts w:ascii="Arial" w:hAnsi="Arial" w:cs="Arial"/>
          <w:sz w:val="24"/>
          <w:szCs w:val="24"/>
        </w:rPr>
      </w:pPr>
    </w:p>
    <w:p w14:paraId="0EEFF0C4" w14:textId="77777777" w:rsidR="003C3984" w:rsidRDefault="003C3984" w:rsidP="003C3984">
      <w:pPr>
        <w:pStyle w:val="ListParagraph"/>
        <w:numPr>
          <w:ilvl w:val="0"/>
          <w:numId w:val="18"/>
        </w:numPr>
        <w:tabs>
          <w:tab w:val="left" w:pos="142"/>
        </w:tabs>
        <w:spacing w:after="0"/>
        <w:ind w:left="142" w:hanging="568"/>
        <w:rPr>
          <w:rFonts w:ascii="Arial" w:hAnsi="Arial" w:cs="Arial"/>
          <w:b/>
          <w:sz w:val="24"/>
          <w:szCs w:val="24"/>
        </w:rPr>
      </w:pPr>
      <w:r w:rsidRPr="00C03A26">
        <w:rPr>
          <w:rFonts w:ascii="Arial" w:hAnsi="Arial" w:cs="Arial"/>
          <w:b/>
          <w:sz w:val="24"/>
          <w:szCs w:val="24"/>
        </w:rPr>
        <w:t xml:space="preserve">Figure 8: The role played by each actor in the proposed assessment process </w:t>
      </w:r>
    </w:p>
    <w:tbl>
      <w:tblPr>
        <w:tblStyle w:val="Table-bluegrid"/>
        <w:tblW w:w="4892" w:type="pct"/>
        <w:tblLayout w:type="fixed"/>
        <w:tblLook w:val="01E0" w:firstRow="1" w:lastRow="1" w:firstColumn="1" w:lastColumn="1" w:noHBand="0" w:noVBand="0"/>
      </w:tblPr>
      <w:tblGrid>
        <w:gridCol w:w="1668"/>
        <w:gridCol w:w="7973"/>
      </w:tblGrid>
      <w:tr w:rsidR="003C3984" w:rsidRPr="0028755F" w14:paraId="446DDD69" w14:textId="77777777" w:rsidTr="00560CEF">
        <w:trPr>
          <w:cnfStyle w:val="100000000000" w:firstRow="1" w:lastRow="0" w:firstColumn="0" w:lastColumn="0" w:oddVBand="0" w:evenVBand="0" w:oddHBand="0" w:evenHBand="0" w:firstRowFirstColumn="0" w:firstRowLastColumn="0" w:lastRowFirstColumn="0" w:lastRowLastColumn="0"/>
          <w:trHeight w:val="166"/>
        </w:trPr>
        <w:tc>
          <w:tcPr>
            <w:tcW w:w="865" w:type="pct"/>
          </w:tcPr>
          <w:p w14:paraId="25F45B68" w14:textId="77777777" w:rsidR="003C3984" w:rsidRPr="002A0605" w:rsidRDefault="003C3984" w:rsidP="00560CEF">
            <w:pPr>
              <w:pStyle w:val="Tabletitle-WhiteNormal"/>
            </w:pPr>
            <w:r>
              <w:t>Actor</w:t>
            </w:r>
          </w:p>
        </w:tc>
        <w:tc>
          <w:tcPr>
            <w:tcW w:w="4135" w:type="pct"/>
          </w:tcPr>
          <w:p w14:paraId="2A637435" w14:textId="77777777" w:rsidR="003C3984" w:rsidRDefault="003C3984" w:rsidP="00560CEF">
            <w:pPr>
              <w:pStyle w:val="Tabletitle-WhiteNormal"/>
            </w:pPr>
            <w:r>
              <w:t>Description of role</w:t>
            </w:r>
          </w:p>
        </w:tc>
      </w:tr>
      <w:tr w:rsidR="003C3984" w:rsidRPr="00015C4E" w14:paraId="358BB738" w14:textId="77777777" w:rsidTr="00560CEF">
        <w:trPr>
          <w:trHeight w:val="263"/>
        </w:trPr>
        <w:tc>
          <w:tcPr>
            <w:tcW w:w="865" w:type="pct"/>
          </w:tcPr>
          <w:p w14:paraId="45D3DBE9" w14:textId="77777777" w:rsidR="003C3984" w:rsidRPr="003654E6" w:rsidRDefault="003C3984" w:rsidP="00560CEF">
            <w:pPr>
              <w:pStyle w:val="Tabletext-Bold"/>
            </w:pPr>
            <w:r>
              <w:t>TEF assessor</w:t>
            </w:r>
          </w:p>
        </w:tc>
        <w:tc>
          <w:tcPr>
            <w:tcW w:w="4135" w:type="pct"/>
          </w:tcPr>
          <w:p w14:paraId="6BA86085" w14:textId="77777777" w:rsidR="003C3984" w:rsidRPr="00015C4E" w:rsidRDefault="003C3984" w:rsidP="00560CEF">
            <w:pPr>
              <w:pStyle w:val="Tabletext-Normal"/>
            </w:pPr>
            <w:r w:rsidRPr="001C6156">
              <w:t>TEF assessors are experts in teaching and learnin</w:t>
            </w:r>
            <w:r>
              <w:t>g in a higher education setting. TEF assessors also include students.</w:t>
            </w:r>
            <w:r w:rsidRPr="001C6156">
              <w:t xml:space="preserve"> </w:t>
            </w:r>
            <w:r>
              <w:t>Their role is to assess TEF applications and agree provisional outcomes.</w:t>
            </w:r>
          </w:p>
        </w:tc>
      </w:tr>
      <w:tr w:rsidR="003C3984" w:rsidRPr="00015C4E" w14:paraId="0D29BD24" w14:textId="77777777" w:rsidTr="00560CEF">
        <w:trPr>
          <w:trHeight w:val="200"/>
        </w:trPr>
        <w:tc>
          <w:tcPr>
            <w:tcW w:w="865" w:type="pct"/>
          </w:tcPr>
          <w:p w14:paraId="4C009E35" w14:textId="77777777" w:rsidR="003C3984" w:rsidRDefault="003C3984" w:rsidP="00560CEF">
            <w:pPr>
              <w:pStyle w:val="Tabletext-Bold"/>
            </w:pPr>
            <w:r>
              <w:t>TEF officer</w:t>
            </w:r>
          </w:p>
        </w:tc>
        <w:tc>
          <w:tcPr>
            <w:tcW w:w="4135" w:type="pct"/>
          </w:tcPr>
          <w:p w14:paraId="4EC2404E" w14:textId="7FA9AA2F" w:rsidR="003C3984" w:rsidRPr="00015C4E" w:rsidRDefault="003C3984" w:rsidP="00560CEF">
            <w:pPr>
              <w:pStyle w:val="Tabletext-Normal"/>
            </w:pPr>
            <w:r>
              <w:t>TEF officers are staff from QAA. Their role is to ensure the process runs smoothly and that technical guidance for assessors is followed correctly but not to take part in actual assessment.</w:t>
            </w:r>
          </w:p>
        </w:tc>
      </w:tr>
      <w:tr w:rsidR="003C3984" w:rsidRPr="00015C4E" w14:paraId="3F29D333" w14:textId="77777777" w:rsidTr="00560CEF">
        <w:trPr>
          <w:trHeight w:val="200"/>
        </w:trPr>
        <w:tc>
          <w:tcPr>
            <w:tcW w:w="865" w:type="pct"/>
          </w:tcPr>
          <w:p w14:paraId="1549C886" w14:textId="77777777" w:rsidR="003C3984" w:rsidRPr="00D40205" w:rsidRDefault="003C3984" w:rsidP="00560CEF">
            <w:pPr>
              <w:pStyle w:val="Tabletext-Bold"/>
            </w:pPr>
            <w:r w:rsidRPr="00D40205">
              <w:t>Specialist</w:t>
            </w:r>
          </w:p>
        </w:tc>
        <w:tc>
          <w:tcPr>
            <w:tcW w:w="4135" w:type="pct"/>
          </w:tcPr>
          <w:p w14:paraId="4A9E8A3B" w14:textId="77777777" w:rsidR="003C3984" w:rsidRDefault="003C3984" w:rsidP="00560CEF">
            <w:pPr>
              <w:pStyle w:val="Tabletext-Normal"/>
            </w:pPr>
            <w:r w:rsidRPr="001C6156">
              <w:t xml:space="preserve">Specialists are individuals with expertise in particular areas. This may include in widening participation or employer perspectives. </w:t>
            </w:r>
            <w:r>
              <w:t>Their role is to provide specialist input to the assessment process, further to that which may already be available through existing expertise of assessors.</w:t>
            </w:r>
          </w:p>
        </w:tc>
      </w:tr>
      <w:tr w:rsidR="003C3984" w:rsidRPr="00015C4E" w14:paraId="2672BBC4" w14:textId="77777777" w:rsidTr="00560CEF">
        <w:trPr>
          <w:trHeight w:val="200"/>
        </w:trPr>
        <w:tc>
          <w:tcPr>
            <w:tcW w:w="865" w:type="pct"/>
          </w:tcPr>
          <w:p w14:paraId="4298163B" w14:textId="77777777" w:rsidR="003C3984" w:rsidRPr="00D40205" w:rsidRDefault="003C3984" w:rsidP="00560CEF">
            <w:pPr>
              <w:pStyle w:val="Tabletext-Bold"/>
            </w:pPr>
            <w:r w:rsidRPr="00D40205">
              <w:t>Analyst</w:t>
            </w:r>
          </w:p>
        </w:tc>
        <w:tc>
          <w:tcPr>
            <w:tcW w:w="4135" w:type="pct"/>
          </w:tcPr>
          <w:p w14:paraId="5F99B2F1" w14:textId="77777777" w:rsidR="003C3984" w:rsidRDefault="003C3984" w:rsidP="00560CEF">
            <w:pPr>
              <w:pStyle w:val="Tabletext-Normal"/>
            </w:pPr>
            <w:r w:rsidRPr="00E83C5E">
              <w:t xml:space="preserve">Analysts are staff from </w:t>
            </w:r>
            <w:r>
              <w:t>HEFCE. Their role is to provide technical assistance to assessors to aid assessors’ interpretation of the metrics but not to take part in actual assessment.</w:t>
            </w:r>
          </w:p>
        </w:tc>
      </w:tr>
      <w:tr w:rsidR="003C3984" w:rsidRPr="00015C4E" w14:paraId="62DAC9ED" w14:textId="77777777" w:rsidTr="00560CEF">
        <w:trPr>
          <w:trHeight w:val="200"/>
        </w:trPr>
        <w:tc>
          <w:tcPr>
            <w:tcW w:w="865" w:type="pct"/>
          </w:tcPr>
          <w:p w14:paraId="1A9A1D7B" w14:textId="77777777" w:rsidR="003C3984" w:rsidRPr="00D40205" w:rsidRDefault="003C3984" w:rsidP="00560CEF">
            <w:pPr>
              <w:pStyle w:val="Tabletext-Bold"/>
            </w:pPr>
            <w:r w:rsidRPr="00D40205">
              <w:t>TEF Panel</w:t>
            </w:r>
          </w:p>
        </w:tc>
        <w:tc>
          <w:tcPr>
            <w:tcW w:w="4135" w:type="pct"/>
          </w:tcPr>
          <w:p w14:paraId="2569B1E8" w14:textId="77777777" w:rsidR="003C3984" w:rsidRDefault="003C3984" w:rsidP="00560CEF">
            <w:pPr>
              <w:pStyle w:val="Tabletext-Normal"/>
            </w:pPr>
            <w:r w:rsidRPr="00E83C5E">
              <w:t>The TEF Panel is the decision-making body</w:t>
            </w:r>
            <w:r>
              <w:t>, led by the TEF Chair</w:t>
            </w:r>
            <w:r w:rsidRPr="00E83C5E">
              <w:t xml:space="preserve">. </w:t>
            </w:r>
            <w:r>
              <w:t xml:space="preserve">Its members will be made up of assessors and specialists. The role of the TEF Panel is to moderate and confirm provisional outcomes recommended by assessors. Not all assessors will be members of the TEF Panel but all Panel members will be assessors. </w:t>
            </w:r>
          </w:p>
        </w:tc>
      </w:tr>
    </w:tbl>
    <w:p w14:paraId="7E816F39" w14:textId="77777777" w:rsidR="003C3984" w:rsidRDefault="003C3984" w:rsidP="003C3984">
      <w:pPr>
        <w:tabs>
          <w:tab w:val="left" w:pos="142"/>
        </w:tabs>
        <w:spacing w:after="0"/>
        <w:rPr>
          <w:rFonts w:cs="Arial"/>
          <w:b/>
        </w:rPr>
      </w:pPr>
    </w:p>
    <w:p w14:paraId="4694CDA6" w14:textId="77777777" w:rsidR="003C3984" w:rsidRPr="00D40205" w:rsidRDefault="003C3984" w:rsidP="003C3984">
      <w:pPr>
        <w:tabs>
          <w:tab w:val="left" w:pos="142"/>
        </w:tabs>
        <w:spacing w:after="0"/>
        <w:rPr>
          <w:rFonts w:cs="Arial"/>
          <w:b/>
        </w:rPr>
      </w:pPr>
    </w:p>
    <w:p w14:paraId="18EA4B2E" w14:textId="77777777" w:rsidR="003D1E3E" w:rsidRPr="00D25990" w:rsidRDefault="003D1E3E" w:rsidP="003D1E3E">
      <w:pPr>
        <w:pStyle w:val="Heading3"/>
        <w:spacing w:after="0"/>
        <w:ind w:hanging="426"/>
      </w:pPr>
      <w:bookmarkStart w:id="76" w:name="_Toc450148004"/>
      <w:bookmarkStart w:id="77" w:name="_Toc450886574"/>
      <w:r>
        <w:t>Consistency and fairness</w:t>
      </w:r>
      <w:bookmarkEnd w:id="76"/>
      <w:bookmarkEnd w:id="77"/>
    </w:p>
    <w:p w14:paraId="6F52D9CE" w14:textId="77777777" w:rsidR="003D1E3E" w:rsidRPr="001748CC" w:rsidRDefault="003D1E3E" w:rsidP="003D1E3E">
      <w:pPr>
        <w:pStyle w:val="ListParagraph"/>
        <w:numPr>
          <w:ilvl w:val="0"/>
          <w:numId w:val="18"/>
        </w:numPr>
        <w:tabs>
          <w:tab w:val="left" w:pos="142"/>
        </w:tabs>
        <w:spacing w:after="0"/>
        <w:ind w:left="142" w:hanging="568"/>
        <w:rPr>
          <w:rFonts w:ascii="Arial" w:hAnsi="Arial" w:cs="Arial"/>
          <w:sz w:val="24"/>
          <w:szCs w:val="24"/>
        </w:rPr>
      </w:pPr>
      <w:r w:rsidRPr="001748CC">
        <w:rPr>
          <w:rFonts w:ascii="Arial" w:hAnsi="Arial" w:cs="Arial"/>
          <w:sz w:val="24"/>
          <w:szCs w:val="24"/>
        </w:rPr>
        <w:t xml:space="preserve">The assessment process proposed above has been designed to ensure that final outcomes are consistent and that the decision-making process is fair. </w:t>
      </w:r>
    </w:p>
    <w:p w14:paraId="587AB995" w14:textId="77777777" w:rsidR="003D1E3E" w:rsidRPr="001748CC" w:rsidRDefault="003D1E3E" w:rsidP="003D1E3E">
      <w:pPr>
        <w:pStyle w:val="ListParagraph"/>
        <w:tabs>
          <w:tab w:val="left" w:pos="142"/>
        </w:tabs>
        <w:spacing w:after="0"/>
        <w:ind w:left="142"/>
        <w:rPr>
          <w:rFonts w:ascii="Arial" w:hAnsi="Arial" w:cs="Arial"/>
          <w:sz w:val="24"/>
          <w:szCs w:val="24"/>
        </w:rPr>
      </w:pPr>
    </w:p>
    <w:p w14:paraId="772E6BCE" w14:textId="77777777" w:rsidR="003D1E3E" w:rsidRPr="001748CC" w:rsidRDefault="003D1E3E" w:rsidP="003D1E3E">
      <w:pPr>
        <w:pStyle w:val="ListParagraph"/>
        <w:numPr>
          <w:ilvl w:val="0"/>
          <w:numId w:val="18"/>
        </w:numPr>
        <w:tabs>
          <w:tab w:val="left" w:pos="142"/>
        </w:tabs>
        <w:spacing w:after="0"/>
        <w:ind w:left="142" w:hanging="568"/>
        <w:rPr>
          <w:rFonts w:ascii="Arial" w:hAnsi="Arial" w:cs="Arial"/>
          <w:sz w:val="24"/>
          <w:szCs w:val="24"/>
        </w:rPr>
      </w:pPr>
      <w:r w:rsidRPr="001748CC">
        <w:rPr>
          <w:rFonts w:ascii="Arial" w:hAnsi="Arial" w:cs="Arial"/>
          <w:sz w:val="24"/>
          <w:szCs w:val="24"/>
        </w:rPr>
        <w:lastRenderedPageBreak/>
        <w:t xml:space="preserve">The process of ensuring consistency and fairness begins with the selection and recruitment of assessors against a set of criteria designed to ensure that those doing the assessing have an appropriate level of experience and expertise. </w:t>
      </w:r>
    </w:p>
    <w:p w14:paraId="4AEAC681" w14:textId="77777777" w:rsidR="003D1E3E" w:rsidRPr="001748CC" w:rsidRDefault="003D1E3E" w:rsidP="003D1E3E">
      <w:pPr>
        <w:pStyle w:val="ListParagraph"/>
        <w:tabs>
          <w:tab w:val="left" w:pos="142"/>
        </w:tabs>
        <w:spacing w:after="0"/>
        <w:ind w:left="142"/>
        <w:rPr>
          <w:rFonts w:ascii="Arial" w:hAnsi="Arial" w:cs="Arial"/>
          <w:sz w:val="24"/>
          <w:szCs w:val="24"/>
        </w:rPr>
      </w:pPr>
    </w:p>
    <w:p w14:paraId="2BCE28B1" w14:textId="77777777" w:rsidR="003D1E3E" w:rsidRPr="001748CC" w:rsidRDefault="003D1E3E" w:rsidP="003D1E3E">
      <w:pPr>
        <w:pStyle w:val="ListParagraph"/>
        <w:numPr>
          <w:ilvl w:val="0"/>
          <w:numId w:val="18"/>
        </w:numPr>
        <w:tabs>
          <w:tab w:val="left" w:pos="142"/>
        </w:tabs>
        <w:spacing w:after="0"/>
        <w:ind w:left="142" w:hanging="568"/>
        <w:rPr>
          <w:rFonts w:ascii="Arial" w:hAnsi="Arial" w:cs="Arial"/>
          <w:sz w:val="24"/>
          <w:szCs w:val="24"/>
        </w:rPr>
      </w:pPr>
      <w:r w:rsidRPr="001748CC">
        <w:rPr>
          <w:rFonts w:ascii="Arial" w:hAnsi="Arial" w:cs="Arial"/>
          <w:sz w:val="24"/>
          <w:szCs w:val="24"/>
        </w:rPr>
        <w:t xml:space="preserve">Assessors would each receive guidance and training. Any conflicts of interest (real or perceived) between assessors and the provider being assessed would be appropriately managed. A calibration exercise would be carried out prior to the first assessments to help to establish consistent standards of judgement between assessors. </w:t>
      </w:r>
    </w:p>
    <w:p w14:paraId="1EFBE25F" w14:textId="77777777" w:rsidR="003D1E3E" w:rsidRPr="001748CC" w:rsidRDefault="003D1E3E" w:rsidP="003D1E3E">
      <w:pPr>
        <w:pStyle w:val="ListParagraph"/>
        <w:tabs>
          <w:tab w:val="left" w:pos="142"/>
        </w:tabs>
        <w:spacing w:after="0"/>
        <w:ind w:left="142"/>
        <w:rPr>
          <w:rFonts w:ascii="Arial" w:hAnsi="Arial" w:cs="Arial"/>
          <w:sz w:val="24"/>
          <w:szCs w:val="24"/>
        </w:rPr>
      </w:pPr>
    </w:p>
    <w:p w14:paraId="402828B5" w14:textId="77777777" w:rsidR="003D1E3E" w:rsidRPr="001748CC" w:rsidRDefault="003D1E3E" w:rsidP="003D1E3E">
      <w:pPr>
        <w:pStyle w:val="ListParagraph"/>
        <w:numPr>
          <w:ilvl w:val="0"/>
          <w:numId w:val="18"/>
        </w:numPr>
        <w:tabs>
          <w:tab w:val="left" w:pos="142"/>
        </w:tabs>
        <w:spacing w:after="0"/>
        <w:ind w:left="142" w:hanging="568"/>
        <w:rPr>
          <w:rFonts w:ascii="Arial" w:hAnsi="Arial" w:cs="Arial"/>
          <w:sz w:val="24"/>
          <w:szCs w:val="24"/>
        </w:rPr>
      </w:pPr>
      <w:r w:rsidRPr="001748CC">
        <w:rPr>
          <w:rFonts w:ascii="Arial" w:hAnsi="Arial" w:cs="Arial"/>
          <w:sz w:val="24"/>
          <w:szCs w:val="24"/>
        </w:rPr>
        <w:t xml:space="preserve">The assessment process itself would be deliberative, where individuals could share insights and discuss any issues as part of reaching a consensus view on the provisional judgement. When provisional judgements are passed to the TEF Panel for moderation and confirmation, there would be an opportunity for Panel members to raise concerns and reach a consensus view on the overall outcome. </w:t>
      </w:r>
    </w:p>
    <w:p w14:paraId="5FAE8B8F" w14:textId="77777777" w:rsidR="003D1E3E" w:rsidRPr="001748CC" w:rsidRDefault="003D1E3E" w:rsidP="003D1E3E">
      <w:pPr>
        <w:pStyle w:val="ListParagraph"/>
        <w:tabs>
          <w:tab w:val="left" w:pos="142"/>
        </w:tabs>
        <w:spacing w:after="0"/>
        <w:ind w:left="142"/>
        <w:rPr>
          <w:rFonts w:ascii="Arial" w:hAnsi="Arial" w:cs="Arial"/>
          <w:sz w:val="24"/>
          <w:szCs w:val="24"/>
        </w:rPr>
      </w:pPr>
    </w:p>
    <w:p w14:paraId="462CC4B1" w14:textId="77777777" w:rsidR="003D1E3E" w:rsidRPr="001748CC" w:rsidRDefault="003D1E3E" w:rsidP="003D1E3E">
      <w:pPr>
        <w:pStyle w:val="ListParagraph"/>
        <w:numPr>
          <w:ilvl w:val="0"/>
          <w:numId w:val="18"/>
        </w:numPr>
        <w:tabs>
          <w:tab w:val="left" w:pos="142"/>
        </w:tabs>
        <w:spacing w:after="0"/>
        <w:ind w:left="142" w:hanging="568"/>
        <w:rPr>
          <w:rFonts w:ascii="Arial" w:hAnsi="Arial" w:cs="Arial"/>
          <w:sz w:val="24"/>
          <w:szCs w:val="24"/>
        </w:rPr>
      </w:pPr>
      <w:r w:rsidRPr="001748CC">
        <w:rPr>
          <w:rFonts w:ascii="Arial" w:hAnsi="Arial" w:cs="Arial"/>
          <w:sz w:val="24"/>
          <w:szCs w:val="24"/>
        </w:rPr>
        <w:t xml:space="preserve">TEF officers would ensure that the guidance issued to providers and assessors has been followed correctly throughout the assessment process. </w:t>
      </w:r>
    </w:p>
    <w:p w14:paraId="63AAC2DD" w14:textId="77777777" w:rsidR="003D1E3E" w:rsidRDefault="003D1E3E" w:rsidP="003D1E3E">
      <w:pPr>
        <w:spacing w:after="0"/>
        <w:rPr>
          <w:rFonts w:cs="Arial"/>
        </w:rPr>
      </w:pPr>
    </w:p>
    <w:p w14:paraId="29027652" w14:textId="77777777" w:rsidR="003D1E3E" w:rsidRPr="005D56C9" w:rsidRDefault="003D1E3E" w:rsidP="003D1E3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Arial"/>
          <w:b/>
        </w:rPr>
      </w:pPr>
      <w:r w:rsidRPr="005D56C9">
        <w:rPr>
          <w:rFonts w:cs="Arial"/>
          <w:b/>
        </w:rPr>
        <w:t>Q</w:t>
      </w:r>
      <w:r>
        <w:rPr>
          <w:rFonts w:cs="Arial"/>
          <w:b/>
        </w:rPr>
        <w:t>10</w:t>
      </w:r>
      <w:r w:rsidRPr="005D56C9">
        <w:rPr>
          <w:rFonts w:cs="Arial"/>
          <w:b/>
        </w:rPr>
        <w:t xml:space="preserve">: Do you </w:t>
      </w:r>
      <w:r>
        <w:rPr>
          <w:rFonts w:cs="Arial"/>
          <w:b/>
        </w:rPr>
        <w:t xml:space="preserve">agree with the assessment process proposed above? Please outline your reasons and any alternative suggestions. </w:t>
      </w:r>
      <w:r w:rsidRPr="00282989">
        <w:rPr>
          <w:rFonts w:cs="Arial"/>
          <w:b/>
        </w:rPr>
        <w:t xml:space="preserve">The </w:t>
      </w:r>
      <w:r>
        <w:rPr>
          <w:rFonts w:cs="Arial"/>
          <w:b/>
        </w:rPr>
        <w:t xml:space="preserve">proposed </w:t>
      </w:r>
      <w:r w:rsidRPr="00282989">
        <w:rPr>
          <w:rFonts w:cs="Arial"/>
          <w:b/>
        </w:rPr>
        <w:t>process is set within a relatively tight timescale</w:t>
      </w:r>
      <w:r>
        <w:rPr>
          <w:rFonts w:cs="Arial"/>
          <w:b/>
        </w:rPr>
        <w:t>, reflected in the key dates included in Annex B</w:t>
      </w:r>
      <w:r w:rsidRPr="00282989">
        <w:rPr>
          <w:rFonts w:cs="Arial"/>
          <w:b/>
        </w:rPr>
        <w:t xml:space="preserve">. Responses should be framed </w:t>
      </w:r>
      <w:r>
        <w:rPr>
          <w:rFonts w:cs="Arial"/>
          <w:b/>
        </w:rPr>
        <w:t>with</w:t>
      </w:r>
      <w:r w:rsidRPr="00282989">
        <w:rPr>
          <w:rFonts w:cs="Arial"/>
          <w:b/>
        </w:rPr>
        <w:t>in th</w:t>
      </w:r>
      <w:r>
        <w:rPr>
          <w:rFonts w:cs="Arial"/>
          <w:b/>
        </w:rPr>
        <w:t>is</w:t>
      </w:r>
      <w:r w:rsidRPr="00282989">
        <w:rPr>
          <w:rFonts w:cs="Arial"/>
          <w:b/>
        </w:rPr>
        <w:t xml:space="preserve"> context</w:t>
      </w:r>
      <w:r>
        <w:rPr>
          <w:rFonts w:cs="Arial"/>
          <w:b/>
        </w:rPr>
        <w:t>.</w:t>
      </w:r>
    </w:p>
    <w:p w14:paraId="5E82000E" w14:textId="77777777" w:rsidR="003D1E3E" w:rsidRDefault="003D1E3E" w:rsidP="003D1E3E">
      <w:pPr>
        <w:spacing w:after="0"/>
        <w:rPr>
          <w:rFonts w:cs="Arial"/>
          <w:b/>
        </w:rPr>
      </w:pPr>
    </w:p>
    <w:p w14:paraId="3C48F1E0" w14:textId="77777777" w:rsidR="003D1E3E" w:rsidRPr="00D25990" w:rsidRDefault="003D1E3E" w:rsidP="003D1E3E">
      <w:pPr>
        <w:pStyle w:val="Heading3"/>
        <w:spacing w:after="0"/>
        <w:ind w:hanging="426"/>
      </w:pPr>
      <w:bookmarkStart w:id="78" w:name="_Toc450148005"/>
      <w:bookmarkStart w:id="79" w:name="_Toc450886575"/>
      <w:r>
        <w:t>Assessment o</w:t>
      </w:r>
      <w:r w:rsidRPr="00022843">
        <w:t>utcomes</w:t>
      </w:r>
      <w:bookmarkEnd w:id="78"/>
      <w:bookmarkEnd w:id="79"/>
    </w:p>
    <w:p w14:paraId="55740194" w14:textId="77777777" w:rsidR="003D1E3E" w:rsidRPr="001748CC" w:rsidRDefault="003D1E3E" w:rsidP="003D1E3E">
      <w:pPr>
        <w:pStyle w:val="ListParagraph"/>
        <w:numPr>
          <w:ilvl w:val="0"/>
          <w:numId w:val="18"/>
        </w:numPr>
        <w:tabs>
          <w:tab w:val="left" w:pos="142"/>
        </w:tabs>
        <w:spacing w:after="0"/>
        <w:ind w:left="142" w:hanging="568"/>
        <w:rPr>
          <w:rFonts w:ascii="Arial" w:hAnsi="Arial" w:cs="Arial"/>
          <w:sz w:val="24"/>
          <w:szCs w:val="24"/>
        </w:rPr>
      </w:pPr>
      <w:r w:rsidRPr="001748CC">
        <w:rPr>
          <w:rFonts w:ascii="Arial" w:hAnsi="Arial" w:cs="Arial"/>
          <w:sz w:val="24"/>
          <w:szCs w:val="24"/>
        </w:rPr>
        <w:t xml:space="preserve">The outcome of assessment will include the </w:t>
      </w:r>
      <w:r w:rsidRPr="001748CC">
        <w:rPr>
          <w:rFonts w:ascii="Arial" w:hAnsi="Arial" w:cs="Arial"/>
          <w:b/>
          <w:sz w:val="24"/>
          <w:szCs w:val="24"/>
        </w:rPr>
        <w:t>overall rating</w:t>
      </w:r>
      <w:r w:rsidRPr="001748CC">
        <w:rPr>
          <w:rFonts w:ascii="Arial" w:hAnsi="Arial" w:cs="Arial"/>
          <w:sz w:val="24"/>
          <w:szCs w:val="24"/>
        </w:rPr>
        <w:t xml:space="preserve"> and a </w:t>
      </w:r>
      <w:r w:rsidRPr="001748CC">
        <w:rPr>
          <w:rFonts w:ascii="Arial" w:hAnsi="Arial" w:cs="Arial"/>
          <w:b/>
          <w:sz w:val="24"/>
          <w:szCs w:val="24"/>
        </w:rPr>
        <w:t>brief statement of findings</w:t>
      </w:r>
      <w:r w:rsidRPr="001748CC">
        <w:rPr>
          <w:rFonts w:ascii="Arial" w:hAnsi="Arial" w:cs="Arial"/>
          <w:sz w:val="24"/>
          <w:szCs w:val="24"/>
        </w:rPr>
        <w:t xml:space="preserve"> within each of the three aspects. We intend that both would be published as part of the TEF award. If commendations were to be included (</w:t>
      </w:r>
      <w:r w:rsidRPr="001748CC">
        <w:rPr>
          <w:rFonts w:ascii="Arial" w:hAnsi="Arial" w:cs="Arial"/>
          <w:b/>
          <w:sz w:val="24"/>
          <w:szCs w:val="24"/>
        </w:rPr>
        <w:t>Question 9</w:t>
      </w:r>
      <w:r w:rsidRPr="001748CC">
        <w:rPr>
          <w:rFonts w:ascii="Arial" w:hAnsi="Arial" w:cs="Arial"/>
          <w:sz w:val="24"/>
          <w:szCs w:val="24"/>
        </w:rPr>
        <w:t xml:space="preserve">), these would also be published. </w:t>
      </w:r>
    </w:p>
    <w:p w14:paraId="5E6D777C" w14:textId="77777777" w:rsidR="003D1E3E" w:rsidRPr="001748CC" w:rsidRDefault="003D1E3E" w:rsidP="003D1E3E">
      <w:pPr>
        <w:pStyle w:val="ListParagraph"/>
        <w:tabs>
          <w:tab w:val="left" w:pos="142"/>
        </w:tabs>
        <w:spacing w:after="0"/>
        <w:ind w:left="142"/>
        <w:rPr>
          <w:rFonts w:ascii="Arial" w:hAnsi="Arial" w:cs="Arial"/>
          <w:sz w:val="24"/>
          <w:szCs w:val="24"/>
        </w:rPr>
      </w:pPr>
    </w:p>
    <w:p w14:paraId="288DBF64" w14:textId="77777777" w:rsidR="003D1E3E" w:rsidRPr="001748CC" w:rsidRDefault="003D1E3E" w:rsidP="003D1E3E">
      <w:pPr>
        <w:pStyle w:val="ListParagraph"/>
        <w:numPr>
          <w:ilvl w:val="0"/>
          <w:numId w:val="18"/>
        </w:numPr>
        <w:tabs>
          <w:tab w:val="left" w:pos="142"/>
        </w:tabs>
        <w:spacing w:after="0"/>
        <w:ind w:left="142" w:hanging="568"/>
        <w:rPr>
          <w:rFonts w:ascii="Arial" w:hAnsi="Arial" w:cs="Arial"/>
          <w:sz w:val="24"/>
          <w:szCs w:val="24"/>
        </w:rPr>
      </w:pPr>
      <w:r w:rsidRPr="001748CC">
        <w:rPr>
          <w:rFonts w:ascii="Arial" w:hAnsi="Arial" w:cs="Arial"/>
          <w:sz w:val="24"/>
          <w:szCs w:val="24"/>
        </w:rPr>
        <w:t xml:space="preserve">TEF outcomes will be included in official sources of information for students (see </w:t>
      </w:r>
      <w:r w:rsidRPr="001748CC">
        <w:rPr>
          <w:rFonts w:ascii="Arial" w:hAnsi="Arial" w:cs="Arial"/>
          <w:b/>
          <w:sz w:val="24"/>
          <w:szCs w:val="24"/>
        </w:rPr>
        <w:t>Chapter 5: Communicating TEF outcomes</w:t>
      </w:r>
      <w:r w:rsidRPr="001748CC">
        <w:rPr>
          <w:rFonts w:ascii="Arial" w:hAnsi="Arial" w:cs="Arial"/>
          <w:sz w:val="24"/>
          <w:szCs w:val="24"/>
        </w:rPr>
        <w:t xml:space="preserve"> to students and other stakeholders). We intend that a copy of a provider’s core metrics and their submission will also be published.</w:t>
      </w:r>
    </w:p>
    <w:p w14:paraId="60F43605" w14:textId="77777777" w:rsidR="003D1E3E" w:rsidRDefault="003D1E3E" w:rsidP="003D1E3E">
      <w:pPr>
        <w:spacing w:after="0"/>
        <w:rPr>
          <w:rFonts w:cs="Arial"/>
        </w:rPr>
      </w:pPr>
    </w:p>
    <w:p w14:paraId="13C93DBA" w14:textId="77777777" w:rsidR="003D1E3E" w:rsidRPr="00D25990" w:rsidRDefault="003D1E3E" w:rsidP="003D1E3E">
      <w:pPr>
        <w:pStyle w:val="Heading3"/>
        <w:spacing w:after="0"/>
        <w:ind w:hanging="426"/>
      </w:pPr>
      <w:bookmarkStart w:id="80" w:name="_Toc450148006"/>
      <w:bookmarkStart w:id="81" w:name="_Toc450886576"/>
      <w:r>
        <w:t>Appealing a TEF outcome</w:t>
      </w:r>
      <w:bookmarkEnd w:id="80"/>
      <w:bookmarkEnd w:id="81"/>
    </w:p>
    <w:p w14:paraId="2A51CF3B" w14:textId="77777777" w:rsidR="003D1E3E" w:rsidRPr="001748CC" w:rsidRDefault="003D1E3E" w:rsidP="003D1E3E">
      <w:pPr>
        <w:pStyle w:val="ListParagraph"/>
        <w:numPr>
          <w:ilvl w:val="0"/>
          <w:numId w:val="18"/>
        </w:numPr>
        <w:tabs>
          <w:tab w:val="left" w:pos="142"/>
        </w:tabs>
        <w:spacing w:after="0"/>
        <w:ind w:left="142" w:hanging="568"/>
        <w:rPr>
          <w:rFonts w:ascii="Arial" w:hAnsi="Arial" w:cs="Arial"/>
          <w:sz w:val="24"/>
          <w:szCs w:val="24"/>
        </w:rPr>
      </w:pPr>
      <w:r w:rsidRPr="001748CC">
        <w:rPr>
          <w:rFonts w:ascii="Arial" w:hAnsi="Arial" w:cs="Arial"/>
          <w:sz w:val="24"/>
          <w:szCs w:val="24"/>
        </w:rPr>
        <w:t xml:space="preserve">For Year Two, the decision of the TEF Panel will be final and providers cannot appeal their TEF outcome. The lessons learned exercise for Year Two (see </w:t>
      </w:r>
      <w:r w:rsidRPr="001748CC">
        <w:rPr>
          <w:rFonts w:ascii="Arial" w:hAnsi="Arial" w:cs="Arial"/>
          <w:b/>
          <w:sz w:val="24"/>
          <w:szCs w:val="24"/>
        </w:rPr>
        <w:t>Implementation and next steps</w:t>
      </w:r>
      <w:r w:rsidRPr="001748CC">
        <w:rPr>
          <w:rFonts w:ascii="Arial" w:hAnsi="Arial" w:cs="Arial"/>
          <w:sz w:val="24"/>
          <w:szCs w:val="24"/>
        </w:rPr>
        <w:t xml:space="preserve">) will include a review of this element of the process.  </w:t>
      </w:r>
    </w:p>
    <w:p w14:paraId="1F87C8ED" w14:textId="77777777" w:rsidR="003D1E3E" w:rsidRPr="00860442" w:rsidRDefault="003D1E3E" w:rsidP="003D1E3E">
      <w:pPr>
        <w:spacing w:after="0"/>
        <w:rPr>
          <w:rFonts w:cs="Arial"/>
        </w:rPr>
      </w:pPr>
    </w:p>
    <w:p w14:paraId="3733F24E" w14:textId="77777777" w:rsidR="003D1E3E" w:rsidRPr="00141898" w:rsidRDefault="003D1E3E" w:rsidP="003D1E3E">
      <w:pPr>
        <w:pStyle w:val="Heading3"/>
        <w:spacing w:after="0"/>
        <w:ind w:hanging="426"/>
      </w:pPr>
      <w:bookmarkStart w:id="82" w:name="_Toc450148007"/>
      <w:bookmarkStart w:id="83" w:name="_Toc450886577"/>
      <w:r w:rsidRPr="00141898">
        <w:t>Duration of a TEF award</w:t>
      </w:r>
      <w:bookmarkEnd w:id="82"/>
      <w:bookmarkEnd w:id="83"/>
    </w:p>
    <w:p w14:paraId="5EE37BBE" w14:textId="77777777" w:rsidR="003D1E3E" w:rsidRDefault="003D1E3E" w:rsidP="003D1E3E">
      <w:pPr>
        <w:pStyle w:val="ListParagraph"/>
        <w:numPr>
          <w:ilvl w:val="0"/>
          <w:numId w:val="18"/>
        </w:numPr>
        <w:tabs>
          <w:tab w:val="left" w:pos="142"/>
        </w:tabs>
        <w:spacing w:after="0"/>
        <w:ind w:left="142" w:hanging="568"/>
        <w:rPr>
          <w:rFonts w:ascii="Arial" w:hAnsi="Arial" w:cs="Arial"/>
          <w:sz w:val="24"/>
          <w:szCs w:val="24"/>
        </w:rPr>
      </w:pPr>
      <w:r w:rsidRPr="001748CC">
        <w:rPr>
          <w:rFonts w:ascii="Arial" w:hAnsi="Arial" w:cs="Arial"/>
          <w:sz w:val="24"/>
          <w:szCs w:val="24"/>
        </w:rPr>
        <w:t xml:space="preserve">A TEF rating of Meets Expectations, Excellent or Outstanding given in Year Two will be valid for </w:t>
      </w:r>
      <w:r w:rsidRPr="001748CC">
        <w:rPr>
          <w:rFonts w:ascii="Arial" w:hAnsi="Arial" w:cs="Arial"/>
          <w:b/>
          <w:sz w:val="24"/>
          <w:szCs w:val="24"/>
        </w:rPr>
        <w:t>three years</w:t>
      </w:r>
      <w:r w:rsidRPr="001748CC">
        <w:rPr>
          <w:rFonts w:ascii="Arial" w:hAnsi="Arial" w:cs="Arial"/>
          <w:sz w:val="24"/>
          <w:szCs w:val="24"/>
        </w:rPr>
        <w:t xml:space="preserve">, unless a provider does not have the requisite three years’ core metrics to inform the assessment (below). </w:t>
      </w:r>
    </w:p>
    <w:p w14:paraId="580F06F5" w14:textId="77777777" w:rsidR="003D1E3E" w:rsidRPr="001748CC" w:rsidRDefault="003D1E3E" w:rsidP="003D1E3E">
      <w:pPr>
        <w:pStyle w:val="ListParagraph"/>
        <w:numPr>
          <w:ilvl w:val="0"/>
          <w:numId w:val="18"/>
        </w:numPr>
        <w:tabs>
          <w:tab w:val="left" w:pos="142"/>
        </w:tabs>
        <w:spacing w:after="0"/>
        <w:ind w:left="142" w:hanging="568"/>
        <w:rPr>
          <w:rFonts w:ascii="Arial" w:hAnsi="Arial" w:cs="Arial"/>
          <w:sz w:val="24"/>
          <w:szCs w:val="24"/>
        </w:rPr>
      </w:pPr>
      <w:r w:rsidRPr="001748CC">
        <w:rPr>
          <w:rFonts w:ascii="Arial" w:hAnsi="Arial" w:cs="Arial"/>
          <w:sz w:val="24"/>
          <w:szCs w:val="24"/>
        </w:rPr>
        <w:t>In the case of a provider that only has one or two years of core metrics, we propose the duration of the award will reflect the number of complete years of data the provider can demonstrate (i</w:t>
      </w:r>
      <w:r>
        <w:rPr>
          <w:rFonts w:ascii="Arial" w:hAnsi="Arial" w:cs="Arial"/>
          <w:sz w:val="24"/>
          <w:szCs w:val="24"/>
        </w:rPr>
        <w:t>.</w:t>
      </w:r>
      <w:r w:rsidRPr="001748CC">
        <w:rPr>
          <w:rFonts w:ascii="Arial" w:hAnsi="Arial" w:cs="Arial"/>
          <w:sz w:val="24"/>
          <w:szCs w:val="24"/>
        </w:rPr>
        <w:t>e</w:t>
      </w:r>
      <w:r>
        <w:rPr>
          <w:rFonts w:ascii="Arial" w:hAnsi="Arial" w:cs="Arial"/>
          <w:sz w:val="24"/>
          <w:szCs w:val="24"/>
        </w:rPr>
        <w:t>.</w:t>
      </w:r>
      <w:r w:rsidRPr="001748CC">
        <w:rPr>
          <w:rFonts w:ascii="Arial" w:hAnsi="Arial" w:cs="Arial"/>
          <w:sz w:val="24"/>
          <w:szCs w:val="24"/>
        </w:rPr>
        <w:t xml:space="preserve"> if a provider has one year of complete data the award will last for one year and if they have two years of complete data, their award will last for two years). </w:t>
      </w:r>
      <w:r w:rsidRPr="001748CC">
        <w:rPr>
          <w:rFonts w:ascii="Arial" w:hAnsi="Arial" w:cs="Arial"/>
          <w:sz w:val="24"/>
          <w:szCs w:val="24"/>
        </w:rPr>
        <w:lastRenderedPageBreak/>
        <w:t>These providers would therefore need to reapply if they wish to maintain their award. We invite your feedback on this proposal below.</w:t>
      </w:r>
    </w:p>
    <w:p w14:paraId="538AC429" w14:textId="77777777" w:rsidR="003D1E3E" w:rsidRDefault="003D1E3E" w:rsidP="003D1E3E">
      <w:pPr>
        <w:spacing w:after="0"/>
        <w:rPr>
          <w:rFonts w:cs="Arial"/>
        </w:rPr>
      </w:pPr>
    </w:p>
    <w:p w14:paraId="0D944CF6" w14:textId="77777777" w:rsidR="003D1E3E" w:rsidRPr="00AD241D" w:rsidRDefault="003D1E3E" w:rsidP="003D1E3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Arial"/>
        </w:rPr>
      </w:pPr>
      <w:r w:rsidRPr="005D56C9">
        <w:rPr>
          <w:rFonts w:cs="Arial"/>
          <w:b/>
        </w:rPr>
        <w:t>Q</w:t>
      </w:r>
      <w:r>
        <w:rPr>
          <w:rFonts w:cs="Arial"/>
          <w:b/>
        </w:rPr>
        <w:t>11</w:t>
      </w:r>
      <w:r w:rsidRPr="005D56C9">
        <w:rPr>
          <w:rFonts w:cs="Arial"/>
          <w:b/>
        </w:rPr>
        <w:t xml:space="preserve">: Do you </w:t>
      </w:r>
      <w:r>
        <w:rPr>
          <w:rFonts w:cs="Arial"/>
          <w:b/>
        </w:rPr>
        <w:t xml:space="preserve">agree that in the case of providers with less than three years of core metrics, the duration of the award should reflect the number of years of core metrics available? Please outline your reasons. </w:t>
      </w:r>
    </w:p>
    <w:p w14:paraId="0D593AB5" w14:textId="77777777" w:rsidR="003D1E3E" w:rsidRDefault="003D1E3E" w:rsidP="003D1E3E">
      <w:pPr>
        <w:spacing w:after="0"/>
        <w:rPr>
          <w:rFonts w:cs="Arial"/>
        </w:rPr>
      </w:pPr>
    </w:p>
    <w:p w14:paraId="5C00ED7C" w14:textId="77777777" w:rsidR="003D1E3E" w:rsidRPr="001748CC" w:rsidRDefault="003D1E3E" w:rsidP="003D1E3E">
      <w:pPr>
        <w:pStyle w:val="ListParagraph"/>
        <w:numPr>
          <w:ilvl w:val="0"/>
          <w:numId w:val="18"/>
        </w:numPr>
        <w:tabs>
          <w:tab w:val="left" w:pos="142"/>
        </w:tabs>
        <w:spacing w:after="0"/>
        <w:ind w:left="142" w:hanging="568"/>
        <w:rPr>
          <w:rFonts w:ascii="Arial" w:hAnsi="Arial" w:cs="Arial"/>
          <w:sz w:val="24"/>
          <w:szCs w:val="24"/>
        </w:rPr>
      </w:pPr>
      <w:r w:rsidRPr="001748CC">
        <w:rPr>
          <w:rFonts w:ascii="Arial" w:hAnsi="Arial" w:cs="Arial"/>
          <w:sz w:val="24"/>
          <w:szCs w:val="24"/>
        </w:rPr>
        <w:t xml:space="preserve">A provider can reapply in Year Three if they wish to be considered for a higher rating or to be assessed for the first time as Excellent or Outstanding if they previously did not meet the eligibility requirements (see </w:t>
      </w:r>
      <w:r w:rsidRPr="001748CC">
        <w:rPr>
          <w:rFonts w:ascii="Arial" w:hAnsi="Arial" w:cs="Arial"/>
          <w:b/>
          <w:sz w:val="24"/>
          <w:szCs w:val="24"/>
        </w:rPr>
        <w:t>Chapter 2: Eligibility and Pre-requisites</w:t>
      </w:r>
      <w:r w:rsidRPr="001748CC">
        <w:rPr>
          <w:rFonts w:ascii="Arial" w:hAnsi="Arial" w:cs="Arial"/>
          <w:sz w:val="24"/>
          <w:szCs w:val="24"/>
        </w:rPr>
        <w:t>).</w:t>
      </w:r>
    </w:p>
    <w:p w14:paraId="2AA39959" w14:textId="77777777" w:rsidR="003D1E3E" w:rsidRDefault="003D1E3E" w:rsidP="003D1E3E">
      <w:pPr>
        <w:spacing w:after="0"/>
        <w:ind w:hanging="426"/>
        <w:rPr>
          <w:rFonts w:cs="Arial"/>
          <w:i/>
        </w:rPr>
      </w:pPr>
    </w:p>
    <w:p w14:paraId="613EA301" w14:textId="77777777" w:rsidR="003D1E3E" w:rsidRPr="00D25990" w:rsidRDefault="003D1E3E" w:rsidP="003D1E3E">
      <w:pPr>
        <w:pStyle w:val="Heading3"/>
        <w:spacing w:after="0"/>
        <w:ind w:hanging="426"/>
      </w:pPr>
      <w:bookmarkStart w:id="84" w:name="_Toc450148008"/>
      <w:bookmarkStart w:id="85" w:name="_Toc450886578"/>
      <w:r>
        <w:t>Conditions for withdrawal of a TEF award</w:t>
      </w:r>
      <w:bookmarkEnd w:id="84"/>
      <w:bookmarkEnd w:id="85"/>
    </w:p>
    <w:p w14:paraId="3B0035A1" w14:textId="77777777" w:rsidR="003D1E3E" w:rsidRPr="001748CC" w:rsidRDefault="003D1E3E" w:rsidP="003D1E3E">
      <w:pPr>
        <w:pStyle w:val="ListParagraph"/>
        <w:numPr>
          <w:ilvl w:val="0"/>
          <w:numId w:val="18"/>
        </w:numPr>
        <w:tabs>
          <w:tab w:val="left" w:pos="142"/>
        </w:tabs>
        <w:spacing w:after="0"/>
        <w:ind w:left="142" w:hanging="568"/>
        <w:rPr>
          <w:rFonts w:ascii="Arial" w:hAnsi="Arial" w:cs="Arial"/>
          <w:sz w:val="24"/>
          <w:szCs w:val="24"/>
        </w:rPr>
      </w:pPr>
      <w:r w:rsidRPr="001748CC">
        <w:rPr>
          <w:rFonts w:ascii="Arial" w:hAnsi="Arial" w:cs="Arial"/>
          <w:sz w:val="24"/>
          <w:szCs w:val="24"/>
        </w:rPr>
        <w:t xml:space="preserve">A TEF award of any level will be withdrawn if a provider ceases to meet the quality requirements set out in Annex A of the White Paper. </w:t>
      </w:r>
    </w:p>
    <w:p w14:paraId="12163A48" w14:textId="77777777" w:rsidR="003D1E3E" w:rsidRPr="001748CC" w:rsidRDefault="003D1E3E" w:rsidP="003D1E3E">
      <w:pPr>
        <w:pStyle w:val="ListParagraph"/>
        <w:tabs>
          <w:tab w:val="left" w:pos="142"/>
        </w:tabs>
        <w:spacing w:after="0"/>
        <w:ind w:left="142"/>
        <w:rPr>
          <w:rFonts w:ascii="Arial" w:hAnsi="Arial" w:cs="Arial"/>
          <w:sz w:val="24"/>
          <w:szCs w:val="24"/>
        </w:rPr>
      </w:pPr>
    </w:p>
    <w:p w14:paraId="79C698FF" w14:textId="77777777" w:rsidR="003D1E3E" w:rsidRDefault="003D1E3E" w:rsidP="003D1E3E">
      <w:pPr>
        <w:pStyle w:val="ListParagraph"/>
        <w:numPr>
          <w:ilvl w:val="0"/>
          <w:numId w:val="18"/>
        </w:numPr>
        <w:tabs>
          <w:tab w:val="left" w:pos="142"/>
        </w:tabs>
        <w:spacing w:after="0"/>
        <w:ind w:left="142" w:hanging="568"/>
        <w:rPr>
          <w:rFonts w:ascii="Arial" w:hAnsi="Arial" w:cs="Arial"/>
          <w:sz w:val="24"/>
          <w:szCs w:val="24"/>
        </w:rPr>
      </w:pPr>
      <w:r w:rsidRPr="001748CC">
        <w:rPr>
          <w:rFonts w:ascii="Arial" w:hAnsi="Arial" w:cs="Arial"/>
          <w:sz w:val="24"/>
          <w:szCs w:val="24"/>
        </w:rPr>
        <w:t xml:space="preserve">Once a TEF award ceases to be valid, or should it be withdrawn, a provider will no longer be able to claim that it holds the award. </w:t>
      </w:r>
    </w:p>
    <w:p w14:paraId="52E85B5B" w14:textId="77777777" w:rsidR="003D1E3E" w:rsidRDefault="003D1E3E" w:rsidP="003D1E3E">
      <w:pPr>
        <w:pStyle w:val="ListParagraph"/>
        <w:tabs>
          <w:tab w:val="left" w:pos="142"/>
        </w:tabs>
        <w:spacing w:after="0"/>
        <w:ind w:left="142"/>
        <w:rPr>
          <w:rFonts w:ascii="Arial" w:hAnsi="Arial" w:cs="Arial"/>
          <w:sz w:val="24"/>
          <w:szCs w:val="24"/>
        </w:rPr>
      </w:pPr>
    </w:p>
    <w:p w14:paraId="3705A17A" w14:textId="77777777" w:rsidR="003D1E3E" w:rsidRDefault="003D1E3E" w:rsidP="003D1E3E">
      <w:pPr>
        <w:pStyle w:val="ListParagraph"/>
        <w:numPr>
          <w:ilvl w:val="0"/>
          <w:numId w:val="18"/>
        </w:numPr>
        <w:tabs>
          <w:tab w:val="left" w:pos="142"/>
        </w:tabs>
        <w:spacing w:after="0"/>
        <w:ind w:left="142" w:hanging="568"/>
        <w:rPr>
          <w:rFonts w:ascii="Arial" w:hAnsi="Arial" w:cs="Arial"/>
          <w:sz w:val="24"/>
          <w:szCs w:val="24"/>
        </w:rPr>
      </w:pPr>
      <w:r w:rsidRPr="00AE5F09">
        <w:rPr>
          <w:rFonts w:ascii="Arial" w:hAnsi="Arial" w:cs="Arial"/>
          <w:sz w:val="24"/>
          <w:szCs w:val="24"/>
        </w:rPr>
        <w:t>In the case of an award being withdrawn, the financial incentives associated with the award will also be withdrawn.</w:t>
      </w:r>
    </w:p>
    <w:p w14:paraId="0B00E191" w14:textId="77777777" w:rsidR="003D1E3E" w:rsidRDefault="003D1E3E" w:rsidP="003D1E3E">
      <w:pPr>
        <w:pStyle w:val="ListParagraph"/>
        <w:tabs>
          <w:tab w:val="left" w:pos="142"/>
        </w:tabs>
        <w:spacing w:after="0"/>
        <w:ind w:left="142"/>
        <w:rPr>
          <w:rFonts w:ascii="Arial" w:hAnsi="Arial" w:cs="Arial"/>
          <w:sz w:val="24"/>
          <w:szCs w:val="24"/>
        </w:rPr>
      </w:pPr>
    </w:p>
    <w:p w14:paraId="44E1E674" w14:textId="77777777" w:rsidR="003D1E3E" w:rsidRDefault="003D1E3E" w:rsidP="003D1E3E">
      <w:pPr>
        <w:pStyle w:val="ListParagraph"/>
        <w:tabs>
          <w:tab w:val="left" w:pos="142"/>
        </w:tabs>
        <w:spacing w:after="0"/>
        <w:ind w:left="142"/>
        <w:rPr>
          <w:rFonts w:ascii="Arial" w:hAnsi="Arial" w:cs="Arial"/>
          <w:sz w:val="24"/>
          <w:szCs w:val="24"/>
        </w:rPr>
      </w:pPr>
    </w:p>
    <w:p w14:paraId="4AEB40B0" w14:textId="77777777" w:rsidR="00E73A04" w:rsidRDefault="00E73A04">
      <w:pPr>
        <w:spacing w:after="200" w:line="276" w:lineRule="auto"/>
        <w:rPr>
          <w:b/>
          <w:bCs/>
          <w:iCs/>
          <w:color w:val="003478"/>
          <w:sz w:val="32"/>
          <w:szCs w:val="28"/>
        </w:rPr>
      </w:pPr>
      <w:bookmarkStart w:id="86" w:name="_Toc450886579"/>
      <w:r>
        <w:br w:type="page"/>
      </w:r>
    </w:p>
    <w:p w14:paraId="6594C7F4" w14:textId="5D34903E" w:rsidR="003D1E3E" w:rsidRDefault="0025732B" w:rsidP="003D1E3E">
      <w:pPr>
        <w:pStyle w:val="Heading2"/>
        <w:ind w:left="-426"/>
      </w:pPr>
      <w:bookmarkStart w:id="87" w:name="_GoBack"/>
      <w:bookmarkEnd w:id="87"/>
      <w:r>
        <w:lastRenderedPageBreak/>
        <w:t xml:space="preserve">5. </w:t>
      </w:r>
      <w:r w:rsidR="003D1E3E">
        <w:t>Communicating TEF outcomes to students and other stakeholders</w:t>
      </w:r>
      <w:bookmarkEnd w:id="86"/>
      <w:r w:rsidR="003D1E3E">
        <w:t xml:space="preserve"> </w:t>
      </w:r>
    </w:p>
    <w:p w14:paraId="17C7D8D9" w14:textId="77777777" w:rsidR="003D1E3E" w:rsidRDefault="003D1E3E" w:rsidP="003D1E3E">
      <w:pPr>
        <w:pStyle w:val="ListParagraph"/>
        <w:numPr>
          <w:ilvl w:val="0"/>
          <w:numId w:val="18"/>
        </w:numPr>
        <w:tabs>
          <w:tab w:val="left" w:pos="142"/>
        </w:tabs>
        <w:spacing w:after="0"/>
        <w:ind w:left="142" w:hanging="568"/>
        <w:rPr>
          <w:rFonts w:ascii="Arial" w:hAnsi="Arial" w:cs="Arial"/>
          <w:b/>
          <w:sz w:val="24"/>
          <w:szCs w:val="24"/>
        </w:rPr>
      </w:pPr>
      <w:r w:rsidRPr="001748CC">
        <w:rPr>
          <w:rFonts w:ascii="Arial" w:hAnsi="Arial" w:cs="Arial"/>
          <w:b/>
          <w:sz w:val="24"/>
          <w:szCs w:val="24"/>
        </w:rPr>
        <w:t xml:space="preserve">To ensure that the TEF successfully meets its objectives, TEF outcomes will need to be easily understood by multiple audiences and provide students and employers with clear information, allowing them to distinguish between providers based on the quality of teaching and learning.  </w:t>
      </w:r>
    </w:p>
    <w:p w14:paraId="68D6C450" w14:textId="77777777" w:rsidR="003D1E3E" w:rsidRDefault="003D1E3E" w:rsidP="003D1E3E">
      <w:pPr>
        <w:tabs>
          <w:tab w:val="left" w:pos="142"/>
        </w:tabs>
        <w:spacing w:after="0"/>
        <w:ind w:left="-426"/>
        <w:rPr>
          <w:rFonts w:cs="Arial"/>
          <w:b/>
        </w:rPr>
      </w:pPr>
    </w:p>
    <w:p w14:paraId="220529E6" w14:textId="77777777" w:rsidR="003D1E3E" w:rsidRDefault="003D1E3E" w:rsidP="003D1E3E">
      <w:pPr>
        <w:pStyle w:val="ListParagraph"/>
        <w:numPr>
          <w:ilvl w:val="0"/>
          <w:numId w:val="18"/>
        </w:numPr>
        <w:tabs>
          <w:tab w:val="left" w:pos="142"/>
        </w:tabs>
        <w:spacing w:after="0"/>
        <w:ind w:left="142" w:hanging="568"/>
        <w:rPr>
          <w:rFonts w:ascii="Arial" w:hAnsi="Arial" w:cs="Arial"/>
          <w:b/>
          <w:sz w:val="24"/>
          <w:szCs w:val="24"/>
        </w:rPr>
      </w:pPr>
      <w:r w:rsidRPr="001748CC">
        <w:rPr>
          <w:rFonts w:ascii="Arial" w:hAnsi="Arial" w:cs="Arial"/>
          <w:b/>
          <w:sz w:val="24"/>
          <w:szCs w:val="24"/>
        </w:rPr>
        <w:t xml:space="preserve">This section puts forward our proposal for naming of TEF ratings and where TEF outcomes will feature.  </w:t>
      </w:r>
    </w:p>
    <w:p w14:paraId="3B250E75" w14:textId="77777777" w:rsidR="003D1E3E" w:rsidRPr="001748CC" w:rsidRDefault="003D1E3E" w:rsidP="003D1E3E">
      <w:pPr>
        <w:pStyle w:val="ListParagraph"/>
        <w:tabs>
          <w:tab w:val="left" w:pos="142"/>
        </w:tabs>
        <w:spacing w:after="0"/>
        <w:ind w:left="142" w:hanging="426"/>
        <w:rPr>
          <w:rFonts w:ascii="Arial" w:hAnsi="Arial" w:cs="Arial"/>
          <w:b/>
          <w:sz w:val="24"/>
          <w:szCs w:val="24"/>
        </w:rPr>
      </w:pPr>
    </w:p>
    <w:p w14:paraId="17A8774C" w14:textId="77777777" w:rsidR="003D1E3E" w:rsidRPr="009940DE" w:rsidRDefault="003D1E3E" w:rsidP="003D1E3E">
      <w:pPr>
        <w:pStyle w:val="Heading3"/>
        <w:spacing w:after="0"/>
        <w:ind w:hanging="426"/>
      </w:pPr>
      <w:bookmarkStart w:id="88" w:name="_Toc450148010"/>
      <w:bookmarkStart w:id="89" w:name="_Toc450886580"/>
      <w:r>
        <w:rPr>
          <w:lang w:eastAsia="en-GB"/>
        </w:rPr>
        <w:t>Descriptions</w:t>
      </w:r>
      <w:r w:rsidRPr="00156900">
        <w:rPr>
          <w:lang w:eastAsia="en-GB"/>
        </w:rPr>
        <w:t xml:space="preserve"> of </w:t>
      </w:r>
      <w:r>
        <w:rPr>
          <w:lang w:eastAsia="en-GB"/>
        </w:rPr>
        <w:t>TEF ratings</w:t>
      </w:r>
      <w:bookmarkEnd w:id="88"/>
      <w:bookmarkEnd w:id="89"/>
    </w:p>
    <w:p w14:paraId="34F55B74" w14:textId="77777777" w:rsidR="003D1E3E" w:rsidRDefault="003D1E3E" w:rsidP="003D1E3E">
      <w:pPr>
        <w:pStyle w:val="ListParagraph"/>
        <w:numPr>
          <w:ilvl w:val="0"/>
          <w:numId w:val="18"/>
        </w:numPr>
        <w:tabs>
          <w:tab w:val="left" w:pos="142"/>
        </w:tabs>
        <w:spacing w:after="0"/>
        <w:ind w:left="142" w:hanging="568"/>
        <w:rPr>
          <w:rFonts w:ascii="Arial" w:hAnsi="Arial" w:cs="Arial"/>
          <w:sz w:val="24"/>
          <w:szCs w:val="24"/>
        </w:rPr>
      </w:pPr>
      <w:r w:rsidRPr="001748CC">
        <w:rPr>
          <w:rFonts w:ascii="Arial" w:hAnsi="Arial" w:cs="Arial"/>
          <w:sz w:val="24"/>
          <w:szCs w:val="24"/>
        </w:rPr>
        <w:t xml:space="preserve">We propose the following descriptions of TEF ratings in Year Two. A short ‘high level’ description will be available for use alongside a longer description when more detail is required. </w:t>
      </w:r>
    </w:p>
    <w:p w14:paraId="43C23780" w14:textId="77777777" w:rsidR="003D1E3E" w:rsidRPr="001748CC" w:rsidRDefault="003D1E3E" w:rsidP="003D1E3E">
      <w:pPr>
        <w:spacing w:after="0"/>
        <w:jc w:val="center"/>
        <w:rPr>
          <w:rFonts w:cs="Arial"/>
          <w:b/>
        </w:rPr>
      </w:pPr>
    </w:p>
    <w:p w14:paraId="0CD7F27C" w14:textId="77777777" w:rsidR="003D1E3E" w:rsidRDefault="003D1E3E" w:rsidP="003D1E3E">
      <w:pPr>
        <w:pStyle w:val="ListParagraph"/>
        <w:numPr>
          <w:ilvl w:val="0"/>
          <w:numId w:val="18"/>
        </w:numPr>
        <w:tabs>
          <w:tab w:val="left" w:pos="142"/>
        </w:tabs>
        <w:spacing w:after="0"/>
        <w:ind w:left="142" w:hanging="568"/>
        <w:rPr>
          <w:rFonts w:ascii="Arial" w:hAnsi="Arial" w:cs="Arial"/>
          <w:b/>
          <w:sz w:val="24"/>
          <w:szCs w:val="24"/>
        </w:rPr>
      </w:pPr>
      <w:r w:rsidRPr="001748CC">
        <w:rPr>
          <w:rFonts w:ascii="Arial" w:hAnsi="Arial" w:cs="Arial"/>
          <w:b/>
          <w:sz w:val="24"/>
          <w:szCs w:val="24"/>
        </w:rPr>
        <w:t xml:space="preserve">Figure 9: Descriptions of TEF ratings </w:t>
      </w:r>
    </w:p>
    <w:p w14:paraId="537E2F60" w14:textId="77777777" w:rsidR="003D1E3E" w:rsidRPr="00D40205" w:rsidRDefault="003D1E3E" w:rsidP="003D1E3E">
      <w:pPr>
        <w:tabs>
          <w:tab w:val="left" w:pos="142"/>
        </w:tabs>
        <w:spacing w:after="0"/>
        <w:rPr>
          <w:rFonts w:cs="Arial"/>
          <w:b/>
        </w:rPr>
      </w:pPr>
    </w:p>
    <w:p w14:paraId="2AEC55C9" w14:textId="77777777" w:rsidR="003D1E3E" w:rsidRPr="00B873AB" w:rsidRDefault="003D1E3E" w:rsidP="003D1E3E">
      <w:pPr>
        <w:pBdr>
          <w:top w:val="single" w:sz="4" w:space="1" w:color="auto"/>
          <w:left w:val="single" w:sz="4" w:space="4" w:color="auto"/>
          <w:bottom w:val="single" w:sz="4" w:space="1" w:color="auto"/>
          <w:right w:val="single" w:sz="4" w:space="4" w:color="auto"/>
        </w:pBdr>
        <w:shd w:val="clear" w:color="auto" w:fill="DAEEF3" w:themeFill="accent5" w:themeFillTint="33"/>
        <w:spacing w:after="0"/>
        <w:rPr>
          <w:rFonts w:cs="Arial"/>
          <w:b/>
        </w:rPr>
      </w:pPr>
      <w:r w:rsidRPr="00B873AB">
        <w:rPr>
          <w:rFonts w:cs="Arial"/>
          <w:b/>
        </w:rPr>
        <w:t xml:space="preserve">Meets Expectations </w:t>
      </w:r>
    </w:p>
    <w:p w14:paraId="47A3C6AD" w14:textId="77777777" w:rsidR="003D1E3E" w:rsidRPr="00B873AB" w:rsidRDefault="003D1E3E" w:rsidP="003D1E3E">
      <w:pPr>
        <w:pBdr>
          <w:top w:val="single" w:sz="4" w:space="1" w:color="auto"/>
          <w:left w:val="single" w:sz="4" w:space="4" w:color="auto"/>
          <w:bottom w:val="single" w:sz="4" w:space="1" w:color="auto"/>
          <w:right w:val="single" w:sz="4" w:space="4" w:color="auto"/>
        </w:pBdr>
        <w:shd w:val="clear" w:color="auto" w:fill="DAEEF3" w:themeFill="accent5" w:themeFillTint="33"/>
        <w:spacing w:after="0"/>
        <w:rPr>
          <w:rFonts w:cs="Arial"/>
          <w:b/>
        </w:rPr>
      </w:pPr>
      <w:r w:rsidRPr="00B873AB">
        <w:rPr>
          <w:rFonts w:cs="Arial"/>
          <w:b/>
        </w:rPr>
        <w:t>A Meets Expectations rating means that a higher education provider meets national expectations for quality and standards</w:t>
      </w:r>
    </w:p>
    <w:p w14:paraId="7109BFB3" w14:textId="77777777" w:rsidR="003D1E3E" w:rsidRPr="00B873AB" w:rsidRDefault="003D1E3E" w:rsidP="003D1E3E">
      <w:pPr>
        <w:pBdr>
          <w:top w:val="single" w:sz="4" w:space="1" w:color="auto"/>
          <w:left w:val="single" w:sz="4" w:space="4" w:color="auto"/>
          <w:bottom w:val="single" w:sz="4" w:space="1" w:color="auto"/>
          <w:right w:val="single" w:sz="4" w:space="4" w:color="auto"/>
        </w:pBdr>
        <w:shd w:val="clear" w:color="auto" w:fill="DAEEF3" w:themeFill="accent5" w:themeFillTint="33"/>
        <w:spacing w:after="0"/>
        <w:rPr>
          <w:rFonts w:cs="Arial"/>
          <w:b/>
        </w:rPr>
      </w:pPr>
    </w:p>
    <w:p w14:paraId="1E0C229A" w14:textId="77777777" w:rsidR="003D1E3E" w:rsidRPr="00B873AB" w:rsidRDefault="003D1E3E" w:rsidP="003D1E3E">
      <w:pPr>
        <w:pBdr>
          <w:top w:val="single" w:sz="4" w:space="1" w:color="auto"/>
          <w:left w:val="single" w:sz="4" w:space="4" w:color="auto"/>
          <w:bottom w:val="single" w:sz="4" w:space="1" w:color="auto"/>
          <w:right w:val="single" w:sz="4" w:space="4" w:color="auto"/>
        </w:pBdr>
        <w:shd w:val="clear" w:color="auto" w:fill="DAEEF3" w:themeFill="accent5" w:themeFillTint="33"/>
        <w:spacing w:after="0"/>
        <w:rPr>
          <w:rFonts w:cs="Arial"/>
          <w:b/>
        </w:rPr>
      </w:pPr>
      <w:r w:rsidRPr="00B873AB">
        <w:rPr>
          <w:rFonts w:cs="Arial"/>
          <w:b/>
        </w:rPr>
        <w:t>If more detail is required:</w:t>
      </w:r>
    </w:p>
    <w:p w14:paraId="52982910" w14:textId="77777777" w:rsidR="003D1E3E" w:rsidRPr="00B873AB" w:rsidRDefault="003D1E3E" w:rsidP="003D1E3E">
      <w:pPr>
        <w:pBdr>
          <w:top w:val="single" w:sz="4" w:space="1" w:color="auto"/>
          <w:left w:val="single" w:sz="4" w:space="4" w:color="auto"/>
          <w:bottom w:val="single" w:sz="4" w:space="1" w:color="auto"/>
          <w:right w:val="single" w:sz="4" w:space="4" w:color="auto"/>
        </w:pBdr>
        <w:shd w:val="clear" w:color="auto" w:fill="DAEEF3" w:themeFill="accent5" w:themeFillTint="33"/>
        <w:spacing w:after="0"/>
        <w:rPr>
          <w:rFonts w:cs="Arial"/>
          <w:b/>
        </w:rPr>
      </w:pPr>
      <w:r w:rsidRPr="00B873AB">
        <w:rPr>
          <w:rFonts w:cs="Arial"/>
          <w:b/>
        </w:rPr>
        <w:t xml:space="preserve">A Meets Expectations rating means that a higher education provider meets national expectations in the following key areas, reflecting the areas covered in a quality review: </w:t>
      </w:r>
    </w:p>
    <w:p w14:paraId="326C30B7" w14:textId="77777777" w:rsidR="003D1E3E" w:rsidRPr="00B873AB" w:rsidRDefault="003D1E3E" w:rsidP="003D1E3E">
      <w:pPr>
        <w:pBdr>
          <w:top w:val="single" w:sz="4" w:space="1" w:color="auto"/>
          <w:left w:val="single" w:sz="4" w:space="4" w:color="auto"/>
          <w:bottom w:val="single" w:sz="4" w:space="1" w:color="auto"/>
          <w:right w:val="single" w:sz="4" w:space="4" w:color="auto"/>
        </w:pBdr>
        <w:shd w:val="clear" w:color="auto" w:fill="DAEEF3" w:themeFill="accent5" w:themeFillTint="33"/>
        <w:spacing w:after="0"/>
        <w:rPr>
          <w:rFonts w:cs="Arial"/>
          <w:b/>
        </w:rPr>
      </w:pPr>
      <w:r w:rsidRPr="00B873AB">
        <w:rPr>
          <w:rFonts w:cs="Arial"/>
          <w:b/>
        </w:rPr>
        <w:t>•</w:t>
      </w:r>
      <w:r w:rsidRPr="00B873AB">
        <w:rPr>
          <w:rFonts w:cs="Arial"/>
          <w:b/>
        </w:rPr>
        <w:tab/>
      </w:r>
      <w:proofErr w:type="gramStart"/>
      <w:r w:rsidRPr="00B873AB">
        <w:rPr>
          <w:rFonts w:cs="Arial"/>
          <w:b/>
        </w:rPr>
        <w:t>the</w:t>
      </w:r>
      <w:proofErr w:type="gramEnd"/>
      <w:r w:rsidRPr="00B873AB">
        <w:rPr>
          <w:rFonts w:cs="Arial"/>
          <w:b/>
        </w:rPr>
        <w:t xml:space="preserve"> academic standard of the qualifications it offers; </w:t>
      </w:r>
    </w:p>
    <w:p w14:paraId="7B95B784" w14:textId="77777777" w:rsidR="003D1E3E" w:rsidRPr="00B873AB" w:rsidRDefault="003D1E3E" w:rsidP="003D1E3E">
      <w:pPr>
        <w:pBdr>
          <w:top w:val="single" w:sz="4" w:space="1" w:color="auto"/>
          <w:left w:val="single" w:sz="4" w:space="4" w:color="auto"/>
          <w:bottom w:val="single" w:sz="4" w:space="1" w:color="auto"/>
          <w:right w:val="single" w:sz="4" w:space="4" w:color="auto"/>
        </w:pBdr>
        <w:shd w:val="clear" w:color="auto" w:fill="DAEEF3" w:themeFill="accent5" w:themeFillTint="33"/>
        <w:spacing w:after="0"/>
        <w:ind w:left="720" w:hanging="720"/>
        <w:rPr>
          <w:rFonts w:cs="Arial"/>
          <w:b/>
        </w:rPr>
      </w:pPr>
      <w:r w:rsidRPr="00B873AB">
        <w:rPr>
          <w:rFonts w:cs="Arial"/>
          <w:b/>
        </w:rPr>
        <w:t>•</w:t>
      </w:r>
      <w:r w:rsidRPr="00B873AB">
        <w:rPr>
          <w:rFonts w:cs="Arial"/>
          <w:b/>
        </w:rPr>
        <w:tab/>
      </w:r>
      <w:proofErr w:type="gramStart"/>
      <w:r w:rsidRPr="00B873AB">
        <w:rPr>
          <w:rFonts w:cs="Arial"/>
          <w:b/>
        </w:rPr>
        <w:t>the</w:t>
      </w:r>
      <w:proofErr w:type="gramEnd"/>
      <w:r w:rsidRPr="00B873AB">
        <w:rPr>
          <w:rFonts w:cs="Arial"/>
          <w:b/>
        </w:rPr>
        <w:t xml:space="preserve"> quality of teaching, resources and other educational opportunities available to students; </w:t>
      </w:r>
    </w:p>
    <w:p w14:paraId="39AE3764" w14:textId="77777777" w:rsidR="003D1E3E" w:rsidRPr="00B873AB" w:rsidRDefault="003D1E3E" w:rsidP="003D1E3E">
      <w:pPr>
        <w:pBdr>
          <w:top w:val="single" w:sz="4" w:space="1" w:color="auto"/>
          <w:left w:val="single" w:sz="4" w:space="4" w:color="auto"/>
          <w:bottom w:val="single" w:sz="4" w:space="1" w:color="auto"/>
          <w:right w:val="single" w:sz="4" w:space="4" w:color="auto"/>
        </w:pBdr>
        <w:shd w:val="clear" w:color="auto" w:fill="DAEEF3" w:themeFill="accent5" w:themeFillTint="33"/>
        <w:spacing w:after="0"/>
        <w:rPr>
          <w:rFonts w:cs="Arial"/>
          <w:b/>
        </w:rPr>
      </w:pPr>
      <w:r w:rsidRPr="00B873AB">
        <w:rPr>
          <w:rFonts w:cs="Arial"/>
          <w:b/>
        </w:rPr>
        <w:t>•</w:t>
      </w:r>
      <w:r w:rsidRPr="00B873AB">
        <w:rPr>
          <w:rFonts w:cs="Arial"/>
          <w:b/>
        </w:rPr>
        <w:tab/>
      </w:r>
      <w:proofErr w:type="gramStart"/>
      <w:r w:rsidRPr="00B873AB">
        <w:rPr>
          <w:rFonts w:cs="Arial"/>
          <w:b/>
        </w:rPr>
        <w:t>the</w:t>
      </w:r>
      <w:proofErr w:type="gramEnd"/>
      <w:r w:rsidRPr="00B873AB">
        <w:rPr>
          <w:rFonts w:cs="Arial"/>
          <w:b/>
        </w:rPr>
        <w:t xml:space="preserve"> approach it takes to continuous improvement of the above;</w:t>
      </w:r>
    </w:p>
    <w:p w14:paraId="6B8FDBA8" w14:textId="77777777" w:rsidR="003D1E3E" w:rsidRPr="00B873AB" w:rsidRDefault="003D1E3E" w:rsidP="003D1E3E">
      <w:pPr>
        <w:pBdr>
          <w:top w:val="single" w:sz="4" w:space="1" w:color="auto"/>
          <w:left w:val="single" w:sz="4" w:space="4" w:color="auto"/>
          <w:bottom w:val="single" w:sz="4" w:space="1" w:color="auto"/>
          <w:right w:val="single" w:sz="4" w:space="4" w:color="auto"/>
        </w:pBdr>
        <w:shd w:val="clear" w:color="auto" w:fill="DAEEF3" w:themeFill="accent5" w:themeFillTint="33"/>
        <w:spacing w:after="0"/>
        <w:ind w:left="709" w:hanging="709"/>
        <w:rPr>
          <w:rFonts w:cs="Arial"/>
          <w:b/>
        </w:rPr>
      </w:pPr>
      <w:r w:rsidRPr="00B873AB">
        <w:rPr>
          <w:rFonts w:cs="Arial"/>
          <w:b/>
        </w:rPr>
        <w:t>•</w:t>
      </w:r>
      <w:r w:rsidRPr="00B873AB">
        <w:rPr>
          <w:rFonts w:cs="Arial"/>
          <w:b/>
        </w:rPr>
        <w:tab/>
      </w:r>
      <w:proofErr w:type="gramStart"/>
      <w:r w:rsidRPr="00B873AB">
        <w:rPr>
          <w:rFonts w:cs="Arial"/>
          <w:b/>
        </w:rPr>
        <w:t>the</w:t>
      </w:r>
      <w:proofErr w:type="gramEnd"/>
      <w:r w:rsidRPr="00B873AB">
        <w:rPr>
          <w:rFonts w:cs="Arial"/>
          <w:b/>
        </w:rPr>
        <w:t xml:space="preserve"> accessibility and reliability of the information it makes available to students and the public about its educational opportunities, resources and support.</w:t>
      </w:r>
    </w:p>
    <w:p w14:paraId="08EA9E31" w14:textId="77777777" w:rsidR="003D1E3E" w:rsidRPr="00B873AB" w:rsidRDefault="003D1E3E" w:rsidP="003D1E3E">
      <w:pPr>
        <w:pBdr>
          <w:top w:val="single" w:sz="4" w:space="1" w:color="auto"/>
          <w:left w:val="single" w:sz="4" w:space="4" w:color="auto"/>
          <w:bottom w:val="single" w:sz="4" w:space="1" w:color="auto"/>
          <w:right w:val="single" w:sz="4" w:space="4" w:color="auto"/>
        </w:pBdr>
        <w:shd w:val="clear" w:color="auto" w:fill="DAEEF3" w:themeFill="accent5" w:themeFillTint="33"/>
        <w:spacing w:after="0"/>
        <w:rPr>
          <w:rFonts w:cs="Arial"/>
          <w:b/>
        </w:rPr>
      </w:pPr>
    </w:p>
    <w:p w14:paraId="2BC36F7B" w14:textId="77777777" w:rsidR="003D1E3E" w:rsidRPr="00B873AB" w:rsidRDefault="003D1E3E" w:rsidP="003D1E3E">
      <w:pPr>
        <w:pBdr>
          <w:top w:val="single" w:sz="4" w:space="1" w:color="auto"/>
          <w:left w:val="single" w:sz="4" w:space="4" w:color="auto"/>
          <w:bottom w:val="single" w:sz="4" w:space="1" w:color="auto"/>
          <w:right w:val="single" w:sz="4" w:space="4" w:color="auto"/>
        </w:pBdr>
        <w:shd w:val="clear" w:color="auto" w:fill="DAEEF3" w:themeFill="accent5" w:themeFillTint="33"/>
        <w:spacing w:after="0"/>
        <w:rPr>
          <w:rFonts w:cs="Arial"/>
          <w:b/>
        </w:rPr>
      </w:pPr>
      <w:r w:rsidRPr="00B873AB">
        <w:rPr>
          <w:rFonts w:cs="Arial"/>
          <w:b/>
        </w:rPr>
        <w:t xml:space="preserve">Excellent </w:t>
      </w:r>
    </w:p>
    <w:p w14:paraId="03988593" w14:textId="77777777" w:rsidR="003D1E3E" w:rsidRPr="00B873AB" w:rsidRDefault="003D1E3E" w:rsidP="003D1E3E">
      <w:pPr>
        <w:pBdr>
          <w:top w:val="single" w:sz="4" w:space="1" w:color="auto"/>
          <w:left w:val="single" w:sz="4" w:space="4" w:color="auto"/>
          <w:bottom w:val="single" w:sz="4" w:space="1" w:color="auto"/>
          <w:right w:val="single" w:sz="4" w:space="4" w:color="auto"/>
        </w:pBdr>
        <w:shd w:val="clear" w:color="auto" w:fill="DAEEF3" w:themeFill="accent5" w:themeFillTint="33"/>
        <w:spacing w:after="0"/>
        <w:rPr>
          <w:rFonts w:cs="Arial"/>
          <w:b/>
        </w:rPr>
      </w:pPr>
      <w:r w:rsidRPr="00B873AB">
        <w:rPr>
          <w:rFonts w:cs="Arial"/>
          <w:b/>
        </w:rPr>
        <w:t xml:space="preserve">An Excellent rating means that a higher education provider demonstrates excellent teaching, learning and student outcomes, building on national expectations for quality and standards. </w:t>
      </w:r>
    </w:p>
    <w:p w14:paraId="0D48FB3F" w14:textId="77777777" w:rsidR="003D1E3E" w:rsidRPr="00B873AB" w:rsidRDefault="003D1E3E" w:rsidP="003D1E3E">
      <w:pPr>
        <w:pBdr>
          <w:top w:val="single" w:sz="4" w:space="1" w:color="auto"/>
          <w:left w:val="single" w:sz="4" w:space="4" w:color="auto"/>
          <w:bottom w:val="single" w:sz="4" w:space="1" w:color="auto"/>
          <w:right w:val="single" w:sz="4" w:space="4" w:color="auto"/>
        </w:pBdr>
        <w:shd w:val="clear" w:color="auto" w:fill="DAEEF3" w:themeFill="accent5" w:themeFillTint="33"/>
        <w:spacing w:after="0"/>
        <w:rPr>
          <w:rFonts w:cs="Arial"/>
          <w:b/>
        </w:rPr>
      </w:pPr>
    </w:p>
    <w:p w14:paraId="43DB651F" w14:textId="77777777" w:rsidR="003D1E3E" w:rsidRPr="00B873AB" w:rsidRDefault="003D1E3E" w:rsidP="003D1E3E">
      <w:pPr>
        <w:pBdr>
          <w:top w:val="single" w:sz="4" w:space="1" w:color="auto"/>
          <w:left w:val="single" w:sz="4" w:space="4" w:color="auto"/>
          <w:bottom w:val="single" w:sz="4" w:space="1" w:color="auto"/>
          <w:right w:val="single" w:sz="4" w:space="4" w:color="auto"/>
        </w:pBdr>
        <w:shd w:val="clear" w:color="auto" w:fill="DAEEF3" w:themeFill="accent5" w:themeFillTint="33"/>
        <w:spacing w:after="0"/>
        <w:rPr>
          <w:rFonts w:cs="Arial"/>
          <w:b/>
        </w:rPr>
      </w:pPr>
      <w:r w:rsidRPr="00B873AB">
        <w:rPr>
          <w:rFonts w:cs="Arial"/>
          <w:b/>
        </w:rPr>
        <w:t>If more detail is required:</w:t>
      </w:r>
    </w:p>
    <w:p w14:paraId="52C329CE" w14:textId="77777777" w:rsidR="003D1E3E" w:rsidRPr="00B873AB" w:rsidRDefault="003D1E3E" w:rsidP="003D1E3E">
      <w:pPr>
        <w:pBdr>
          <w:top w:val="single" w:sz="4" w:space="1" w:color="auto"/>
          <w:left w:val="single" w:sz="4" w:space="4" w:color="auto"/>
          <w:bottom w:val="single" w:sz="4" w:space="1" w:color="auto"/>
          <w:right w:val="single" w:sz="4" w:space="4" w:color="auto"/>
        </w:pBdr>
        <w:shd w:val="clear" w:color="auto" w:fill="DAEEF3" w:themeFill="accent5" w:themeFillTint="33"/>
        <w:spacing w:after="0"/>
        <w:rPr>
          <w:rFonts w:cs="Arial"/>
          <w:b/>
        </w:rPr>
      </w:pPr>
      <w:r w:rsidRPr="00B873AB">
        <w:rPr>
          <w:rFonts w:cs="Arial"/>
          <w:b/>
        </w:rPr>
        <w:t>An Excellent rating means that a higher education provider’s teaching and learning is excellent in three key areas:</w:t>
      </w:r>
    </w:p>
    <w:p w14:paraId="2427B1FC" w14:textId="77777777" w:rsidR="003D1E3E" w:rsidRPr="00B873AB" w:rsidRDefault="003D1E3E" w:rsidP="003D1E3E">
      <w:pPr>
        <w:pBdr>
          <w:top w:val="single" w:sz="4" w:space="1" w:color="auto"/>
          <w:left w:val="single" w:sz="4" w:space="4" w:color="auto"/>
          <w:bottom w:val="single" w:sz="4" w:space="1" w:color="auto"/>
          <w:right w:val="single" w:sz="4" w:space="4" w:color="auto"/>
        </w:pBdr>
        <w:shd w:val="clear" w:color="auto" w:fill="DAEEF3" w:themeFill="accent5" w:themeFillTint="33"/>
        <w:spacing w:after="0"/>
        <w:rPr>
          <w:rFonts w:cs="Arial"/>
          <w:b/>
        </w:rPr>
      </w:pPr>
      <w:r w:rsidRPr="00B873AB">
        <w:rPr>
          <w:rFonts w:cs="Arial"/>
          <w:b/>
        </w:rPr>
        <w:t>•</w:t>
      </w:r>
      <w:r w:rsidRPr="00B873AB">
        <w:rPr>
          <w:rFonts w:cs="Arial"/>
          <w:b/>
        </w:rPr>
        <w:tab/>
        <w:t>Teaching quality</w:t>
      </w:r>
    </w:p>
    <w:p w14:paraId="21E3C479" w14:textId="77777777" w:rsidR="003D1E3E" w:rsidRPr="00B873AB" w:rsidRDefault="003D1E3E" w:rsidP="003D1E3E">
      <w:pPr>
        <w:pBdr>
          <w:top w:val="single" w:sz="4" w:space="1" w:color="auto"/>
          <w:left w:val="single" w:sz="4" w:space="4" w:color="auto"/>
          <w:bottom w:val="single" w:sz="4" w:space="1" w:color="auto"/>
          <w:right w:val="single" w:sz="4" w:space="4" w:color="auto"/>
        </w:pBdr>
        <w:shd w:val="clear" w:color="auto" w:fill="DAEEF3" w:themeFill="accent5" w:themeFillTint="33"/>
        <w:spacing w:after="0"/>
        <w:rPr>
          <w:rFonts w:cs="Arial"/>
          <w:b/>
        </w:rPr>
      </w:pPr>
      <w:r w:rsidRPr="00B873AB">
        <w:rPr>
          <w:rFonts w:cs="Arial"/>
          <w:b/>
        </w:rPr>
        <w:t>•</w:t>
      </w:r>
      <w:r w:rsidRPr="00B873AB">
        <w:rPr>
          <w:rFonts w:cs="Arial"/>
          <w:b/>
        </w:rPr>
        <w:tab/>
        <w:t>The learning environment</w:t>
      </w:r>
    </w:p>
    <w:p w14:paraId="39F52B14" w14:textId="77777777" w:rsidR="003D1E3E" w:rsidRPr="00B873AB" w:rsidRDefault="003D1E3E" w:rsidP="003D1E3E">
      <w:pPr>
        <w:pBdr>
          <w:top w:val="single" w:sz="4" w:space="1" w:color="auto"/>
          <w:left w:val="single" w:sz="4" w:space="4" w:color="auto"/>
          <w:bottom w:val="single" w:sz="4" w:space="1" w:color="auto"/>
          <w:right w:val="single" w:sz="4" w:space="4" w:color="auto"/>
        </w:pBdr>
        <w:shd w:val="clear" w:color="auto" w:fill="DAEEF3" w:themeFill="accent5" w:themeFillTint="33"/>
        <w:spacing w:after="0"/>
        <w:rPr>
          <w:rFonts w:cs="Arial"/>
          <w:b/>
        </w:rPr>
      </w:pPr>
      <w:r w:rsidRPr="00B873AB">
        <w:rPr>
          <w:rFonts w:cs="Arial"/>
          <w:b/>
        </w:rPr>
        <w:t>•</w:t>
      </w:r>
      <w:r w:rsidRPr="00B873AB">
        <w:rPr>
          <w:rFonts w:cs="Arial"/>
          <w:b/>
        </w:rPr>
        <w:tab/>
        <w:t>Student outcomes and learning gain</w:t>
      </w:r>
    </w:p>
    <w:p w14:paraId="0D825EEF" w14:textId="77777777" w:rsidR="003D1E3E" w:rsidRPr="00B873AB" w:rsidRDefault="003D1E3E" w:rsidP="003D1E3E">
      <w:pPr>
        <w:pBdr>
          <w:top w:val="single" w:sz="4" w:space="1" w:color="auto"/>
          <w:left w:val="single" w:sz="4" w:space="4" w:color="auto"/>
          <w:bottom w:val="single" w:sz="4" w:space="1" w:color="auto"/>
          <w:right w:val="single" w:sz="4" w:space="4" w:color="auto"/>
        </w:pBdr>
        <w:shd w:val="clear" w:color="auto" w:fill="DAEEF3" w:themeFill="accent5" w:themeFillTint="33"/>
        <w:spacing w:after="0"/>
        <w:rPr>
          <w:rFonts w:cs="Arial"/>
          <w:b/>
        </w:rPr>
      </w:pPr>
    </w:p>
    <w:p w14:paraId="5D80A0EF" w14:textId="77777777" w:rsidR="003D1E3E" w:rsidRDefault="003D1E3E" w:rsidP="003D1E3E">
      <w:pPr>
        <w:pBdr>
          <w:top w:val="single" w:sz="4" w:space="1" w:color="auto"/>
          <w:left w:val="single" w:sz="4" w:space="4" w:color="auto"/>
          <w:bottom w:val="single" w:sz="4" w:space="1" w:color="auto"/>
          <w:right w:val="single" w:sz="4" w:space="4" w:color="auto"/>
        </w:pBdr>
        <w:shd w:val="clear" w:color="auto" w:fill="DAEEF3" w:themeFill="accent5" w:themeFillTint="33"/>
        <w:spacing w:after="0"/>
        <w:rPr>
          <w:rFonts w:cs="Arial"/>
          <w:b/>
        </w:rPr>
      </w:pPr>
      <w:r w:rsidRPr="00B873AB">
        <w:rPr>
          <w:rFonts w:cs="Arial"/>
          <w:b/>
        </w:rPr>
        <w:t>Judgements are made by a panel of experts based on common criteria across the areas above.</w:t>
      </w:r>
    </w:p>
    <w:p w14:paraId="3E1D7F19" w14:textId="77777777" w:rsidR="00E73A04" w:rsidRDefault="00E73A04" w:rsidP="003D1E3E">
      <w:pPr>
        <w:pBdr>
          <w:top w:val="single" w:sz="4" w:space="1" w:color="auto"/>
          <w:left w:val="single" w:sz="4" w:space="4" w:color="auto"/>
          <w:bottom w:val="single" w:sz="4" w:space="1" w:color="auto"/>
          <w:right w:val="single" w:sz="4" w:space="4" w:color="auto"/>
        </w:pBdr>
        <w:shd w:val="clear" w:color="auto" w:fill="DAEEF3" w:themeFill="accent5" w:themeFillTint="33"/>
        <w:spacing w:after="0"/>
        <w:rPr>
          <w:rFonts w:cs="Arial"/>
          <w:b/>
        </w:rPr>
      </w:pPr>
    </w:p>
    <w:p w14:paraId="2AAACDD0" w14:textId="77777777" w:rsidR="003D1E3E" w:rsidRPr="00B873AB" w:rsidRDefault="003D1E3E" w:rsidP="003D1E3E">
      <w:pPr>
        <w:pBdr>
          <w:top w:val="single" w:sz="4" w:space="1" w:color="auto"/>
          <w:left w:val="single" w:sz="4" w:space="4" w:color="auto"/>
          <w:bottom w:val="single" w:sz="4" w:space="1" w:color="auto"/>
          <w:right w:val="single" w:sz="4" w:space="4" w:color="auto"/>
        </w:pBdr>
        <w:shd w:val="clear" w:color="auto" w:fill="DAEEF3" w:themeFill="accent5" w:themeFillTint="33"/>
        <w:spacing w:after="0"/>
        <w:rPr>
          <w:rFonts w:cs="Arial"/>
          <w:b/>
        </w:rPr>
      </w:pPr>
      <w:r w:rsidRPr="00B873AB">
        <w:rPr>
          <w:rFonts w:cs="Arial"/>
          <w:b/>
        </w:rPr>
        <w:lastRenderedPageBreak/>
        <w:t xml:space="preserve">Outstanding </w:t>
      </w:r>
    </w:p>
    <w:p w14:paraId="75A667FF" w14:textId="77777777" w:rsidR="003D1E3E" w:rsidRPr="00B873AB" w:rsidRDefault="003D1E3E" w:rsidP="003D1E3E">
      <w:pPr>
        <w:pBdr>
          <w:top w:val="single" w:sz="4" w:space="1" w:color="auto"/>
          <w:left w:val="single" w:sz="4" w:space="4" w:color="auto"/>
          <w:bottom w:val="single" w:sz="4" w:space="1" w:color="auto"/>
          <w:right w:val="single" w:sz="4" w:space="4" w:color="auto"/>
        </w:pBdr>
        <w:shd w:val="clear" w:color="auto" w:fill="DAEEF3" w:themeFill="accent5" w:themeFillTint="33"/>
        <w:spacing w:after="0"/>
        <w:rPr>
          <w:rFonts w:cs="Arial"/>
          <w:b/>
        </w:rPr>
      </w:pPr>
      <w:r w:rsidRPr="00B873AB">
        <w:rPr>
          <w:rFonts w:cs="Arial"/>
          <w:b/>
        </w:rPr>
        <w:t xml:space="preserve">An Outstanding rating means that a higher education provider demonstrates outstanding teaching, learning and student outcomes, building on national expectations for quality and standards. </w:t>
      </w:r>
    </w:p>
    <w:p w14:paraId="0BF08DC3" w14:textId="77777777" w:rsidR="003D1E3E" w:rsidRPr="00B873AB" w:rsidRDefault="003D1E3E" w:rsidP="003D1E3E">
      <w:pPr>
        <w:pBdr>
          <w:top w:val="single" w:sz="4" w:space="1" w:color="auto"/>
          <w:left w:val="single" w:sz="4" w:space="4" w:color="auto"/>
          <w:bottom w:val="single" w:sz="4" w:space="1" w:color="auto"/>
          <w:right w:val="single" w:sz="4" w:space="4" w:color="auto"/>
        </w:pBdr>
        <w:shd w:val="clear" w:color="auto" w:fill="DAEEF3" w:themeFill="accent5" w:themeFillTint="33"/>
        <w:spacing w:after="0"/>
        <w:rPr>
          <w:rFonts w:cs="Arial"/>
          <w:b/>
        </w:rPr>
      </w:pPr>
    </w:p>
    <w:p w14:paraId="267B2983" w14:textId="77777777" w:rsidR="003D1E3E" w:rsidRPr="00B873AB" w:rsidRDefault="003D1E3E" w:rsidP="003D1E3E">
      <w:pPr>
        <w:pBdr>
          <w:top w:val="single" w:sz="4" w:space="1" w:color="auto"/>
          <w:left w:val="single" w:sz="4" w:space="4" w:color="auto"/>
          <w:bottom w:val="single" w:sz="4" w:space="1" w:color="auto"/>
          <w:right w:val="single" w:sz="4" w:space="4" w:color="auto"/>
        </w:pBdr>
        <w:shd w:val="clear" w:color="auto" w:fill="DAEEF3" w:themeFill="accent5" w:themeFillTint="33"/>
        <w:spacing w:after="0"/>
        <w:rPr>
          <w:rFonts w:cs="Arial"/>
          <w:b/>
        </w:rPr>
      </w:pPr>
      <w:r w:rsidRPr="00B873AB">
        <w:rPr>
          <w:rFonts w:cs="Arial"/>
          <w:b/>
        </w:rPr>
        <w:t>If more detail is required:</w:t>
      </w:r>
    </w:p>
    <w:p w14:paraId="5DF45EDB" w14:textId="77777777" w:rsidR="003D1E3E" w:rsidRPr="00B873AB" w:rsidRDefault="003D1E3E" w:rsidP="003D1E3E">
      <w:pPr>
        <w:pBdr>
          <w:top w:val="single" w:sz="4" w:space="1" w:color="auto"/>
          <w:left w:val="single" w:sz="4" w:space="4" w:color="auto"/>
          <w:bottom w:val="single" w:sz="4" w:space="1" w:color="auto"/>
          <w:right w:val="single" w:sz="4" w:space="4" w:color="auto"/>
        </w:pBdr>
        <w:shd w:val="clear" w:color="auto" w:fill="DAEEF3" w:themeFill="accent5" w:themeFillTint="33"/>
        <w:spacing w:after="0"/>
        <w:rPr>
          <w:rFonts w:cs="Arial"/>
          <w:b/>
        </w:rPr>
      </w:pPr>
      <w:r w:rsidRPr="00B873AB">
        <w:rPr>
          <w:rFonts w:cs="Arial"/>
          <w:b/>
        </w:rPr>
        <w:t>An Outstanding rating means that a higher education provider’s teaching and learning is outstanding in three key areas:</w:t>
      </w:r>
    </w:p>
    <w:p w14:paraId="02E7D05A" w14:textId="77777777" w:rsidR="003D1E3E" w:rsidRPr="00B873AB" w:rsidRDefault="003D1E3E" w:rsidP="003D1E3E">
      <w:pPr>
        <w:pBdr>
          <w:top w:val="single" w:sz="4" w:space="1" w:color="auto"/>
          <w:left w:val="single" w:sz="4" w:space="4" w:color="auto"/>
          <w:bottom w:val="single" w:sz="4" w:space="1" w:color="auto"/>
          <w:right w:val="single" w:sz="4" w:space="4" w:color="auto"/>
        </w:pBdr>
        <w:shd w:val="clear" w:color="auto" w:fill="DAEEF3" w:themeFill="accent5" w:themeFillTint="33"/>
        <w:spacing w:after="0"/>
        <w:rPr>
          <w:rFonts w:cs="Arial"/>
          <w:b/>
        </w:rPr>
      </w:pPr>
      <w:r w:rsidRPr="00B873AB">
        <w:rPr>
          <w:rFonts w:cs="Arial"/>
          <w:b/>
        </w:rPr>
        <w:t>•</w:t>
      </w:r>
      <w:r w:rsidRPr="00B873AB">
        <w:rPr>
          <w:rFonts w:cs="Arial"/>
          <w:b/>
        </w:rPr>
        <w:tab/>
        <w:t>Teaching quality</w:t>
      </w:r>
    </w:p>
    <w:p w14:paraId="1230C98A" w14:textId="77777777" w:rsidR="003D1E3E" w:rsidRPr="00B873AB" w:rsidRDefault="003D1E3E" w:rsidP="003D1E3E">
      <w:pPr>
        <w:pBdr>
          <w:top w:val="single" w:sz="4" w:space="1" w:color="auto"/>
          <w:left w:val="single" w:sz="4" w:space="4" w:color="auto"/>
          <w:bottom w:val="single" w:sz="4" w:space="1" w:color="auto"/>
          <w:right w:val="single" w:sz="4" w:space="4" w:color="auto"/>
        </w:pBdr>
        <w:shd w:val="clear" w:color="auto" w:fill="DAEEF3" w:themeFill="accent5" w:themeFillTint="33"/>
        <w:spacing w:after="0"/>
        <w:rPr>
          <w:rFonts w:cs="Arial"/>
          <w:b/>
        </w:rPr>
      </w:pPr>
      <w:r w:rsidRPr="00B873AB">
        <w:rPr>
          <w:rFonts w:cs="Arial"/>
          <w:b/>
        </w:rPr>
        <w:t>•</w:t>
      </w:r>
      <w:r w:rsidRPr="00B873AB">
        <w:rPr>
          <w:rFonts w:cs="Arial"/>
          <w:b/>
        </w:rPr>
        <w:tab/>
        <w:t>The learning environment</w:t>
      </w:r>
    </w:p>
    <w:p w14:paraId="74B0797D" w14:textId="77777777" w:rsidR="003D1E3E" w:rsidRPr="00B873AB" w:rsidRDefault="003D1E3E" w:rsidP="003D1E3E">
      <w:pPr>
        <w:pBdr>
          <w:top w:val="single" w:sz="4" w:space="1" w:color="auto"/>
          <w:left w:val="single" w:sz="4" w:space="4" w:color="auto"/>
          <w:bottom w:val="single" w:sz="4" w:space="1" w:color="auto"/>
          <w:right w:val="single" w:sz="4" w:space="4" w:color="auto"/>
        </w:pBdr>
        <w:shd w:val="clear" w:color="auto" w:fill="DAEEF3" w:themeFill="accent5" w:themeFillTint="33"/>
        <w:spacing w:after="0"/>
        <w:rPr>
          <w:rFonts w:cs="Arial"/>
          <w:b/>
        </w:rPr>
      </w:pPr>
      <w:r w:rsidRPr="00B873AB">
        <w:rPr>
          <w:rFonts w:cs="Arial"/>
          <w:b/>
        </w:rPr>
        <w:t>•</w:t>
      </w:r>
      <w:r w:rsidRPr="00B873AB">
        <w:rPr>
          <w:rFonts w:cs="Arial"/>
          <w:b/>
        </w:rPr>
        <w:tab/>
        <w:t>Student outcomes and learning gain</w:t>
      </w:r>
    </w:p>
    <w:p w14:paraId="3131B6C2" w14:textId="77777777" w:rsidR="003D1E3E" w:rsidRPr="00B873AB" w:rsidRDefault="003D1E3E" w:rsidP="003D1E3E">
      <w:pPr>
        <w:pBdr>
          <w:top w:val="single" w:sz="4" w:space="1" w:color="auto"/>
          <w:left w:val="single" w:sz="4" w:space="4" w:color="auto"/>
          <w:bottom w:val="single" w:sz="4" w:space="1" w:color="auto"/>
          <w:right w:val="single" w:sz="4" w:space="4" w:color="auto"/>
        </w:pBdr>
        <w:shd w:val="clear" w:color="auto" w:fill="DAEEF3" w:themeFill="accent5" w:themeFillTint="33"/>
        <w:spacing w:after="0"/>
        <w:rPr>
          <w:rFonts w:cs="Arial"/>
          <w:b/>
        </w:rPr>
      </w:pPr>
    </w:p>
    <w:p w14:paraId="5B3CFE2D" w14:textId="77777777" w:rsidR="003D1E3E" w:rsidRPr="00B873AB" w:rsidRDefault="003D1E3E" w:rsidP="003D1E3E">
      <w:pPr>
        <w:pBdr>
          <w:top w:val="single" w:sz="4" w:space="1" w:color="auto"/>
          <w:left w:val="single" w:sz="4" w:space="4" w:color="auto"/>
          <w:bottom w:val="single" w:sz="4" w:space="1" w:color="auto"/>
          <w:right w:val="single" w:sz="4" w:space="4" w:color="auto"/>
        </w:pBdr>
        <w:shd w:val="clear" w:color="auto" w:fill="DAEEF3" w:themeFill="accent5" w:themeFillTint="33"/>
        <w:spacing w:after="0"/>
        <w:rPr>
          <w:rFonts w:cs="Arial"/>
          <w:b/>
        </w:rPr>
      </w:pPr>
      <w:r w:rsidRPr="00B873AB">
        <w:rPr>
          <w:rFonts w:cs="Arial"/>
          <w:b/>
        </w:rPr>
        <w:t>Judgements are made by a panel of experts based on common criteria across the areas above.</w:t>
      </w:r>
    </w:p>
    <w:p w14:paraId="4DEFEC0C" w14:textId="77777777" w:rsidR="003D1E3E" w:rsidRDefault="003D1E3E" w:rsidP="003D1E3E">
      <w:pPr>
        <w:spacing w:after="0"/>
        <w:rPr>
          <w:rFonts w:cs="Arial"/>
          <w:b/>
        </w:rPr>
      </w:pPr>
    </w:p>
    <w:p w14:paraId="083F7130" w14:textId="77777777" w:rsidR="003D1E3E" w:rsidRPr="005D56C9" w:rsidRDefault="003D1E3E" w:rsidP="003D1E3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Arial"/>
          <w:b/>
        </w:rPr>
      </w:pPr>
      <w:r>
        <w:rPr>
          <w:rFonts w:cs="Arial"/>
          <w:b/>
        </w:rPr>
        <w:t>Q12</w:t>
      </w:r>
      <w:r w:rsidRPr="005D56C9">
        <w:rPr>
          <w:rFonts w:cs="Arial"/>
          <w:b/>
        </w:rPr>
        <w:t xml:space="preserve"> Do you agree with t</w:t>
      </w:r>
      <w:r>
        <w:rPr>
          <w:rFonts w:cs="Arial"/>
          <w:b/>
        </w:rPr>
        <w:t>he descriptions of the different TEF ratings proposed in Figure 9</w:t>
      </w:r>
      <w:r w:rsidRPr="005D56C9">
        <w:rPr>
          <w:rFonts w:cs="Arial"/>
          <w:b/>
        </w:rPr>
        <w:t xml:space="preserve">? </w:t>
      </w:r>
      <w:r>
        <w:rPr>
          <w:rFonts w:cs="Arial"/>
          <w:b/>
        </w:rPr>
        <w:t>P</w:t>
      </w:r>
      <w:r w:rsidRPr="005D56C9">
        <w:rPr>
          <w:rFonts w:cs="Arial"/>
          <w:b/>
        </w:rPr>
        <w:t>lease outline your reasons and any alternative</w:t>
      </w:r>
      <w:r>
        <w:rPr>
          <w:rFonts w:cs="Arial"/>
          <w:b/>
        </w:rPr>
        <w:t xml:space="preserve"> suggestions.</w:t>
      </w:r>
    </w:p>
    <w:p w14:paraId="04E5F657" w14:textId="77777777" w:rsidR="003D1E3E" w:rsidRPr="00600C5A" w:rsidRDefault="003D1E3E" w:rsidP="003D1E3E">
      <w:pPr>
        <w:spacing w:after="0"/>
        <w:rPr>
          <w:rFonts w:cs="Arial"/>
        </w:rPr>
      </w:pPr>
    </w:p>
    <w:p w14:paraId="43C40F6C" w14:textId="77777777" w:rsidR="003D1E3E" w:rsidRPr="00A108B0" w:rsidRDefault="003D1E3E" w:rsidP="003D1E3E">
      <w:pPr>
        <w:pStyle w:val="Heading3"/>
        <w:spacing w:after="0"/>
        <w:ind w:hanging="426"/>
      </w:pPr>
      <w:bookmarkStart w:id="90" w:name="_Toc450148011"/>
      <w:bookmarkStart w:id="91" w:name="_Toc450886581"/>
      <w:r w:rsidRPr="00860442">
        <w:t>Publishing TEF outcomes</w:t>
      </w:r>
      <w:bookmarkEnd w:id="90"/>
      <w:bookmarkEnd w:id="91"/>
      <w:r w:rsidRPr="00860442">
        <w:t xml:space="preserve"> </w:t>
      </w:r>
    </w:p>
    <w:p w14:paraId="53907FF8" w14:textId="77777777" w:rsidR="003D1E3E" w:rsidRPr="001748CC" w:rsidRDefault="003D1E3E" w:rsidP="003D1E3E">
      <w:pPr>
        <w:pStyle w:val="ListParagraph"/>
        <w:numPr>
          <w:ilvl w:val="0"/>
          <w:numId w:val="18"/>
        </w:numPr>
        <w:tabs>
          <w:tab w:val="left" w:pos="142"/>
        </w:tabs>
        <w:spacing w:after="0"/>
        <w:ind w:left="142" w:hanging="568"/>
        <w:rPr>
          <w:rFonts w:ascii="Arial" w:hAnsi="Arial" w:cs="Arial"/>
          <w:sz w:val="24"/>
          <w:szCs w:val="24"/>
        </w:rPr>
      </w:pPr>
      <w:r w:rsidRPr="001748CC">
        <w:rPr>
          <w:rFonts w:ascii="Arial" w:hAnsi="Arial" w:cs="Arial"/>
          <w:sz w:val="24"/>
          <w:szCs w:val="24"/>
        </w:rPr>
        <w:t xml:space="preserve">We intend for TEF outcomes to be included in official sources of information aimed at prospective students. This will include </w:t>
      </w:r>
      <w:proofErr w:type="spellStart"/>
      <w:r w:rsidRPr="001748CC">
        <w:rPr>
          <w:rFonts w:ascii="Arial" w:hAnsi="Arial" w:cs="Arial"/>
          <w:sz w:val="24"/>
          <w:szCs w:val="24"/>
        </w:rPr>
        <w:t>Unistats</w:t>
      </w:r>
      <w:proofErr w:type="spellEnd"/>
      <w:r w:rsidRPr="00FB5EDD">
        <w:rPr>
          <w:rStyle w:val="FootnoteReference"/>
        </w:rPr>
        <w:footnoteReference w:id="34"/>
      </w:r>
      <w:r w:rsidRPr="001748CC">
        <w:rPr>
          <w:rFonts w:ascii="Arial" w:hAnsi="Arial" w:cs="Arial"/>
          <w:sz w:val="24"/>
          <w:szCs w:val="24"/>
        </w:rPr>
        <w:t xml:space="preserve"> and the UCAS website. </w:t>
      </w:r>
    </w:p>
    <w:p w14:paraId="698A2FD9" w14:textId="77777777" w:rsidR="003D1E3E" w:rsidRPr="001748CC" w:rsidRDefault="003D1E3E" w:rsidP="003D1E3E">
      <w:pPr>
        <w:pStyle w:val="ListParagraph"/>
        <w:tabs>
          <w:tab w:val="left" w:pos="142"/>
        </w:tabs>
        <w:spacing w:after="0"/>
        <w:ind w:left="142"/>
        <w:rPr>
          <w:rFonts w:ascii="Arial" w:hAnsi="Arial" w:cs="Arial"/>
          <w:sz w:val="24"/>
          <w:szCs w:val="24"/>
        </w:rPr>
      </w:pPr>
    </w:p>
    <w:p w14:paraId="755A811A" w14:textId="77777777" w:rsidR="003D1E3E" w:rsidRPr="001748CC" w:rsidRDefault="003D1E3E" w:rsidP="003D1E3E">
      <w:pPr>
        <w:pStyle w:val="ListParagraph"/>
        <w:numPr>
          <w:ilvl w:val="0"/>
          <w:numId w:val="18"/>
        </w:numPr>
        <w:tabs>
          <w:tab w:val="left" w:pos="142"/>
        </w:tabs>
        <w:spacing w:after="0"/>
        <w:ind w:left="142" w:hanging="568"/>
        <w:rPr>
          <w:rFonts w:ascii="Arial" w:hAnsi="Arial" w:cs="Arial"/>
          <w:sz w:val="24"/>
          <w:szCs w:val="24"/>
        </w:rPr>
      </w:pPr>
      <w:r w:rsidRPr="001748CC">
        <w:rPr>
          <w:rFonts w:ascii="Arial" w:hAnsi="Arial" w:cs="Arial"/>
          <w:sz w:val="24"/>
          <w:szCs w:val="24"/>
        </w:rPr>
        <w:t xml:space="preserve">As outlined in </w:t>
      </w:r>
      <w:r w:rsidRPr="001748CC">
        <w:rPr>
          <w:rFonts w:ascii="Arial" w:hAnsi="Arial" w:cs="Arial"/>
          <w:b/>
          <w:sz w:val="24"/>
          <w:szCs w:val="24"/>
        </w:rPr>
        <w:t>Chapter 4: The Assessment Process</w:t>
      </w:r>
      <w:r w:rsidRPr="001748CC">
        <w:rPr>
          <w:rFonts w:ascii="Arial" w:hAnsi="Arial" w:cs="Arial"/>
          <w:sz w:val="24"/>
          <w:szCs w:val="24"/>
        </w:rPr>
        <w:t xml:space="preserve">, published outcomes will include the rating, any commendations (should these be a feature of the TEF in Year Two) and a brief statement of the TEF Panel’s findings within each aspect of </w:t>
      </w:r>
      <w:r>
        <w:rPr>
          <w:rFonts w:ascii="Arial" w:hAnsi="Arial" w:cs="Arial"/>
          <w:sz w:val="24"/>
          <w:szCs w:val="24"/>
        </w:rPr>
        <w:t xml:space="preserve">quality. A link to a provider’s </w:t>
      </w:r>
      <w:r w:rsidRPr="001748CC">
        <w:rPr>
          <w:rFonts w:ascii="Arial" w:hAnsi="Arial" w:cs="Arial"/>
          <w:sz w:val="24"/>
          <w:szCs w:val="24"/>
        </w:rPr>
        <w:t>metrics and a copy of their submission will also be published.</w:t>
      </w:r>
    </w:p>
    <w:p w14:paraId="2C17CA84" w14:textId="77777777" w:rsidR="003D1E3E" w:rsidRPr="001748CC" w:rsidRDefault="003D1E3E" w:rsidP="003D1E3E">
      <w:pPr>
        <w:pStyle w:val="ListParagraph"/>
        <w:tabs>
          <w:tab w:val="left" w:pos="142"/>
        </w:tabs>
        <w:spacing w:after="0"/>
        <w:ind w:left="142"/>
        <w:rPr>
          <w:rFonts w:ascii="Arial" w:hAnsi="Arial" w:cs="Arial"/>
          <w:sz w:val="24"/>
          <w:szCs w:val="24"/>
        </w:rPr>
      </w:pPr>
    </w:p>
    <w:p w14:paraId="27C0FE66" w14:textId="77777777" w:rsidR="003D1E3E" w:rsidRPr="001748CC" w:rsidRDefault="003D1E3E" w:rsidP="003D1E3E">
      <w:pPr>
        <w:pStyle w:val="ListParagraph"/>
        <w:numPr>
          <w:ilvl w:val="0"/>
          <w:numId w:val="18"/>
        </w:numPr>
        <w:tabs>
          <w:tab w:val="left" w:pos="142"/>
        </w:tabs>
        <w:spacing w:after="0"/>
        <w:ind w:left="142" w:hanging="568"/>
        <w:rPr>
          <w:rFonts w:ascii="Arial" w:hAnsi="Arial" w:cs="Arial"/>
          <w:sz w:val="24"/>
          <w:szCs w:val="24"/>
        </w:rPr>
      </w:pPr>
      <w:r w:rsidRPr="001748CC">
        <w:rPr>
          <w:rFonts w:ascii="Arial" w:hAnsi="Arial" w:cs="Arial"/>
          <w:sz w:val="24"/>
          <w:szCs w:val="24"/>
        </w:rPr>
        <w:t>A provider’s TEF rating will also be included on the Register of Higher Education Providers, currently maintained by HEFCE</w:t>
      </w:r>
      <w:r w:rsidRPr="00E01877">
        <w:rPr>
          <w:rStyle w:val="FootnoteReference"/>
          <w:rFonts w:cs="Arial"/>
        </w:rPr>
        <w:footnoteReference w:id="35"/>
      </w:r>
      <w:r w:rsidRPr="001748CC">
        <w:rPr>
          <w:rFonts w:ascii="Arial" w:hAnsi="Arial" w:cs="Arial"/>
          <w:sz w:val="24"/>
          <w:szCs w:val="24"/>
        </w:rPr>
        <w:t xml:space="preserve">. The Register contains information about how providers of higher education are regulated in England. It is not aimed specifically at prospective students but it is of interest to them and of interest to regulators and Government agencies, in the UK and internationally. </w:t>
      </w:r>
    </w:p>
    <w:p w14:paraId="31EC5DBB" w14:textId="77777777" w:rsidR="003D1E3E" w:rsidRPr="001748CC" w:rsidRDefault="003D1E3E" w:rsidP="003D1E3E">
      <w:pPr>
        <w:pStyle w:val="ListParagraph"/>
        <w:tabs>
          <w:tab w:val="left" w:pos="142"/>
        </w:tabs>
        <w:spacing w:after="0"/>
        <w:ind w:left="142"/>
        <w:rPr>
          <w:rFonts w:ascii="Arial" w:hAnsi="Arial" w:cs="Arial"/>
          <w:sz w:val="24"/>
          <w:szCs w:val="24"/>
        </w:rPr>
      </w:pPr>
    </w:p>
    <w:p w14:paraId="53D49E22" w14:textId="77777777" w:rsidR="003D1E3E" w:rsidRPr="001748CC" w:rsidRDefault="003D1E3E" w:rsidP="003D1E3E">
      <w:pPr>
        <w:pStyle w:val="ListParagraph"/>
        <w:numPr>
          <w:ilvl w:val="0"/>
          <w:numId w:val="18"/>
        </w:numPr>
        <w:tabs>
          <w:tab w:val="left" w:pos="142"/>
        </w:tabs>
        <w:spacing w:after="0"/>
        <w:ind w:left="142" w:hanging="568"/>
        <w:rPr>
          <w:rFonts w:ascii="Arial" w:hAnsi="Arial" w:cs="Arial"/>
          <w:sz w:val="24"/>
          <w:szCs w:val="24"/>
        </w:rPr>
      </w:pPr>
      <w:r w:rsidRPr="001748CC">
        <w:rPr>
          <w:rFonts w:ascii="Arial" w:hAnsi="Arial" w:cs="Arial"/>
          <w:sz w:val="24"/>
          <w:szCs w:val="24"/>
        </w:rPr>
        <w:t>Higher education providers will also be able to use their TEF rating in their own marketing, such as via websites, prospectuses and during Open Days.</w:t>
      </w:r>
    </w:p>
    <w:p w14:paraId="1EC357F8" w14:textId="77777777" w:rsidR="003D1E3E" w:rsidRDefault="003D1E3E" w:rsidP="003D1E3E">
      <w:pPr>
        <w:spacing w:after="0"/>
        <w:rPr>
          <w:rFonts w:cs="Arial"/>
        </w:rPr>
      </w:pPr>
    </w:p>
    <w:p w14:paraId="471281DC" w14:textId="77777777" w:rsidR="003D1E3E" w:rsidRDefault="003D1E3E" w:rsidP="003D1E3E">
      <w:pPr>
        <w:spacing w:after="0"/>
        <w:rPr>
          <w:rFonts w:cs="Arial"/>
        </w:rPr>
      </w:pPr>
    </w:p>
    <w:p w14:paraId="30BACF3F" w14:textId="77777777" w:rsidR="003D1E3E" w:rsidRDefault="003D1E3E" w:rsidP="003D1E3E">
      <w:pPr>
        <w:pStyle w:val="ListParagraph"/>
        <w:tabs>
          <w:tab w:val="left" w:pos="142"/>
        </w:tabs>
        <w:spacing w:after="0"/>
        <w:ind w:left="142"/>
        <w:rPr>
          <w:rFonts w:ascii="Arial" w:hAnsi="Arial" w:cs="Arial"/>
          <w:sz w:val="24"/>
          <w:szCs w:val="24"/>
        </w:rPr>
      </w:pPr>
    </w:p>
    <w:p w14:paraId="09AD76D6" w14:textId="77777777" w:rsidR="003D1E3E" w:rsidRDefault="003D1E3E" w:rsidP="003D1E3E">
      <w:pPr>
        <w:pStyle w:val="ListParagraph"/>
        <w:tabs>
          <w:tab w:val="left" w:pos="142"/>
        </w:tabs>
        <w:spacing w:after="0"/>
        <w:ind w:left="142"/>
        <w:rPr>
          <w:rFonts w:ascii="Arial" w:hAnsi="Arial" w:cs="Arial"/>
          <w:sz w:val="24"/>
          <w:szCs w:val="24"/>
        </w:rPr>
      </w:pPr>
    </w:p>
    <w:p w14:paraId="31E1735C" w14:textId="77777777" w:rsidR="00E73A04" w:rsidRDefault="00E73A04">
      <w:pPr>
        <w:spacing w:after="200" w:line="276" w:lineRule="auto"/>
        <w:rPr>
          <w:b/>
          <w:bCs/>
          <w:iCs/>
          <w:color w:val="003478"/>
          <w:sz w:val="32"/>
          <w:szCs w:val="28"/>
        </w:rPr>
      </w:pPr>
      <w:bookmarkStart w:id="92" w:name="_Toc450148012"/>
      <w:bookmarkStart w:id="93" w:name="_Toc450886582"/>
      <w:r>
        <w:br w:type="page"/>
      </w:r>
    </w:p>
    <w:p w14:paraId="535687F9" w14:textId="0CA1AFC9" w:rsidR="003D1E3E" w:rsidRPr="000B08B2" w:rsidRDefault="003D1E3E" w:rsidP="003D1E3E">
      <w:pPr>
        <w:pStyle w:val="Heading2"/>
        <w:ind w:hanging="426"/>
      </w:pPr>
      <w:r>
        <w:lastRenderedPageBreak/>
        <w:t>Implementation and next steps</w:t>
      </w:r>
      <w:bookmarkEnd w:id="92"/>
      <w:bookmarkEnd w:id="93"/>
    </w:p>
    <w:p w14:paraId="39AB2D94" w14:textId="77777777" w:rsidR="003D1E3E" w:rsidRPr="00A108B0" w:rsidRDefault="003D1E3E" w:rsidP="003D1E3E">
      <w:pPr>
        <w:pStyle w:val="Heading3"/>
        <w:spacing w:after="0"/>
        <w:ind w:hanging="426"/>
      </w:pPr>
      <w:bookmarkStart w:id="94" w:name="_Toc450148013"/>
      <w:bookmarkStart w:id="95" w:name="_Toc450886583"/>
      <w:r>
        <w:t>Timetable for implementation of Year Two</w:t>
      </w:r>
      <w:bookmarkEnd w:id="94"/>
      <w:bookmarkEnd w:id="95"/>
    </w:p>
    <w:p w14:paraId="77006399" w14:textId="77777777" w:rsidR="003D1E3E" w:rsidRPr="001748CC" w:rsidRDefault="003D1E3E" w:rsidP="003D1E3E">
      <w:pPr>
        <w:pStyle w:val="ListParagraph"/>
        <w:numPr>
          <w:ilvl w:val="0"/>
          <w:numId w:val="18"/>
        </w:numPr>
        <w:tabs>
          <w:tab w:val="left" w:pos="142"/>
        </w:tabs>
        <w:spacing w:after="0"/>
        <w:ind w:left="142" w:hanging="568"/>
        <w:rPr>
          <w:rFonts w:ascii="Arial" w:hAnsi="Arial" w:cs="Arial"/>
          <w:sz w:val="24"/>
          <w:szCs w:val="24"/>
        </w:rPr>
      </w:pPr>
      <w:r w:rsidRPr="001748CC">
        <w:rPr>
          <w:rFonts w:ascii="Arial" w:hAnsi="Arial" w:cs="Arial"/>
          <w:sz w:val="24"/>
          <w:szCs w:val="24"/>
        </w:rPr>
        <w:t xml:space="preserve">Key dates for providers are in </w:t>
      </w:r>
      <w:r w:rsidRPr="001748CC">
        <w:rPr>
          <w:rFonts w:ascii="Arial" w:hAnsi="Arial" w:cs="Arial"/>
          <w:b/>
          <w:sz w:val="24"/>
          <w:szCs w:val="24"/>
        </w:rPr>
        <w:t>Annex B</w:t>
      </w:r>
      <w:r w:rsidRPr="001748CC">
        <w:rPr>
          <w:rFonts w:ascii="Arial" w:hAnsi="Arial" w:cs="Arial"/>
          <w:sz w:val="24"/>
          <w:szCs w:val="24"/>
        </w:rPr>
        <w:t xml:space="preserve"> which includes an indication of when the applications window opens and closes. Shortly after this consultation is published, HEFCE will invite providers to nominate a key point of contact in accordance with the timetable. </w:t>
      </w:r>
    </w:p>
    <w:p w14:paraId="64F9E6CE" w14:textId="77777777" w:rsidR="003D1E3E" w:rsidRDefault="003D1E3E" w:rsidP="003D1E3E">
      <w:pPr>
        <w:spacing w:after="0"/>
        <w:rPr>
          <w:rFonts w:cs="Arial"/>
        </w:rPr>
      </w:pPr>
    </w:p>
    <w:p w14:paraId="62186159" w14:textId="77777777" w:rsidR="003D1E3E" w:rsidRPr="00A108B0" w:rsidRDefault="003D1E3E" w:rsidP="003D1E3E">
      <w:pPr>
        <w:pStyle w:val="Heading3"/>
        <w:spacing w:after="0"/>
        <w:ind w:hanging="426"/>
      </w:pPr>
      <w:bookmarkStart w:id="96" w:name="_Toc450148014"/>
      <w:bookmarkStart w:id="97" w:name="_Toc450886584"/>
      <w:r>
        <w:t>Sharing good practice from Year Two</w:t>
      </w:r>
      <w:bookmarkEnd w:id="96"/>
      <w:bookmarkEnd w:id="97"/>
    </w:p>
    <w:p w14:paraId="5C5B7E7A" w14:textId="77777777" w:rsidR="003D1E3E" w:rsidRPr="001748CC" w:rsidRDefault="003D1E3E" w:rsidP="003D1E3E">
      <w:pPr>
        <w:pStyle w:val="ListParagraph"/>
        <w:numPr>
          <w:ilvl w:val="0"/>
          <w:numId w:val="18"/>
        </w:numPr>
        <w:tabs>
          <w:tab w:val="left" w:pos="142"/>
        </w:tabs>
        <w:spacing w:after="0"/>
        <w:ind w:left="142" w:hanging="568"/>
        <w:rPr>
          <w:rFonts w:ascii="Arial" w:hAnsi="Arial" w:cs="Arial"/>
          <w:sz w:val="24"/>
          <w:szCs w:val="24"/>
        </w:rPr>
      </w:pPr>
      <w:r w:rsidRPr="001748CC">
        <w:rPr>
          <w:rFonts w:ascii="Arial" w:hAnsi="Arial" w:cs="Arial"/>
          <w:sz w:val="24"/>
          <w:szCs w:val="24"/>
        </w:rPr>
        <w:t xml:space="preserve">As outlined in </w:t>
      </w:r>
      <w:r w:rsidRPr="001748CC">
        <w:rPr>
          <w:rFonts w:ascii="Arial" w:hAnsi="Arial" w:cs="Arial"/>
          <w:b/>
          <w:sz w:val="24"/>
          <w:szCs w:val="24"/>
        </w:rPr>
        <w:t>Chapter 4: The Assessment Framework</w:t>
      </w:r>
      <w:r w:rsidRPr="001748CC">
        <w:rPr>
          <w:rFonts w:ascii="Arial" w:hAnsi="Arial" w:cs="Arial"/>
          <w:sz w:val="24"/>
          <w:szCs w:val="24"/>
        </w:rPr>
        <w:t xml:space="preserve">, we intend that all provider submissions will be published so that good practice can be shared. </w:t>
      </w:r>
    </w:p>
    <w:p w14:paraId="3D1004C8" w14:textId="77777777" w:rsidR="003D1E3E" w:rsidRPr="00686CC5" w:rsidRDefault="003D1E3E" w:rsidP="003D1E3E">
      <w:pPr>
        <w:spacing w:after="0"/>
        <w:rPr>
          <w:rFonts w:cs="Arial"/>
        </w:rPr>
      </w:pPr>
    </w:p>
    <w:p w14:paraId="2A944D2A" w14:textId="77777777" w:rsidR="003D1E3E" w:rsidRPr="00A108B0" w:rsidRDefault="003D1E3E" w:rsidP="003D1E3E">
      <w:pPr>
        <w:pStyle w:val="Heading3"/>
        <w:spacing w:after="0"/>
        <w:ind w:hanging="426"/>
      </w:pPr>
      <w:bookmarkStart w:id="98" w:name="_Toc450148015"/>
      <w:bookmarkStart w:id="99" w:name="_Toc450886585"/>
      <w:r>
        <w:t>Lessons learned exercise from Year Two</w:t>
      </w:r>
      <w:bookmarkEnd w:id="98"/>
      <w:bookmarkEnd w:id="99"/>
    </w:p>
    <w:p w14:paraId="16611C4D" w14:textId="77777777" w:rsidR="003D1E3E" w:rsidRPr="001748CC" w:rsidRDefault="003D1E3E" w:rsidP="003D1E3E">
      <w:pPr>
        <w:pStyle w:val="ListParagraph"/>
        <w:numPr>
          <w:ilvl w:val="0"/>
          <w:numId w:val="18"/>
        </w:numPr>
        <w:tabs>
          <w:tab w:val="left" w:pos="142"/>
        </w:tabs>
        <w:spacing w:after="0"/>
        <w:ind w:left="142" w:hanging="568"/>
        <w:rPr>
          <w:rFonts w:ascii="Arial" w:hAnsi="Arial" w:cs="Arial"/>
          <w:sz w:val="24"/>
          <w:szCs w:val="24"/>
        </w:rPr>
      </w:pPr>
      <w:r w:rsidRPr="001748CC">
        <w:rPr>
          <w:rFonts w:ascii="Arial" w:hAnsi="Arial" w:cs="Arial"/>
          <w:sz w:val="24"/>
          <w:szCs w:val="24"/>
        </w:rPr>
        <w:t xml:space="preserve">The development of future iterations of the TEF will draw upon lessons learned from Year Two. </w:t>
      </w:r>
      <w:r w:rsidRPr="001748CC">
        <w:rPr>
          <w:rFonts w:ascii="Arial" w:hAnsi="Arial" w:cs="Arial"/>
          <w:b/>
          <w:sz w:val="24"/>
          <w:szCs w:val="24"/>
        </w:rPr>
        <w:t>We plan to carry out a lessons-learned exercise that will inform the development of Year Three.</w:t>
      </w:r>
    </w:p>
    <w:p w14:paraId="5EB4A623" w14:textId="77777777" w:rsidR="003D1E3E" w:rsidRDefault="003D1E3E" w:rsidP="003D1E3E">
      <w:pPr>
        <w:pStyle w:val="ListParagraph"/>
        <w:tabs>
          <w:tab w:val="left" w:pos="142"/>
        </w:tabs>
        <w:spacing w:after="0"/>
        <w:ind w:left="142"/>
        <w:rPr>
          <w:rFonts w:ascii="Arial" w:hAnsi="Arial" w:cs="Arial"/>
          <w:sz w:val="24"/>
          <w:szCs w:val="24"/>
        </w:rPr>
      </w:pPr>
    </w:p>
    <w:p w14:paraId="268779DC" w14:textId="77777777" w:rsidR="003D1E3E" w:rsidRDefault="003D1E3E" w:rsidP="003D1E3E">
      <w:pPr>
        <w:pStyle w:val="ListParagraph"/>
        <w:tabs>
          <w:tab w:val="left" w:pos="142"/>
        </w:tabs>
        <w:spacing w:after="0"/>
        <w:ind w:left="142"/>
        <w:rPr>
          <w:rFonts w:ascii="Arial" w:hAnsi="Arial" w:cs="Arial"/>
          <w:sz w:val="24"/>
          <w:szCs w:val="24"/>
        </w:rPr>
      </w:pPr>
    </w:p>
    <w:p w14:paraId="365AB621" w14:textId="77777777" w:rsidR="003D1E3E" w:rsidRPr="00AE5F09" w:rsidRDefault="003D1E3E" w:rsidP="003D1E3E">
      <w:pPr>
        <w:pStyle w:val="ListParagraph"/>
        <w:tabs>
          <w:tab w:val="left" w:pos="142"/>
        </w:tabs>
        <w:spacing w:after="0"/>
        <w:ind w:left="142"/>
        <w:rPr>
          <w:rFonts w:ascii="Arial" w:hAnsi="Arial" w:cs="Arial"/>
          <w:sz w:val="24"/>
          <w:szCs w:val="24"/>
        </w:rPr>
      </w:pPr>
    </w:p>
    <w:p w14:paraId="3E8288AD" w14:textId="77777777" w:rsidR="003D1E3E" w:rsidRDefault="003D1E3E" w:rsidP="00843F86"/>
    <w:p w14:paraId="0B7FC7BB" w14:textId="77777777" w:rsidR="00702FF9" w:rsidRDefault="00702FF9" w:rsidP="00843F86"/>
    <w:p w14:paraId="401E14AB" w14:textId="77777777" w:rsidR="00702FF9" w:rsidRDefault="00702FF9" w:rsidP="00843F86"/>
    <w:p w14:paraId="5D0BC5C0" w14:textId="77777777" w:rsidR="00702FF9" w:rsidRDefault="00702FF9" w:rsidP="00843F86"/>
    <w:p w14:paraId="27AE4A97" w14:textId="77777777" w:rsidR="00702FF9" w:rsidRDefault="00702FF9" w:rsidP="00843F86"/>
    <w:p w14:paraId="647055A6" w14:textId="77777777" w:rsidR="00702FF9" w:rsidRDefault="00702FF9" w:rsidP="00843F86"/>
    <w:p w14:paraId="4492B67E" w14:textId="77777777" w:rsidR="00702FF9" w:rsidRDefault="00702FF9" w:rsidP="00843F86"/>
    <w:p w14:paraId="4B6FDCE9" w14:textId="77777777" w:rsidR="00702FF9" w:rsidRDefault="00702FF9" w:rsidP="00843F86"/>
    <w:p w14:paraId="1D7AA805" w14:textId="77777777" w:rsidR="00702FF9" w:rsidRDefault="00702FF9" w:rsidP="00843F86"/>
    <w:p w14:paraId="058C8556" w14:textId="77777777" w:rsidR="00702FF9" w:rsidRDefault="00702FF9" w:rsidP="00843F86"/>
    <w:p w14:paraId="7AE3EC96" w14:textId="77777777" w:rsidR="00702FF9" w:rsidRDefault="00702FF9" w:rsidP="00843F86"/>
    <w:p w14:paraId="14F8271D" w14:textId="77777777" w:rsidR="00702FF9" w:rsidRDefault="00702FF9" w:rsidP="00843F86"/>
    <w:p w14:paraId="0F013750" w14:textId="77777777" w:rsidR="00702FF9" w:rsidRDefault="00702FF9" w:rsidP="00843F86"/>
    <w:p w14:paraId="3CB3BF3F" w14:textId="77777777" w:rsidR="00702FF9" w:rsidRDefault="00702FF9" w:rsidP="00843F86"/>
    <w:p w14:paraId="56BC9CCA" w14:textId="77777777" w:rsidR="00702FF9" w:rsidRDefault="00702FF9" w:rsidP="00843F86"/>
    <w:p w14:paraId="21D7CAA0" w14:textId="77777777" w:rsidR="00702FF9" w:rsidRDefault="00702FF9" w:rsidP="00702FF9">
      <w:pPr>
        <w:pStyle w:val="Heading2"/>
      </w:pPr>
      <w:bookmarkStart w:id="100" w:name="_Toc450148016"/>
      <w:bookmarkStart w:id="101" w:name="_Toc450886586"/>
      <w:r>
        <w:lastRenderedPageBreak/>
        <w:t>Annex A</w:t>
      </w:r>
      <w:r w:rsidRPr="00B10922">
        <w:t xml:space="preserve">: </w:t>
      </w:r>
      <w:r>
        <w:t>Glossary of Terms</w:t>
      </w:r>
      <w:bookmarkEnd w:id="100"/>
      <w:bookmarkEnd w:id="101"/>
    </w:p>
    <w:p w14:paraId="6E852268" w14:textId="77777777" w:rsidR="00702FF9" w:rsidRPr="00FF428C" w:rsidRDefault="00702FF9" w:rsidP="00702FF9">
      <w:pPr>
        <w:spacing w:after="0"/>
        <w:rPr>
          <w:rFonts w:cs="Arial"/>
          <w:b/>
        </w:rPr>
      </w:pPr>
      <w:r w:rsidRPr="00FF428C">
        <w:rPr>
          <w:rFonts w:cs="Arial"/>
          <w:b/>
        </w:rPr>
        <w:t>Aspects of quality</w:t>
      </w:r>
    </w:p>
    <w:p w14:paraId="0485D829" w14:textId="77777777" w:rsidR="00702FF9" w:rsidRPr="00D90A8D" w:rsidRDefault="00702FF9" w:rsidP="00702FF9">
      <w:pPr>
        <w:spacing w:after="0"/>
        <w:rPr>
          <w:rFonts w:cs="Arial"/>
          <w:i/>
        </w:rPr>
      </w:pPr>
      <w:proofErr w:type="gramStart"/>
      <w:r w:rsidRPr="00D90A8D">
        <w:rPr>
          <w:rFonts w:cs="Arial"/>
        </w:rPr>
        <w:t xml:space="preserve">Areas of teaching and learning quality </w:t>
      </w:r>
      <w:r>
        <w:rPr>
          <w:rFonts w:cs="Arial"/>
        </w:rPr>
        <w:t>in which criteria are articulated against which providers will be assessed.</w:t>
      </w:r>
      <w:proofErr w:type="gramEnd"/>
    </w:p>
    <w:p w14:paraId="1DC2516C" w14:textId="77777777" w:rsidR="00702FF9" w:rsidRPr="00D90A8D" w:rsidRDefault="00702FF9" w:rsidP="00702FF9">
      <w:pPr>
        <w:spacing w:after="0"/>
        <w:rPr>
          <w:rFonts w:cs="Arial"/>
          <w:b/>
        </w:rPr>
      </w:pPr>
    </w:p>
    <w:p w14:paraId="42BA5C60" w14:textId="77777777" w:rsidR="00702FF9" w:rsidRPr="00FF428C" w:rsidRDefault="00702FF9" w:rsidP="00702FF9">
      <w:pPr>
        <w:spacing w:after="0"/>
        <w:rPr>
          <w:rFonts w:cs="Arial"/>
          <w:b/>
        </w:rPr>
      </w:pPr>
      <w:r w:rsidRPr="00FF428C">
        <w:rPr>
          <w:rFonts w:cs="Arial"/>
          <w:b/>
        </w:rPr>
        <w:t>Assessment framework</w:t>
      </w:r>
    </w:p>
    <w:p w14:paraId="027694F0" w14:textId="77777777" w:rsidR="00702FF9" w:rsidRPr="00D90A8D" w:rsidRDefault="00702FF9" w:rsidP="00702FF9">
      <w:pPr>
        <w:spacing w:after="0"/>
        <w:rPr>
          <w:rFonts w:cs="Arial"/>
        </w:rPr>
      </w:pPr>
      <w:r w:rsidRPr="00D90A8D">
        <w:rPr>
          <w:rFonts w:cs="Arial"/>
        </w:rPr>
        <w:t xml:space="preserve">The assessment framework </w:t>
      </w:r>
      <w:r>
        <w:rPr>
          <w:rFonts w:cs="Arial"/>
        </w:rPr>
        <w:t xml:space="preserve">sets out </w:t>
      </w:r>
      <w:r w:rsidRPr="00D90A8D">
        <w:rPr>
          <w:rFonts w:cs="Arial"/>
        </w:rPr>
        <w:t xml:space="preserve">how judgements about excellence will be made. It refers to the aspects of quality, the criteria, and how </w:t>
      </w:r>
      <w:r>
        <w:rPr>
          <w:rFonts w:cs="Arial"/>
        </w:rPr>
        <w:t xml:space="preserve">the </w:t>
      </w:r>
      <w:r w:rsidRPr="00D90A8D">
        <w:rPr>
          <w:rFonts w:cs="Arial"/>
        </w:rPr>
        <w:t xml:space="preserve">evidence will be used, across the </w:t>
      </w:r>
      <w:r>
        <w:rPr>
          <w:rFonts w:cs="Arial"/>
        </w:rPr>
        <w:t>ratings</w:t>
      </w:r>
      <w:r w:rsidRPr="00D90A8D">
        <w:rPr>
          <w:rFonts w:cs="Arial"/>
        </w:rPr>
        <w:t xml:space="preserve">. </w:t>
      </w:r>
    </w:p>
    <w:p w14:paraId="1A3C684C" w14:textId="77777777" w:rsidR="00702FF9" w:rsidRDefault="00702FF9" w:rsidP="00702FF9">
      <w:pPr>
        <w:spacing w:after="0"/>
        <w:rPr>
          <w:rFonts w:cs="Arial"/>
          <w:b/>
        </w:rPr>
      </w:pPr>
    </w:p>
    <w:p w14:paraId="1A79EC6D" w14:textId="77777777" w:rsidR="00702FF9" w:rsidRPr="00FF428C" w:rsidRDefault="00702FF9" w:rsidP="00702FF9">
      <w:pPr>
        <w:spacing w:after="0"/>
        <w:rPr>
          <w:rFonts w:cs="Arial"/>
          <w:b/>
        </w:rPr>
      </w:pPr>
      <w:r>
        <w:rPr>
          <w:rFonts w:cs="Arial"/>
          <w:b/>
        </w:rPr>
        <w:t>Core</w:t>
      </w:r>
      <w:r w:rsidRPr="00FF428C">
        <w:rPr>
          <w:rFonts w:cs="Arial"/>
          <w:b/>
        </w:rPr>
        <w:t xml:space="preserve"> metrics</w:t>
      </w:r>
    </w:p>
    <w:p w14:paraId="526FE0A5" w14:textId="77777777" w:rsidR="00702FF9" w:rsidRPr="00D90A8D" w:rsidRDefault="00702FF9" w:rsidP="00702FF9">
      <w:pPr>
        <w:spacing w:after="0"/>
        <w:rPr>
          <w:rFonts w:cs="Arial"/>
          <w:i/>
        </w:rPr>
      </w:pPr>
      <w:r w:rsidRPr="00D90A8D">
        <w:rPr>
          <w:rFonts w:cs="Arial"/>
        </w:rPr>
        <w:t>Measures deriving from na</w:t>
      </w:r>
      <w:r>
        <w:rPr>
          <w:rFonts w:cs="Arial"/>
        </w:rPr>
        <w:t xml:space="preserve">tional surveys and data returns which have been </w:t>
      </w:r>
      <w:proofErr w:type="gramStart"/>
      <w:r>
        <w:rPr>
          <w:rFonts w:cs="Arial"/>
        </w:rPr>
        <w:t>defined,</w:t>
      </w:r>
      <w:proofErr w:type="gramEnd"/>
      <w:r>
        <w:rPr>
          <w:rFonts w:cs="Arial"/>
        </w:rPr>
        <w:t xml:space="preserve"> benchmarked and reported to support TEF assessments.</w:t>
      </w:r>
      <w:r w:rsidRPr="00D90A8D">
        <w:rPr>
          <w:rFonts w:cs="Arial"/>
        </w:rPr>
        <w:t xml:space="preserve"> </w:t>
      </w:r>
    </w:p>
    <w:p w14:paraId="290A0BFC" w14:textId="77777777" w:rsidR="00702FF9" w:rsidRDefault="00702FF9" w:rsidP="00702FF9">
      <w:pPr>
        <w:spacing w:after="0"/>
        <w:rPr>
          <w:rFonts w:cs="Arial"/>
          <w:b/>
        </w:rPr>
      </w:pPr>
    </w:p>
    <w:p w14:paraId="017A878F" w14:textId="77777777" w:rsidR="00702FF9" w:rsidRPr="00FF428C" w:rsidRDefault="00702FF9" w:rsidP="00702FF9">
      <w:pPr>
        <w:spacing w:after="0"/>
        <w:rPr>
          <w:rFonts w:cs="Arial"/>
          <w:b/>
        </w:rPr>
      </w:pPr>
      <w:r w:rsidRPr="00FF428C">
        <w:rPr>
          <w:rFonts w:cs="Arial"/>
          <w:b/>
        </w:rPr>
        <w:t>Criteria</w:t>
      </w:r>
    </w:p>
    <w:p w14:paraId="54AF3797" w14:textId="77777777" w:rsidR="00702FF9" w:rsidRPr="00D90A8D" w:rsidRDefault="00702FF9" w:rsidP="00702FF9">
      <w:pPr>
        <w:spacing w:after="0"/>
        <w:rPr>
          <w:rFonts w:cs="Arial"/>
          <w:i/>
          <w:color w:val="000000"/>
          <w:lang w:eastAsia="en-GB"/>
        </w:rPr>
      </w:pPr>
      <w:r w:rsidRPr="00D90A8D">
        <w:rPr>
          <w:rFonts w:cs="Arial"/>
        </w:rPr>
        <w:t xml:space="preserve">Statements </w:t>
      </w:r>
      <w:r>
        <w:rPr>
          <w:rFonts w:cs="Arial"/>
        </w:rPr>
        <w:t>that</w:t>
      </w:r>
      <w:r w:rsidRPr="00D90A8D">
        <w:rPr>
          <w:rFonts w:cs="Arial"/>
        </w:rPr>
        <w:t xml:space="preserve"> identify wha</w:t>
      </w:r>
      <w:r>
        <w:rPr>
          <w:rFonts w:cs="Arial"/>
        </w:rPr>
        <w:t>t assessors will be looking for within each aspect of quality when they are assessing excellence.</w:t>
      </w:r>
    </w:p>
    <w:p w14:paraId="60F47000" w14:textId="77777777" w:rsidR="00702FF9" w:rsidRDefault="00702FF9" w:rsidP="00702FF9">
      <w:pPr>
        <w:spacing w:after="0"/>
        <w:rPr>
          <w:rFonts w:cs="Arial"/>
          <w:b/>
        </w:rPr>
      </w:pPr>
    </w:p>
    <w:p w14:paraId="1C7994A2" w14:textId="77777777" w:rsidR="00702FF9" w:rsidRDefault="00702FF9" w:rsidP="00702FF9">
      <w:pPr>
        <w:spacing w:after="0"/>
        <w:rPr>
          <w:rFonts w:cs="Arial"/>
          <w:b/>
        </w:rPr>
      </w:pPr>
      <w:r>
        <w:rPr>
          <w:rFonts w:cs="Arial"/>
          <w:b/>
        </w:rPr>
        <w:t>Learning Environment</w:t>
      </w:r>
    </w:p>
    <w:p w14:paraId="7F47BC27" w14:textId="77777777" w:rsidR="00702FF9" w:rsidRPr="00587FEE" w:rsidRDefault="00702FF9" w:rsidP="00702FF9">
      <w:pPr>
        <w:spacing w:after="0"/>
        <w:rPr>
          <w:rFonts w:cs="Arial"/>
        </w:rPr>
      </w:pPr>
      <w:proofErr w:type="gramStart"/>
      <w:r>
        <w:rPr>
          <w:rFonts w:cs="Arial"/>
        </w:rPr>
        <w:t>A term to describe the aspect of the TEF that relates to t</w:t>
      </w:r>
      <w:r w:rsidRPr="00587FEE">
        <w:rPr>
          <w:rFonts w:cs="Arial"/>
        </w:rPr>
        <w:t>he wider context for teaching.</w:t>
      </w:r>
      <w:proofErr w:type="gramEnd"/>
      <w:r w:rsidRPr="00587FEE">
        <w:rPr>
          <w:rFonts w:cs="Arial"/>
        </w:rPr>
        <w:t xml:space="preserve">  </w:t>
      </w:r>
    </w:p>
    <w:p w14:paraId="7E0A11EF" w14:textId="77777777" w:rsidR="00702FF9" w:rsidRDefault="00702FF9" w:rsidP="00702FF9">
      <w:pPr>
        <w:spacing w:after="0"/>
        <w:rPr>
          <w:rFonts w:cs="Arial"/>
          <w:b/>
        </w:rPr>
      </w:pPr>
    </w:p>
    <w:p w14:paraId="635F0212" w14:textId="77777777" w:rsidR="00702FF9" w:rsidRPr="008D631D" w:rsidRDefault="00702FF9" w:rsidP="00702FF9">
      <w:pPr>
        <w:spacing w:after="0"/>
        <w:rPr>
          <w:rFonts w:cs="Arial"/>
          <w:b/>
        </w:rPr>
      </w:pPr>
      <w:r w:rsidRPr="008D631D">
        <w:rPr>
          <w:rFonts w:cs="Arial"/>
          <w:b/>
        </w:rPr>
        <w:t>Pre</w:t>
      </w:r>
      <w:r>
        <w:rPr>
          <w:rFonts w:cs="Arial"/>
          <w:b/>
        </w:rPr>
        <w:t>-</w:t>
      </w:r>
      <w:r w:rsidRPr="008D631D">
        <w:rPr>
          <w:rFonts w:cs="Arial"/>
          <w:b/>
        </w:rPr>
        <w:t>requisites</w:t>
      </w:r>
    </w:p>
    <w:p w14:paraId="4EDF5D4E" w14:textId="77777777" w:rsidR="00702FF9" w:rsidRPr="00D90A8D" w:rsidRDefault="00702FF9" w:rsidP="00702FF9">
      <w:pPr>
        <w:spacing w:after="0"/>
        <w:rPr>
          <w:rFonts w:cs="Arial"/>
          <w:i/>
        </w:rPr>
      </w:pPr>
      <w:proofErr w:type="gramStart"/>
      <w:r w:rsidRPr="00D90A8D">
        <w:rPr>
          <w:rFonts w:cs="Arial"/>
        </w:rPr>
        <w:t>The conditions that have to be met in order for a provider to be assessed under the TEF.</w:t>
      </w:r>
      <w:proofErr w:type="gramEnd"/>
      <w:r w:rsidRPr="00D90A8D">
        <w:rPr>
          <w:rFonts w:cs="Arial"/>
        </w:rPr>
        <w:t xml:space="preserve"> </w:t>
      </w:r>
    </w:p>
    <w:p w14:paraId="6A0B6156" w14:textId="77777777" w:rsidR="00702FF9" w:rsidRDefault="00702FF9" w:rsidP="00702FF9">
      <w:pPr>
        <w:spacing w:after="0"/>
        <w:rPr>
          <w:rFonts w:cs="Arial"/>
          <w:b/>
        </w:rPr>
      </w:pPr>
    </w:p>
    <w:p w14:paraId="51A1FE93" w14:textId="77777777" w:rsidR="00702FF9" w:rsidRPr="00FF428C" w:rsidRDefault="00702FF9" w:rsidP="00702FF9">
      <w:pPr>
        <w:spacing w:after="0"/>
        <w:rPr>
          <w:rFonts w:cs="Arial"/>
          <w:b/>
        </w:rPr>
      </w:pPr>
      <w:r>
        <w:rPr>
          <w:rFonts w:cs="Arial"/>
          <w:b/>
        </w:rPr>
        <w:t>Provider submission</w:t>
      </w:r>
    </w:p>
    <w:p w14:paraId="4EB0418A" w14:textId="77777777" w:rsidR="00702FF9" w:rsidRDefault="00702FF9" w:rsidP="00702FF9">
      <w:pPr>
        <w:spacing w:after="0"/>
        <w:rPr>
          <w:rFonts w:cs="Arial"/>
        </w:rPr>
      </w:pPr>
      <w:r>
        <w:rPr>
          <w:rFonts w:cs="Arial"/>
        </w:rPr>
        <w:t xml:space="preserve">A provider submission contains the additional evidence that will be used to support an application alongside core metrics. Providers prepare and submit their provider submission against the published criteria. The </w:t>
      </w:r>
      <w:r w:rsidRPr="00D90A8D">
        <w:rPr>
          <w:rFonts w:cs="Arial"/>
        </w:rPr>
        <w:t xml:space="preserve">evidence </w:t>
      </w:r>
      <w:r>
        <w:rPr>
          <w:rFonts w:cs="Arial"/>
        </w:rPr>
        <w:t xml:space="preserve">in the provider submission </w:t>
      </w:r>
      <w:r w:rsidRPr="00D90A8D">
        <w:rPr>
          <w:rFonts w:cs="Arial"/>
        </w:rPr>
        <w:t xml:space="preserve">can be qualitative or quantitative. </w:t>
      </w:r>
    </w:p>
    <w:p w14:paraId="5ACF39CD" w14:textId="77777777" w:rsidR="00702FF9" w:rsidRDefault="00702FF9" w:rsidP="00702FF9">
      <w:pPr>
        <w:spacing w:after="0"/>
        <w:rPr>
          <w:rFonts w:cs="Arial"/>
        </w:rPr>
      </w:pPr>
    </w:p>
    <w:p w14:paraId="5AE9522D" w14:textId="77777777" w:rsidR="00702FF9" w:rsidRPr="005507A9" w:rsidRDefault="00702FF9" w:rsidP="00702FF9">
      <w:pPr>
        <w:spacing w:after="0"/>
        <w:rPr>
          <w:rFonts w:cs="Arial"/>
          <w:b/>
        </w:rPr>
      </w:pPr>
      <w:r w:rsidRPr="005507A9">
        <w:rPr>
          <w:rFonts w:cs="Arial"/>
          <w:b/>
        </w:rPr>
        <w:t>Specialist</w:t>
      </w:r>
    </w:p>
    <w:p w14:paraId="440266FB" w14:textId="77777777" w:rsidR="00702FF9" w:rsidRPr="00D90A8D" w:rsidRDefault="00702FF9" w:rsidP="00702FF9">
      <w:pPr>
        <w:spacing w:after="0"/>
        <w:rPr>
          <w:rFonts w:cs="Arial"/>
        </w:rPr>
      </w:pPr>
      <w:proofErr w:type="gramStart"/>
      <w:r w:rsidRPr="005507A9">
        <w:rPr>
          <w:rFonts w:cs="Arial"/>
        </w:rPr>
        <w:t>An individual with expertise in a particular area such as widening participation or employer perspectives.</w:t>
      </w:r>
      <w:proofErr w:type="gramEnd"/>
      <w:r>
        <w:rPr>
          <w:rFonts w:cs="Arial"/>
        </w:rPr>
        <w:t xml:space="preserve"> </w:t>
      </w:r>
    </w:p>
    <w:p w14:paraId="2B3594D6" w14:textId="77777777" w:rsidR="00702FF9" w:rsidRDefault="00702FF9" w:rsidP="00702FF9">
      <w:pPr>
        <w:spacing w:after="0"/>
        <w:rPr>
          <w:rFonts w:cs="Arial"/>
          <w:b/>
        </w:rPr>
      </w:pPr>
    </w:p>
    <w:p w14:paraId="419B8D90" w14:textId="77777777" w:rsidR="00702FF9" w:rsidRDefault="00702FF9" w:rsidP="00702FF9">
      <w:pPr>
        <w:spacing w:after="0"/>
        <w:rPr>
          <w:rFonts w:cs="Arial"/>
          <w:b/>
        </w:rPr>
      </w:pPr>
      <w:r>
        <w:rPr>
          <w:rFonts w:cs="Arial"/>
          <w:b/>
        </w:rPr>
        <w:t>Student Outcomes and Learning Gain</w:t>
      </w:r>
    </w:p>
    <w:p w14:paraId="0792B385" w14:textId="77777777" w:rsidR="00702FF9" w:rsidRDefault="00702FF9" w:rsidP="00702FF9">
      <w:pPr>
        <w:spacing w:after="0"/>
        <w:rPr>
          <w:rFonts w:cs="Arial"/>
        </w:rPr>
      </w:pPr>
      <w:r>
        <w:rPr>
          <w:rFonts w:cs="Arial"/>
        </w:rPr>
        <w:t>A term to describe the aspect of the TEF that relates to t</w:t>
      </w:r>
      <w:r w:rsidRPr="00587FEE">
        <w:rPr>
          <w:rFonts w:cs="Arial"/>
        </w:rPr>
        <w:t>he educational and employment outcomes of graduates and the gains made by students from a range of diff</w:t>
      </w:r>
      <w:r>
        <w:rPr>
          <w:rFonts w:cs="Arial"/>
        </w:rPr>
        <w:t xml:space="preserve">erent backgrounds. </w:t>
      </w:r>
    </w:p>
    <w:p w14:paraId="21FD9F81" w14:textId="77777777" w:rsidR="00702FF9" w:rsidRDefault="00702FF9" w:rsidP="00702FF9">
      <w:pPr>
        <w:spacing w:after="0"/>
        <w:rPr>
          <w:rFonts w:cs="Arial"/>
          <w:b/>
        </w:rPr>
      </w:pPr>
    </w:p>
    <w:p w14:paraId="19DCD575" w14:textId="77777777" w:rsidR="00702FF9" w:rsidRDefault="00702FF9" w:rsidP="00702FF9">
      <w:pPr>
        <w:spacing w:after="0"/>
        <w:rPr>
          <w:rFonts w:cs="Arial"/>
          <w:b/>
        </w:rPr>
      </w:pPr>
      <w:r>
        <w:rPr>
          <w:rFonts w:cs="Arial"/>
          <w:b/>
        </w:rPr>
        <w:t>Teaching Quality</w:t>
      </w:r>
    </w:p>
    <w:p w14:paraId="47F5A8D1" w14:textId="77777777" w:rsidR="00702FF9" w:rsidRPr="00587FEE" w:rsidRDefault="00702FF9" w:rsidP="00702FF9">
      <w:pPr>
        <w:spacing w:after="0"/>
        <w:rPr>
          <w:rFonts w:cs="Arial"/>
        </w:rPr>
      </w:pPr>
      <w:r>
        <w:rPr>
          <w:rFonts w:cs="Arial"/>
        </w:rPr>
        <w:t xml:space="preserve">A term to describe the aspect of the TEF that considers teaching practices. </w:t>
      </w:r>
    </w:p>
    <w:p w14:paraId="365A466C" w14:textId="77777777" w:rsidR="00702FF9" w:rsidRDefault="00702FF9" w:rsidP="00702FF9">
      <w:pPr>
        <w:spacing w:after="0"/>
        <w:rPr>
          <w:rFonts w:cs="Arial"/>
          <w:b/>
        </w:rPr>
      </w:pPr>
    </w:p>
    <w:p w14:paraId="404C77AC" w14:textId="77777777" w:rsidR="00702FF9" w:rsidRPr="005507A9" w:rsidRDefault="00702FF9" w:rsidP="00702FF9">
      <w:pPr>
        <w:spacing w:after="0"/>
        <w:rPr>
          <w:rFonts w:cs="Arial"/>
          <w:b/>
        </w:rPr>
      </w:pPr>
      <w:r w:rsidRPr="005507A9">
        <w:rPr>
          <w:rFonts w:cs="Arial"/>
          <w:b/>
        </w:rPr>
        <w:t>TEF assessor</w:t>
      </w:r>
    </w:p>
    <w:p w14:paraId="5097E48A" w14:textId="77777777" w:rsidR="00702FF9" w:rsidRDefault="00702FF9" w:rsidP="00702FF9">
      <w:pPr>
        <w:spacing w:after="0"/>
        <w:rPr>
          <w:rFonts w:cs="Arial"/>
          <w:lang w:val="en"/>
        </w:rPr>
      </w:pPr>
      <w:proofErr w:type="gramStart"/>
      <w:r w:rsidRPr="005507A9">
        <w:rPr>
          <w:rFonts w:cs="Arial"/>
          <w:lang w:val="en"/>
        </w:rPr>
        <w:t>An individual who has experience of or expertise in teaching and learning.</w:t>
      </w:r>
      <w:proofErr w:type="gramEnd"/>
      <w:r w:rsidRPr="005507A9">
        <w:rPr>
          <w:rFonts w:cs="Arial"/>
          <w:lang w:val="en"/>
        </w:rPr>
        <w:t xml:space="preserve"> This is likely to be institutional staff whose responsibilities include teaching and learning, and students.</w:t>
      </w:r>
    </w:p>
    <w:p w14:paraId="6E2760EA" w14:textId="77777777" w:rsidR="00702FF9" w:rsidRDefault="00702FF9" w:rsidP="00702FF9">
      <w:pPr>
        <w:spacing w:after="0"/>
        <w:rPr>
          <w:rFonts w:cs="Arial"/>
          <w:b/>
        </w:rPr>
      </w:pPr>
    </w:p>
    <w:p w14:paraId="77BDE897" w14:textId="77777777" w:rsidR="00702FF9" w:rsidRPr="00915A8A" w:rsidRDefault="00702FF9" w:rsidP="00702FF9">
      <w:pPr>
        <w:spacing w:after="0"/>
        <w:rPr>
          <w:rFonts w:cs="Arial"/>
          <w:b/>
        </w:rPr>
      </w:pPr>
      <w:r w:rsidRPr="00915A8A">
        <w:rPr>
          <w:rFonts w:cs="Arial"/>
          <w:b/>
        </w:rPr>
        <w:t xml:space="preserve">TEF award </w:t>
      </w:r>
    </w:p>
    <w:p w14:paraId="4B90E529" w14:textId="77777777" w:rsidR="00702FF9" w:rsidRDefault="00702FF9" w:rsidP="00702FF9">
      <w:pPr>
        <w:spacing w:after="0"/>
        <w:rPr>
          <w:rFonts w:cs="Arial"/>
        </w:rPr>
      </w:pPr>
      <w:r w:rsidRPr="00D90A8D">
        <w:rPr>
          <w:rFonts w:cs="Arial"/>
        </w:rPr>
        <w:t>A TEF award r</w:t>
      </w:r>
      <w:r>
        <w:rPr>
          <w:rFonts w:cs="Arial"/>
        </w:rPr>
        <w:t>efers to a successful outcome i.</w:t>
      </w:r>
      <w:r w:rsidRPr="00D90A8D">
        <w:rPr>
          <w:rFonts w:cs="Arial"/>
        </w:rPr>
        <w:t>e</w:t>
      </w:r>
      <w:r>
        <w:rPr>
          <w:rFonts w:cs="Arial"/>
        </w:rPr>
        <w:t>.</w:t>
      </w:r>
      <w:r w:rsidRPr="00D90A8D">
        <w:rPr>
          <w:rFonts w:cs="Arial"/>
        </w:rPr>
        <w:t xml:space="preserve"> any lev</w:t>
      </w:r>
      <w:r>
        <w:rPr>
          <w:rFonts w:cs="Arial"/>
        </w:rPr>
        <w:t>el of excellence within the TEF</w:t>
      </w:r>
      <w:r w:rsidRPr="00D90A8D">
        <w:rPr>
          <w:rFonts w:cs="Arial"/>
        </w:rPr>
        <w:t>.</w:t>
      </w:r>
    </w:p>
    <w:p w14:paraId="10B43CED" w14:textId="77777777" w:rsidR="00702FF9" w:rsidRDefault="00702FF9" w:rsidP="00702FF9">
      <w:pPr>
        <w:spacing w:after="0"/>
        <w:rPr>
          <w:rFonts w:cs="Arial"/>
        </w:rPr>
      </w:pPr>
    </w:p>
    <w:p w14:paraId="6D91FA34" w14:textId="77777777" w:rsidR="00702FF9" w:rsidRPr="005507A9" w:rsidRDefault="00702FF9" w:rsidP="00702FF9">
      <w:pPr>
        <w:spacing w:after="0"/>
        <w:rPr>
          <w:rFonts w:cs="Arial"/>
          <w:b/>
        </w:rPr>
      </w:pPr>
      <w:r w:rsidRPr="005507A9">
        <w:rPr>
          <w:rFonts w:cs="Arial"/>
          <w:b/>
        </w:rPr>
        <w:lastRenderedPageBreak/>
        <w:t>TEF officer</w:t>
      </w:r>
    </w:p>
    <w:p w14:paraId="1438A03E" w14:textId="77777777" w:rsidR="00702FF9" w:rsidRDefault="00702FF9" w:rsidP="00702FF9">
      <w:pPr>
        <w:spacing w:after="0"/>
        <w:rPr>
          <w:rFonts w:cs="Arial"/>
        </w:rPr>
      </w:pPr>
      <w:proofErr w:type="gramStart"/>
      <w:r w:rsidRPr="005507A9">
        <w:rPr>
          <w:rFonts w:cs="Arial"/>
        </w:rPr>
        <w:t>A member of staff from a delivery agency that facilitates the TEF assessment process.</w:t>
      </w:r>
      <w:proofErr w:type="gramEnd"/>
    </w:p>
    <w:p w14:paraId="5B682E08" w14:textId="77777777" w:rsidR="00702FF9" w:rsidRDefault="00702FF9" w:rsidP="00702FF9">
      <w:pPr>
        <w:spacing w:after="0"/>
        <w:rPr>
          <w:rFonts w:cs="Arial"/>
          <w:b/>
        </w:rPr>
      </w:pPr>
    </w:p>
    <w:p w14:paraId="46BADBFF" w14:textId="77777777" w:rsidR="00702FF9" w:rsidRPr="00FF428C" w:rsidRDefault="00702FF9" w:rsidP="00702FF9">
      <w:pPr>
        <w:spacing w:after="0"/>
        <w:rPr>
          <w:rFonts w:cs="Arial"/>
          <w:b/>
        </w:rPr>
      </w:pPr>
      <w:r>
        <w:rPr>
          <w:rFonts w:cs="Arial"/>
          <w:b/>
        </w:rPr>
        <w:t>TEF P</w:t>
      </w:r>
      <w:r w:rsidRPr="00FF428C">
        <w:rPr>
          <w:rFonts w:cs="Arial"/>
          <w:b/>
        </w:rPr>
        <w:t>anel</w:t>
      </w:r>
    </w:p>
    <w:p w14:paraId="09969F7B" w14:textId="77777777" w:rsidR="00702FF9" w:rsidRPr="00DE1054" w:rsidRDefault="00702FF9" w:rsidP="00702FF9">
      <w:pPr>
        <w:spacing w:after="0"/>
        <w:rPr>
          <w:rFonts w:cs="Arial"/>
        </w:rPr>
      </w:pPr>
      <w:r>
        <w:rPr>
          <w:rFonts w:cs="Arial"/>
        </w:rPr>
        <w:t>The TEF P</w:t>
      </w:r>
      <w:r w:rsidRPr="00D90A8D">
        <w:rPr>
          <w:rFonts w:cs="Arial"/>
        </w:rPr>
        <w:t>anel</w:t>
      </w:r>
      <w:r>
        <w:rPr>
          <w:rFonts w:cs="Arial"/>
        </w:rPr>
        <w:t xml:space="preserve"> is the decision making body for TEF assessments. It will be responsible for reviewing the decisions made by TEF assessors and confirming the final rating a provider will receive. </w:t>
      </w:r>
    </w:p>
    <w:p w14:paraId="7270DCFD" w14:textId="77777777" w:rsidR="00702FF9" w:rsidRDefault="00702FF9" w:rsidP="00702FF9">
      <w:pPr>
        <w:spacing w:after="0"/>
        <w:rPr>
          <w:rFonts w:cs="Arial"/>
          <w:b/>
        </w:rPr>
      </w:pPr>
    </w:p>
    <w:p w14:paraId="6EDAD5A9" w14:textId="77777777" w:rsidR="00702FF9" w:rsidRPr="00915A8A" w:rsidRDefault="00702FF9" w:rsidP="00702FF9">
      <w:pPr>
        <w:spacing w:after="0"/>
        <w:rPr>
          <w:rFonts w:cs="Arial"/>
          <w:b/>
        </w:rPr>
      </w:pPr>
      <w:r w:rsidRPr="00915A8A">
        <w:rPr>
          <w:rFonts w:cs="Arial"/>
          <w:b/>
        </w:rPr>
        <w:t xml:space="preserve">TEF </w:t>
      </w:r>
      <w:r>
        <w:rPr>
          <w:rFonts w:cs="Arial"/>
          <w:b/>
        </w:rPr>
        <w:t>ratings</w:t>
      </w:r>
    </w:p>
    <w:p w14:paraId="5C43A90E" w14:textId="77777777" w:rsidR="00702FF9" w:rsidRPr="00D90A8D" w:rsidRDefault="00702FF9" w:rsidP="00702FF9">
      <w:pPr>
        <w:spacing w:after="0"/>
        <w:rPr>
          <w:rFonts w:cs="Arial"/>
        </w:rPr>
      </w:pPr>
      <w:r>
        <w:rPr>
          <w:rFonts w:cs="Arial"/>
        </w:rPr>
        <w:t>A TEF rating is the level</w:t>
      </w:r>
      <w:r w:rsidRPr="00D90A8D">
        <w:rPr>
          <w:rFonts w:cs="Arial"/>
        </w:rPr>
        <w:t xml:space="preserve"> of excellence achieved </w:t>
      </w:r>
      <w:r>
        <w:rPr>
          <w:rFonts w:cs="Arial"/>
        </w:rPr>
        <w:t xml:space="preserve">by a provider </w:t>
      </w:r>
      <w:r w:rsidRPr="00D90A8D">
        <w:rPr>
          <w:rFonts w:cs="Arial"/>
        </w:rPr>
        <w:t xml:space="preserve">under the TEF. </w:t>
      </w:r>
      <w:r>
        <w:rPr>
          <w:rFonts w:cs="Arial"/>
        </w:rPr>
        <w:t>There are three possible ratings: Meets Expectations, Excellent and Outstanding.</w:t>
      </w:r>
    </w:p>
    <w:p w14:paraId="1CD7E779" w14:textId="77777777" w:rsidR="00702FF9" w:rsidRDefault="00702FF9" w:rsidP="00843F86"/>
    <w:p w14:paraId="3C0384C2" w14:textId="77777777" w:rsidR="00702FF9" w:rsidRDefault="00702FF9" w:rsidP="00843F86"/>
    <w:p w14:paraId="6E08CD22" w14:textId="77777777" w:rsidR="00702FF9" w:rsidRDefault="00702FF9" w:rsidP="00843F86"/>
    <w:p w14:paraId="62B27634" w14:textId="77777777" w:rsidR="00702FF9" w:rsidRDefault="00702FF9" w:rsidP="00843F86"/>
    <w:p w14:paraId="736D959C" w14:textId="77777777" w:rsidR="00702FF9" w:rsidRDefault="00702FF9" w:rsidP="00843F86"/>
    <w:p w14:paraId="4E117104" w14:textId="77777777" w:rsidR="00702FF9" w:rsidRDefault="00702FF9" w:rsidP="00843F86"/>
    <w:p w14:paraId="0E297D4C" w14:textId="77777777" w:rsidR="00702FF9" w:rsidRDefault="00702FF9" w:rsidP="00843F86"/>
    <w:p w14:paraId="68B89417" w14:textId="77777777" w:rsidR="00702FF9" w:rsidRDefault="00702FF9" w:rsidP="00843F86"/>
    <w:p w14:paraId="0C161B23" w14:textId="77777777" w:rsidR="00702FF9" w:rsidRDefault="00702FF9" w:rsidP="00843F86"/>
    <w:p w14:paraId="471BCCF4" w14:textId="77777777" w:rsidR="00702FF9" w:rsidRDefault="00702FF9" w:rsidP="00843F86"/>
    <w:p w14:paraId="1092922C" w14:textId="77777777" w:rsidR="00702FF9" w:rsidRDefault="00702FF9" w:rsidP="00843F86"/>
    <w:p w14:paraId="61FE5A2E" w14:textId="77777777" w:rsidR="00702FF9" w:rsidRDefault="00702FF9" w:rsidP="00843F86"/>
    <w:p w14:paraId="75D67963" w14:textId="77777777" w:rsidR="00702FF9" w:rsidRDefault="00702FF9" w:rsidP="00843F86"/>
    <w:p w14:paraId="3FFBD3A2" w14:textId="77777777" w:rsidR="00702FF9" w:rsidRDefault="00702FF9" w:rsidP="00843F86"/>
    <w:p w14:paraId="3AF2D3AE" w14:textId="77777777" w:rsidR="00702FF9" w:rsidRDefault="00702FF9" w:rsidP="00843F86"/>
    <w:p w14:paraId="10AF8E49" w14:textId="77777777" w:rsidR="00702FF9" w:rsidRDefault="00702FF9" w:rsidP="00843F86"/>
    <w:p w14:paraId="39F2325A" w14:textId="77777777" w:rsidR="00702FF9" w:rsidRDefault="00702FF9" w:rsidP="00843F86"/>
    <w:p w14:paraId="1B828A81" w14:textId="77777777" w:rsidR="00702FF9" w:rsidRDefault="00702FF9" w:rsidP="00843F86"/>
    <w:p w14:paraId="7A08283D" w14:textId="77777777" w:rsidR="00702FF9" w:rsidRDefault="00702FF9" w:rsidP="00843F86"/>
    <w:p w14:paraId="67B57164" w14:textId="77777777" w:rsidR="00702FF9" w:rsidRDefault="00702FF9" w:rsidP="00702FF9">
      <w:pPr>
        <w:pStyle w:val="Heading2"/>
        <w:ind w:hanging="142"/>
      </w:pPr>
      <w:bookmarkStart w:id="102" w:name="_Toc450148017"/>
      <w:bookmarkStart w:id="103" w:name="_Toc450886587"/>
      <w:r>
        <w:lastRenderedPageBreak/>
        <w:t>Annex B</w:t>
      </w:r>
      <w:r w:rsidRPr="00B10922">
        <w:t xml:space="preserve">: </w:t>
      </w:r>
      <w:r>
        <w:t>Provisional timetable for Year Two</w:t>
      </w:r>
      <w:bookmarkEnd w:id="102"/>
      <w:bookmarkEnd w:id="103"/>
      <w:r>
        <w:t xml:space="preserve"> </w:t>
      </w:r>
    </w:p>
    <w:p w14:paraId="36CC015D" w14:textId="77777777" w:rsidR="00702FF9" w:rsidRPr="00B873AB" w:rsidRDefault="00702FF9" w:rsidP="00702FF9">
      <w:pPr>
        <w:pStyle w:val="Heading3"/>
        <w:spacing w:after="0"/>
        <w:ind w:hanging="142"/>
      </w:pPr>
      <w:bookmarkStart w:id="104" w:name="_Toc450148018"/>
      <w:bookmarkStart w:id="105" w:name="_Toc450886588"/>
      <w:r>
        <w:t>Key dates for providers</w:t>
      </w:r>
      <w:bookmarkEnd w:id="104"/>
      <w:bookmarkEnd w:id="105"/>
    </w:p>
    <w:tbl>
      <w:tblPr>
        <w:tblStyle w:val="Table-lightbluegrid"/>
        <w:tblW w:w="4155" w:type="pct"/>
        <w:tblLayout w:type="fixed"/>
        <w:tblLook w:val="01E0" w:firstRow="1" w:lastRow="1" w:firstColumn="1" w:lastColumn="1" w:noHBand="0" w:noVBand="0"/>
      </w:tblPr>
      <w:tblGrid>
        <w:gridCol w:w="5778"/>
        <w:gridCol w:w="2411"/>
      </w:tblGrid>
      <w:tr w:rsidR="00702FF9" w:rsidRPr="0028755F" w14:paraId="23358528" w14:textId="77777777" w:rsidTr="00560CEF">
        <w:trPr>
          <w:cnfStyle w:val="100000000000" w:firstRow="1" w:lastRow="0" w:firstColumn="0" w:lastColumn="0" w:oddVBand="0" w:evenVBand="0" w:oddHBand="0" w:evenHBand="0" w:firstRowFirstColumn="0" w:firstRowLastColumn="0" w:lastRowFirstColumn="0" w:lastRowLastColumn="0"/>
          <w:trHeight w:val="166"/>
        </w:trPr>
        <w:tc>
          <w:tcPr>
            <w:tcW w:w="3528" w:type="pct"/>
          </w:tcPr>
          <w:p w14:paraId="4B5D262D" w14:textId="77777777" w:rsidR="00702FF9" w:rsidRPr="00471358" w:rsidRDefault="00702FF9" w:rsidP="00560CEF">
            <w:pPr>
              <w:pStyle w:val="Tabletitle-WhiteSmall"/>
              <w:rPr>
                <w:sz w:val="22"/>
                <w:szCs w:val="22"/>
              </w:rPr>
            </w:pPr>
            <w:r w:rsidRPr="00471358">
              <w:rPr>
                <w:sz w:val="22"/>
                <w:szCs w:val="22"/>
              </w:rPr>
              <w:t>Activity</w:t>
            </w:r>
          </w:p>
        </w:tc>
        <w:tc>
          <w:tcPr>
            <w:tcW w:w="1472" w:type="pct"/>
          </w:tcPr>
          <w:p w14:paraId="4F8E5A92" w14:textId="77777777" w:rsidR="00702FF9" w:rsidRPr="00471358" w:rsidRDefault="00702FF9" w:rsidP="00560CEF">
            <w:pPr>
              <w:pStyle w:val="Tabletitle-WhiteSmall"/>
              <w:rPr>
                <w:sz w:val="22"/>
                <w:szCs w:val="22"/>
              </w:rPr>
            </w:pPr>
            <w:r w:rsidRPr="00471358">
              <w:rPr>
                <w:sz w:val="22"/>
                <w:szCs w:val="22"/>
              </w:rPr>
              <w:t>Date</w:t>
            </w:r>
          </w:p>
        </w:tc>
      </w:tr>
      <w:tr w:rsidR="00702FF9" w:rsidRPr="00015C4E" w14:paraId="3950A5B1" w14:textId="77777777" w:rsidTr="00560CEF">
        <w:trPr>
          <w:trHeight w:val="342"/>
        </w:trPr>
        <w:tc>
          <w:tcPr>
            <w:tcW w:w="3528" w:type="pct"/>
          </w:tcPr>
          <w:p w14:paraId="57421B82" w14:textId="77777777" w:rsidR="00702FF9" w:rsidRPr="00471358" w:rsidRDefault="00702FF9" w:rsidP="00560CEF">
            <w:pPr>
              <w:pStyle w:val="Tabletext-Small"/>
              <w:rPr>
                <w:sz w:val="22"/>
                <w:szCs w:val="22"/>
              </w:rPr>
            </w:pPr>
            <w:r w:rsidRPr="00471358">
              <w:rPr>
                <w:rFonts w:cs="Arial"/>
                <w:color w:val="000000"/>
                <w:sz w:val="22"/>
                <w:szCs w:val="22"/>
              </w:rPr>
              <w:t>Technical consultation opens</w:t>
            </w:r>
          </w:p>
        </w:tc>
        <w:tc>
          <w:tcPr>
            <w:tcW w:w="1472" w:type="pct"/>
          </w:tcPr>
          <w:p w14:paraId="1E262B1C" w14:textId="77777777" w:rsidR="00702FF9" w:rsidRPr="00471358" w:rsidRDefault="00702FF9" w:rsidP="00560CEF">
            <w:pPr>
              <w:pStyle w:val="Tabletext-Small"/>
              <w:jc w:val="both"/>
              <w:rPr>
                <w:sz w:val="22"/>
                <w:szCs w:val="22"/>
              </w:rPr>
            </w:pPr>
            <w:r w:rsidRPr="00471358">
              <w:rPr>
                <w:rFonts w:cs="Arial"/>
                <w:sz w:val="22"/>
                <w:szCs w:val="22"/>
              </w:rPr>
              <w:t>May 2016</w:t>
            </w:r>
          </w:p>
        </w:tc>
      </w:tr>
      <w:tr w:rsidR="00702FF9" w:rsidRPr="00015C4E" w14:paraId="27A9AC44" w14:textId="77777777" w:rsidTr="00560CEF">
        <w:trPr>
          <w:trHeight w:val="342"/>
        </w:trPr>
        <w:tc>
          <w:tcPr>
            <w:tcW w:w="3528" w:type="pct"/>
          </w:tcPr>
          <w:p w14:paraId="65F14CF1" w14:textId="77777777" w:rsidR="00702FF9" w:rsidRPr="00471358" w:rsidRDefault="00702FF9" w:rsidP="00560CEF">
            <w:pPr>
              <w:spacing w:after="0"/>
              <w:ind w:left="142"/>
              <w:rPr>
                <w:rFonts w:cs="Arial"/>
                <w:color w:val="000000"/>
                <w:sz w:val="22"/>
                <w:szCs w:val="22"/>
              </w:rPr>
            </w:pPr>
            <w:r w:rsidRPr="00471358">
              <w:rPr>
                <w:rFonts w:cs="Arial"/>
                <w:color w:val="000000"/>
                <w:sz w:val="22"/>
                <w:szCs w:val="22"/>
              </w:rPr>
              <w:t xml:space="preserve">Providers are invited to nominate key contact </w:t>
            </w:r>
          </w:p>
        </w:tc>
        <w:tc>
          <w:tcPr>
            <w:tcW w:w="1472" w:type="pct"/>
          </w:tcPr>
          <w:p w14:paraId="7521AAFD" w14:textId="77777777" w:rsidR="00702FF9" w:rsidRPr="00471358" w:rsidRDefault="00702FF9" w:rsidP="00560CEF">
            <w:pPr>
              <w:pStyle w:val="Tabletext-Small"/>
              <w:jc w:val="both"/>
              <w:rPr>
                <w:sz w:val="22"/>
                <w:szCs w:val="22"/>
              </w:rPr>
            </w:pPr>
            <w:r w:rsidRPr="00471358">
              <w:rPr>
                <w:rFonts w:cs="Arial"/>
                <w:sz w:val="22"/>
                <w:szCs w:val="22"/>
              </w:rPr>
              <w:t>May 2016</w:t>
            </w:r>
          </w:p>
        </w:tc>
      </w:tr>
      <w:tr w:rsidR="00702FF9" w:rsidRPr="00015C4E" w14:paraId="57BA4A76" w14:textId="77777777" w:rsidTr="00560CEF">
        <w:trPr>
          <w:trHeight w:val="342"/>
        </w:trPr>
        <w:tc>
          <w:tcPr>
            <w:tcW w:w="3528" w:type="pct"/>
          </w:tcPr>
          <w:p w14:paraId="33426606" w14:textId="77777777" w:rsidR="00702FF9" w:rsidRPr="00471358" w:rsidRDefault="00702FF9" w:rsidP="00560CEF">
            <w:pPr>
              <w:pStyle w:val="Tabletext-Small"/>
              <w:rPr>
                <w:sz w:val="22"/>
                <w:szCs w:val="22"/>
              </w:rPr>
            </w:pPr>
            <w:r w:rsidRPr="00471358">
              <w:rPr>
                <w:rFonts w:cs="Arial"/>
                <w:color w:val="000000"/>
                <w:sz w:val="22"/>
                <w:szCs w:val="22"/>
              </w:rPr>
              <w:t>Technical consultation closes</w:t>
            </w:r>
          </w:p>
        </w:tc>
        <w:tc>
          <w:tcPr>
            <w:tcW w:w="1472" w:type="pct"/>
          </w:tcPr>
          <w:p w14:paraId="1550CC4C" w14:textId="77777777" w:rsidR="00702FF9" w:rsidRPr="00471358" w:rsidRDefault="00702FF9" w:rsidP="00560CEF">
            <w:pPr>
              <w:pStyle w:val="Tabletext-Small"/>
              <w:jc w:val="both"/>
              <w:rPr>
                <w:sz w:val="22"/>
                <w:szCs w:val="22"/>
              </w:rPr>
            </w:pPr>
            <w:r w:rsidRPr="00471358">
              <w:rPr>
                <w:rFonts w:cs="Arial"/>
                <w:sz w:val="22"/>
                <w:szCs w:val="22"/>
              </w:rPr>
              <w:t>July 2016</w:t>
            </w:r>
          </w:p>
        </w:tc>
      </w:tr>
      <w:tr w:rsidR="00702FF9" w:rsidRPr="00015C4E" w14:paraId="2CDD2A4B" w14:textId="77777777" w:rsidTr="00560CEF">
        <w:trPr>
          <w:trHeight w:val="342"/>
        </w:trPr>
        <w:tc>
          <w:tcPr>
            <w:tcW w:w="3528" w:type="pct"/>
          </w:tcPr>
          <w:p w14:paraId="20C77C51" w14:textId="77777777" w:rsidR="00702FF9" w:rsidRPr="00471358" w:rsidRDefault="00702FF9" w:rsidP="00560CEF">
            <w:pPr>
              <w:pStyle w:val="Tabletext-Small"/>
              <w:rPr>
                <w:sz w:val="22"/>
                <w:szCs w:val="22"/>
              </w:rPr>
            </w:pPr>
            <w:r w:rsidRPr="00471358">
              <w:rPr>
                <w:rFonts w:cs="Arial"/>
                <w:color w:val="000000"/>
                <w:sz w:val="22"/>
                <w:szCs w:val="22"/>
              </w:rPr>
              <w:t>Providers are invited to submit an initial expression of interest in applying</w:t>
            </w:r>
          </w:p>
        </w:tc>
        <w:tc>
          <w:tcPr>
            <w:tcW w:w="1472" w:type="pct"/>
          </w:tcPr>
          <w:p w14:paraId="1FF8F509" w14:textId="77777777" w:rsidR="00702FF9" w:rsidRPr="00471358" w:rsidRDefault="00702FF9" w:rsidP="00560CEF">
            <w:pPr>
              <w:pStyle w:val="Tabletext-Small"/>
              <w:jc w:val="both"/>
              <w:rPr>
                <w:sz w:val="22"/>
                <w:szCs w:val="22"/>
              </w:rPr>
            </w:pPr>
            <w:r w:rsidRPr="00471358">
              <w:rPr>
                <w:rFonts w:cs="Arial"/>
                <w:sz w:val="22"/>
                <w:szCs w:val="22"/>
              </w:rPr>
              <w:t>July 2016</w:t>
            </w:r>
          </w:p>
        </w:tc>
      </w:tr>
      <w:tr w:rsidR="00702FF9" w:rsidRPr="00015C4E" w14:paraId="1A3C1596" w14:textId="77777777" w:rsidTr="00560CEF">
        <w:trPr>
          <w:trHeight w:val="342"/>
        </w:trPr>
        <w:tc>
          <w:tcPr>
            <w:tcW w:w="3528" w:type="pct"/>
          </w:tcPr>
          <w:p w14:paraId="3BAC58C9" w14:textId="77777777" w:rsidR="00702FF9" w:rsidRPr="00471358" w:rsidRDefault="00702FF9" w:rsidP="00560CEF">
            <w:pPr>
              <w:pStyle w:val="Tabletext-Small"/>
              <w:rPr>
                <w:sz w:val="22"/>
                <w:szCs w:val="22"/>
              </w:rPr>
            </w:pPr>
            <w:r w:rsidRPr="00471358">
              <w:rPr>
                <w:rFonts w:cs="Arial"/>
                <w:color w:val="000000"/>
                <w:sz w:val="22"/>
                <w:szCs w:val="22"/>
              </w:rPr>
              <w:t>Response to technical consultation is published</w:t>
            </w:r>
          </w:p>
        </w:tc>
        <w:tc>
          <w:tcPr>
            <w:tcW w:w="1472" w:type="pct"/>
          </w:tcPr>
          <w:p w14:paraId="5DD6F32E" w14:textId="77777777" w:rsidR="00702FF9" w:rsidRPr="00471358" w:rsidRDefault="00702FF9" w:rsidP="00560CEF">
            <w:pPr>
              <w:pStyle w:val="Tabletext-Small"/>
              <w:jc w:val="both"/>
              <w:rPr>
                <w:sz w:val="22"/>
                <w:szCs w:val="22"/>
              </w:rPr>
            </w:pPr>
            <w:r w:rsidRPr="00471358">
              <w:rPr>
                <w:rFonts w:cs="Arial"/>
                <w:sz w:val="22"/>
                <w:szCs w:val="22"/>
              </w:rPr>
              <w:t>Sept 2016</w:t>
            </w:r>
          </w:p>
        </w:tc>
      </w:tr>
      <w:tr w:rsidR="00702FF9" w:rsidRPr="00015C4E" w14:paraId="3F05F144" w14:textId="77777777" w:rsidTr="00560CEF">
        <w:trPr>
          <w:trHeight w:val="342"/>
        </w:trPr>
        <w:tc>
          <w:tcPr>
            <w:tcW w:w="3528" w:type="pct"/>
          </w:tcPr>
          <w:p w14:paraId="0E14E839" w14:textId="77777777" w:rsidR="00702FF9" w:rsidRPr="00471358" w:rsidRDefault="00702FF9" w:rsidP="00560CEF">
            <w:pPr>
              <w:spacing w:after="0"/>
              <w:ind w:left="142"/>
              <w:rPr>
                <w:rFonts w:cs="Arial"/>
                <w:color w:val="000000"/>
                <w:sz w:val="22"/>
                <w:szCs w:val="22"/>
              </w:rPr>
            </w:pPr>
            <w:r w:rsidRPr="00471358">
              <w:rPr>
                <w:rFonts w:cs="Arial"/>
                <w:color w:val="000000"/>
                <w:sz w:val="22"/>
                <w:szCs w:val="22"/>
              </w:rPr>
              <w:t>Technical guidance for providers is published</w:t>
            </w:r>
          </w:p>
          <w:p w14:paraId="531D862F" w14:textId="77777777" w:rsidR="00702FF9" w:rsidRPr="00471358" w:rsidRDefault="00702FF9" w:rsidP="00560CEF">
            <w:pPr>
              <w:spacing w:after="0"/>
              <w:ind w:left="142"/>
              <w:rPr>
                <w:rFonts w:cs="Arial"/>
                <w:color w:val="000000"/>
                <w:sz w:val="22"/>
                <w:szCs w:val="22"/>
              </w:rPr>
            </w:pPr>
          </w:p>
          <w:p w14:paraId="2EB18ABF" w14:textId="77777777" w:rsidR="00702FF9" w:rsidRPr="00471358" w:rsidRDefault="00702FF9" w:rsidP="00560CEF">
            <w:pPr>
              <w:spacing w:after="0"/>
              <w:ind w:left="142"/>
              <w:rPr>
                <w:rFonts w:cs="Arial"/>
                <w:color w:val="000000"/>
                <w:sz w:val="22"/>
                <w:szCs w:val="22"/>
              </w:rPr>
            </w:pPr>
            <w:r w:rsidRPr="00471358">
              <w:rPr>
                <w:rFonts w:cs="Arial"/>
                <w:color w:val="000000"/>
                <w:sz w:val="22"/>
                <w:szCs w:val="22"/>
              </w:rPr>
              <w:t>Providers’ core metrics are made available for them to preview</w:t>
            </w:r>
          </w:p>
          <w:p w14:paraId="6C249AC6" w14:textId="77777777" w:rsidR="00702FF9" w:rsidRPr="00471358" w:rsidRDefault="00702FF9" w:rsidP="00560CEF">
            <w:pPr>
              <w:spacing w:after="0"/>
              <w:rPr>
                <w:rFonts w:cs="Arial"/>
                <w:color w:val="000000"/>
                <w:sz w:val="22"/>
                <w:szCs w:val="22"/>
              </w:rPr>
            </w:pPr>
          </w:p>
          <w:p w14:paraId="53529284" w14:textId="77777777" w:rsidR="00702FF9" w:rsidRPr="00471358" w:rsidRDefault="00702FF9" w:rsidP="00560CEF">
            <w:pPr>
              <w:pStyle w:val="Tabletext-Small"/>
              <w:rPr>
                <w:sz w:val="22"/>
                <w:szCs w:val="22"/>
              </w:rPr>
            </w:pPr>
            <w:r w:rsidRPr="00471358">
              <w:rPr>
                <w:rFonts w:cs="Arial"/>
                <w:color w:val="000000"/>
                <w:sz w:val="22"/>
                <w:szCs w:val="22"/>
              </w:rPr>
              <w:t>Applications window opens</w:t>
            </w:r>
          </w:p>
        </w:tc>
        <w:tc>
          <w:tcPr>
            <w:tcW w:w="1472" w:type="pct"/>
          </w:tcPr>
          <w:p w14:paraId="21CBC412" w14:textId="77777777" w:rsidR="00702FF9" w:rsidRPr="00471358" w:rsidRDefault="00702FF9" w:rsidP="00560CEF">
            <w:pPr>
              <w:spacing w:after="0"/>
              <w:ind w:left="113"/>
              <w:jc w:val="both"/>
              <w:rPr>
                <w:rFonts w:cs="Arial"/>
                <w:sz w:val="22"/>
                <w:szCs w:val="22"/>
              </w:rPr>
            </w:pPr>
            <w:r w:rsidRPr="00471358">
              <w:rPr>
                <w:rFonts w:cs="Arial"/>
                <w:sz w:val="22"/>
                <w:szCs w:val="22"/>
              </w:rPr>
              <w:t>Mid-Oct 2016</w:t>
            </w:r>
          </w:p>
          <w:p w14:paraId="212DB285" w14:textId="77777777" w:rsidR="00702FF9" w:rsidRPr="00471358" w:rsidRDefault="00702FF9" w:rsidP="00560CEF">
            <w:pPr>
              <w:spacing w:after="0"/>
              <w:ind w:left="113"/>
              <w:jc w:val="both"/>
              <w:rPr>
                <w:rFonts w:cs="Arial"/>
                <w:sz w:val="22"/>
                <w:szCs w:val="22"/>
              </w:rPr>
            </w:pPr>
          </w:p>
          <w:p w14:paraId="712652D5" w14:textId="77777777" w:rsidR="00702FF9" w:rsidRPr="00471358" w:rsidRDefault="00702FF9" w:rsidP="00560CEF">
            <w:pPr>
              <w:spacing w:after="0"/>
              <w:ind w:left="113"/>
              <w:jc w:val="both"/>
              <w:rPr>
                <w:rFonts w:cs="Arial"/>
                <w:sz w:val="22"/>
                <w:szCs w:val="22"/>
              </w:rPr>
            </w:pPr>
            <w:r w:rsidRPr="00471358">
              <w:rPr>
                <w:rFonts w:cs="Arial"/>
                <w:sz w:val="22"/>
                <w:szCs w:val="22"/>
              </w:rPr>
              <w:t>Mid-Oct 2016</w:t>
            </w:r>
          </w:p>
          <w:p w14:paraId="6644B042" w14:textId="77777777" w:rsidR="00702FF9" w:rsidRPr="00471358" w:rsidRDefault="00702FF9" w:rsidP="00560CEF">
            <w:pPr>
              <w:spacing w:after="0"/>
              <w:ind w:left="113"/>
              <w:jc w:val="both"/>
              <w:rPr>
                <w:rFonts w:cs="Arial"/>
                <w:sz w:val="22"/>
                <w:szCs w:val="22"/>
              </w:rPr>
            </w:pPr>
          </w:p>
          <w:p w14:paraId="742ACFFB" w14:textId="77777777" w:rsidR="00702FF9" w:rsidRPr="00471358" w:rsidRDefault="00702FF9" w:rsidP="00560CEF">
            <w:pPr>
              <w:spacing w:after="0"/>
              <w:ind w:left="113"/>
              <w:jc w:val="both"/>
              <w:rPr>
                <w:rFonts w:cs="Arial"/>
                <w:sz w:val="22"/>
                <w:szCs w:val="22"/>
              </w:rPr>
            </w:pPr>
          </w:p>
          <w:p w14:paraId="2979C1A0" w14:textId="77777777" w:rsidR="00702FF9" w:rsidRPr="00471358" w:rsidRDefault="00702FF9" w:rsidP="00560CEF">
            <w:pPr>
              <w:pStyle w:val="Tabletext-Small"/>
              <w:jc w:val="both"/>
              <w:rPr>
                <w:sz w:val="22"/>
                <w:szCs w:val="22"/>
              </w:rPr>
            </w:pPr>
            <w:r w:rsidRPr="00471358">
              <w:rPr>
                <w:rFonts w:cs="Arial"/>
                <w:sz w:val="22"/>
                <w:szCs w:val="22"/>
              </w:rPr>
              <w:t>Mid-Oct 2016</w:t>
            </w:r>
          </w:p>
        </w:tc>
      </w:tr>
      <w:tr w:rsidR="00702FF9" w:rsidRPr="00015C4E" w14:paraId="7252293C" w14:textId="77777777" w:rsidTr="00560CEF">
        <w:trPr>
          <w:trHeight w:val="342"/>
        </w:trPr>
        <w:tc>
          <w:tcPr>
            <w:tcW w:w="3528" w:type="pct"/>
          </w:tcPr>
          <w:p w14:paraId="620584E2" w14:textId="77777777" w:rsidR="00702FF9" w:rsidRPr="00471358" w:rsidRDefault="00702FF9" w:rsidP="00560CEF">
            <w:pPr>
              <w:pStyle w:val="Tabletext-Small"/>
              <w:rPr>
                <w:sz w:val="22"/>
                <w:szCs w:val="22"/>
              </w:rPr>
            </w:pPr>
            <w:r w:rsidRPr="00471358">
              <w:rPr>
                <w:rFonts w:cs="Arial"/>
                <w:color w:val="000000"/>
                <w:sz w:val="22"/>
                <w:szCs w:val="22"/>
              </w:rPr>
              <w:t>Provider briefing events</w:t>
            </w:r>
          </w:p>
        </w:tc>
        <w:tc>
          <w:tcPr>
            <w:tcW w:w="1472" w:type="pct"/>
          </w:tcPr>
          <w:p w14:paraId="08C7C160" w14:textId="77777777" w:rsidR="00702FF9" w:rsidRPr="00471358" w:rsidRDefault="00702FF9" w:rsidP="00560CEF">
            <w:pPr>
              <w:pStyle w:val="Tabletext-Small"/>
              <w:jc w:val="both"/>
              <w:rPr>
                <w:sz w:val="22"/>
                <w:szCs w:val="22"/>
              </w:rPr>
            </w:pPr>
            <w:r w:rsidRPr="00471358">
              <w:rPr>
                <w:rFonts w:cs="Arial"/>
                <w:sz w:val="22"/>
                <w:szCs w:val="22"/>
              </w:rPr>
              <w:t>Mid-late Oct 2016</w:t>
            </w:r>
          </w:p>
        </w:tc>
      </w:tr>
      <w:tr w:rsidR="00702FF9" w:rsidRPr="00015C4E" w14:paraId="17D920DC" w14:textId="77777777" w:rsidTr="00560CEF">
        <w:trPr>
          <w:trHeight w:val="342"/>
        </w:trPr>
        <w:tc>
          <w:tcPr>
            <w:tcW w:w="3528" w:type="pct"/>
          </w:tcPr>
          <w:p w14:paraId="5504C6D3" w14:textId="77777777" w:rsidR="00702FF9" w:rsidRPr="00471358" w:rsidRDefault="00702FF9" w:rsidP="00560CEF">
            <w:pPr>
              <w:pStyle w:val="Tabletext-Small"/>
              <w:rPr>
                <w:sz w:val="22"/>
                <w:szCs w:val="22"/>
              </w:rPr>
            </w:pPr>
            <w:r w:rsidRPr="00471358">
              <w:rPr>
                <w:rFonts w:cs="Arial"/>
                <w:color w:val="000000"/>
                <w:sz w:val="22"/>
                <w:szCs w:val="22"/>
              </w:rPr>
              <w:t>Deadline for completing any requested amendments to providers’ core metrics</w:t>
            </w:r>
          </w:p>
        </w:tc>
        <w:tc>
          <w:tcPr>
            <w:tcW w:w="1472" w:type="pct"/>
          </w:tcPr>
          <w:p w14:paraId="334C7960" w14:textId="77777777" w:rsidR="00702FF9" w:rsidRPr="00471358" w:rsidRDefault="00702FF9" w:rsidP="00560CEF">
            <w:pPr>
              <w:pStyle w:val="Tabletext-Small"/>
              <w:jc w:val="both"/>
              <w:rPr>
                <w:sz w:val="22"/>
                <w:szCs w:val="22"/>
              </w:rPr>
            </w:pPr>
            <w:r w:rsidRPr="00471358">
              <w:rPr>
                <w:rFonts w:cs="Arial"/>
                <w:sz w:val="22"/>
                <w:szCs w:val="22"/>
              </w:rPr>
              <w:t>Late Nov 2016</w:t>
            </w:r>
          </w:p>
        </w:tc>
      </w:tr>
      <w:tr w:rsidR="00702FF9" w:rsidRPr="00015C4E" w14:paraId="2404AE8E" w14:textId="77777777" w:rsidTr="00560CEF">
        <w:trPr>
          <w:trHeight w:val="342"/>
        </w:trPr>
        <w:tc>
          <w:tcPr>
            <w:tcW w:w="3528" w:type="pct"/>
          </w:tcPr>
          <w:p w14:paraId="7FCE483F" w14:textId="77777777" w:rsidR="00702FF9" w:rsidRPr="00471358" w:rsidRDefault="00702FF9" w:rsidP="00560CEF">
            <w:pPr>
              <w:pStyle w:val="Tabletext-Small"/>
              <w:rPr>
                <w:sz w:val="22"/>
                <w:szCs w:val="22"/>
              </w:rPr>
            </w:pPr>
            <w:r>
              <w:rPr>
                <w:rFonts w:cs="Arial"/>
                <w:color w:val="000000"/>
                <w:sz w:val="22"/>
                <w:szCs w:val="22"/>
              </w:rPr>
              <w:t>Application window</w:t>
            </w:r>
            <w:r w:rsidRPr="00471358">
              <w:rPr>
                <w:rFonts w:cs="Arial"/>
                <w:color w:val="000000"/>
                <w:sz w:val="22"/>
                <w:szCs w:val="22"/>
              </w:rPr>
              <w:t xml:space="preserve"> closes</w:t>
            </w:r>
          </w:p>
        </w:tc>
        <w:tc>
          <w:tcPr>
            <w:tcW w:w="1472" w:type="pct"/>
          </w:tcPr>
          <w:p w14:paraId="27B69F29" w14:textId="77777777" w:rsidR="00702FF9" w:rsidRPr="00471358" w:rsidRDefault="00702FF9" w:rsidP="00560CEF">
            <w:pPr>
              <w:spacing w:after="0"/>
              <w:ind w:left="113"/>
              <w:jc w:val="both"/>
              <w:rPr>
                <w:rFonts w:cs="Arial"/>
                <w:sz w:val="22"/>
                <w:szCs w:val="22"/>
              </w:rPr>
            </w:pPr>
            <w:r w:rsidRPr="00471358">
              <w:rPr>
                <w:rFonts w:cs="Arial"/>
                <w:sz w:val="22"/>
                <w:szCs w:val="22"/>
              </w:rPr>
              <w:t>Dec 2016</w:t>
            </w:r>
          </w:p>
        </w:tc>
      </w:tr>
      <w:tr w:rsidR="00702FF9" w:rsidRPr="00015C4E" w14:paraId="7343B05C" w14:textId="77777777" w:rsidTr="00560CEF">
        <w:trPr>
          <w:trHeight w:val="342"/>
        </w:trPr>
        <w:tc>
          <w:tcPr>
            <w:tcW w:w="3528" w:type="pct"/>
          </w:tcPr>
          <w:p w14:paraId="62A93C13" w14:textId="77777777" w:rsidR="00702FF9" w:rsidRPr="00471358" w:rsidRDefault="00702FF9" w:rsidP="00560CEF">
            <w:pPr>
              <w:pStyle w:val="Tabletext-Small"/>
              <w:rPr>
                <w:sz w:val="22"/>
                <w:szCs w:val="22"/>
              </w:rPr>
            </w:pPr>
            <w:r w:rsidRPr="00471358">
              <w:rPr>
                <w:rFonts w:cs="Arial"/>
                <w:color w:val="000000"/>
                <w:sz w:val="22"/>
                <w:szCs w:val="22"/>
              </w:rPr>
              <w:t>Assessment takes place</w:t>
            </w:r>
          </w:p>
        </w:tc>
        <w:tc>
          <w:tcPr>
            <w:tcW w:w="1472" w:type="pct"/>
          </w:tcPr>
          <w:p w14:paraId="1172917A" w14:textId="77777777" w:rsidR="00702FF9" w:rsidRPr="00471358" w:rsidRDefault="00702FF9" w:rsidP="00560CEF">
            <w:pPr>
              <w:pStyle w:val="Tabletext-Small"/>
              <w:jc w:val="both"/>
              <w:rPr>
                <w:sz w:val="22"/>
                <w:szCs w:val="22"/>
              </w:rPr>
            </w:pPr>
            <w:r w:rsidRPr="00471358">
              <w:rPr>
                <w:rFonts w:cs="Arial"/>
                <w:sz w:val="22"/>
                <w:szCs w:val="22"/>
              </w:rPr>
              <w:t>Jan-March 2017</w:t>
            </w:r>
          </w:p>
        </w:tc>
      </w:tr>
      <w:tr w:rsidR="00702FF9" w:rsidRPr="00015C4E" w14:paraId="6FA16BEF" w14:textId="77777777" w:rsidTr="00560CEF">
        <w:trPr>
          <w:trHeight w:val="342"/>
        </w:trPr>
        <w:tc>
          <w:tcPr>
            <w:tcW w:w="3528" w:type="pct"/>
          </w:tcPr>
          <w:p w14:paraId="06D1BEB9" w14:textId="77777777" w:rsidR="00702FF9" w:rsidRPr="00471358" w:rsidRDefault="00702FF9" w:rsidP="00560CEF">
            <w:pPr>
              <w:pStyle w:val="Tabletext-Small"/>
              <w:rPr>
                <w:sz w:val="22"/>
                <w:szCs w:val="22"/>
              </w:rPr>
            </w:pPr>
            <w:r w:rsidRPr="00471358">
              <w:rPr>
                <w:rFonts w:cs="Arial"/>
                <w:color w:val="000000"/>
                <w:sz w:val="22"/>
                <w:szCs w:val="22"/>
              </w:rPr>
              <w:t>TEF ratings are announced</w:t>
            </w:r>
          </w:p>
        </w:tc>
        <w:tc>
          <w:tcPr>
            <w:tcW w:w="1472" w:type="pct"/>
          </w:tcPr>
          <w:p w14:paraId="378E7814" w14:textId="77777777" w:rsidR="00702FF9" w:rsidRPr="00471358" w:rsidRDefault="00702FF9" w:rsidP="00560CEF">
            <w:pPr>
              <w:pStyle w:val="Tabletext-Small"/>
              <w:jc w:val="both"/>
              <w:rPr>
                <w:sz w:val="22"/>
                <w:szCs w:val="22"/>
              </w:rPr>
            </w:pPr>
            <w:r w:rsidRPr="00471358">
              <w:rPr>
                <w:rFonts w:cs="Arial"/>
                <w:sz w:val="22"/>
                <w:szCs w:val="22"/>
              </w:rPr>
              <w:t>April 2017</w:t>
            </w:r>
          </w:p>
        </w:tc>
      </w:tr>
      <w:tr w:rsidR="00FB28A5" w:rsidRPr="00015C4E" w14:paraId="5A1FF3E0" w14:textId="77777777" w:rsidTr="00560CEF">
        <w:trPr>
          <w:trHeight w:val="342"/>
        </w:trPr>
        <w:tc>
          <w:tcPr>
            <w:tcW w:w="3528" w:type="pct"/>
          </w:tcPr>
          <w:p w14:paraId="637ABA70" w14:textId="16DBB391" w:rsidR="00FB28A5" w:rsidRPr="00471358" w:rsidRDefault="00FB28A5" w:rsidP="00560CEF">
            <w:pPr>
              <w:pStyle w:val="Tabletext-Small"/>
              <w:rPr>
                <w:rFonts w:cs="Arial"/>
                <w:color w:val="000000"/>
                <w:sz w:val="22"/>
                <w:szCs w:val="22"/>
              </w:rPr>
            </w:pPr>
            <w:r>
              <w:rPr>
                <w:rFonts w:cs="Arial"/>
                <w:color w:val="000000"/>
                <w:sz w:val="22"/>
                <w:szCs w:val="22"/>
              </w:rPr>
              <w:t>Lessons-learned exercise</w:t>
            </w:r>
          </w:p>
        </w:tc>
        <w:tc>
          <w:tcPr>
            <w:tcW w:w="1472" w:type="pct"/>
          </w:tcPr>
          <w:p w14:paraId="764F453C" w14:textId="3014133E" w:rsidR="00FB28A5" w:rsidRPr="00471358" w:rsidRDefault="00FB28A5" w:rsidP="00560CEF">
            <w:pPr>
              <w:pStyle w:val="Tabletext-Small"/>
              <w:jc w:val="both"/>
              <w:rPr>
                <w:rFonts w:cs="Arial"/>
                <w:sz w:val="22"/>
                <w:szCs w:val="22"/>
              </w:rPr>
            </w:pPr>
            <w:r>
              <w:rPr>
                <w:rFonts w:cs="Arial"/>
                <w:sz w:val="22"/>
                <w:szCs w:val="22"/>
              </w:rPr>
              <w:t>May –June 2017</w:t>
            </w:r>
          </w:p>
        </w:tc>
      </w:tr>
    </w:tbl>
    <w:p w14:paraId="5D41BFB1" w14:textId="77777777" w:rsidR="00702FF9" w:rsidRDefault="00702FF9" w:rsidP="00702FF9"/>
    <w:p w14:paraId="3E63CB02" w14:textId="77777777" w:rsidR="00702FF9" w:rsidRDefault="00702FF9" w:rsidP="00702FF9"/>
    <w:p w14:paraId="156FE02C" w14:textId="77777777" w:rsidR="00702FF9" w:rsidRDefault="00702FF9" w:rsidP="00702FF9"/>
    <w:p w14:paraId="7FF7C6A8" w14:textId="77777777" w:rsidR="00702FF9" w:rsidRDefault="00702FF9" w:rsidP="00702FF9"/>
    <w:p w14:paraId="5F8D1098" w14:textId="77777777" w:rsidR="00702FF9" w:rsidRDefault="00702FF9" w:rsidP="00702FF9"/>
    <w:p w14:paraId="41C270E8" w14:textId="77777777" w:rsidR="00702FF9" w:rsidRDefault="00702FF9" w:rsidP="00702FF9"/>
    <w:p w14:paraId="5B725E61" w14:textId="77777777" w:rsidR="00702FF9" w:rsidRDefault="00702FF9" w:rsidP="00702FF9"/>
    <w:p w14:paraId="4D9B90DF" w14:textId="77777777" w:rsidR="00702FF9" w:rsidRDefault="00702FF9" w:rsidP="00702FF9"/>
    <w:p w14:paraId="6411887C" w14:textId="77777777" w:rsidR="00702FF9" w:rsidRDefault="00702FF9" w:rsidP="00702FF9">
      <w:pPr>
        <w:pStyle w:val="Heading3"/>
        <w:spacing w:after="0"/>
        <w:ind w:hanging="142"/>
      </w:pPr>
      <w:bookmarkStart w:id="106" w:name="_Toc450148019"/>
      <w:bookmarkStart w:id="107" w:name="_Toc450886589"/>
      <w:r>
        <w:lastRenderedPageBreak/>
        <w:t>Key dates for appointment of TEF assessors and TEF Panel</w:t>
      </w:r>
      <w:bookmarkEnd w:id="106"/>
      <w:bookmarkEnd w:id="107"/>
    </w:p>
    <w:tbl>
      <w:tblPr>
        <w:tblStyle w:val="Table-lightbluegrid"/>
        <w:tblW w:w="4155" w:type="pct"/>
        <w:tblLayout w:type="fixed"/>
        <w:tblLook w:val="01E0" w:firstRow="1" w:lastRow="1" w:firstColumn="1" w:lastColumn="1" w:noHBand="0" w:noVBand="0"/>
      </w:tblPr>
      <w:tblGrid>
        <w:gridCol w:w="5778"/>
        <w:gridCol w:w="2411"/>
      </w:tblGrid>
      <w:tr w:rsidR="00702FF9" w:rsidRPr="0028755F" w14:paraId="4E4DC267" w14:textId="77777777" w:rsidTr="00560CEF">
        <w:trPr>
          <w:cnfStyle w:val="100000000000" w:firstRow="1" w:lastRow="0" w:firstColumn="0" w:lastColumn="0" w:oddVBand="0" w:evenVBand="0" w:oddHBand="0" w:evenHBand="0" w:firstRowFirstColumn="0" w:firstRowLastColumn="0" w:lastRowFirstColumn="0" w:lastRowLastColumn="0"/>
          <w:trHeight w:val="166"/>
        </w:trPr>
        <w:tc>
          <w:tcPr>
            <w:tcW w:w="3528" w:type="pct"/>
          </w:tcPr>
          <w:p w14:paraId="0FADF636" w14:textId="77777777" w:rsidR="00702FF9" w:rsidRPr="00536E13" w:rsidRDefault="00702FF9" w:rsidP="00560CEF">
            <w:pPr>
              <w:pStyle w:val="Tabletitle-WhiteSmall"/>
              <w:rPr>
                <w:sz w:val="22"/>
                <w:szCs w:val="22"/>
              </w:rPr>
            </w:pPr>
            <w:r w:rsidRPr="00536E13">
              <w:rPr>
                <w:sz w:val="22"/>
                <w:szCs w:val="22"/>
              </w:rPr>
              <w:t>Activity</w:t>
            </w:r>
          </w:p>
        </w:tc>
        <w:tc>
          <w:tcPr>
            <w:tcW w:w="1472" w:type="pct"/>
          </w:tcPr>
          <w:p w14:paraId="1FCB1E15" w14:textId="77777777" w:rsidR="00702FF9" w:rsidRPr="00536E13" w:rsidRDefault="00702FF9" w:rsidP="00560CEF">
            <w:pPr>
              <w:pStyle w:val="Tabletitle-WhiteSmall"/>
              <w:rPr>
                <w:sz w:val="22"/>
                <w:szCs w:val="22"/>
              </w:rPr>
            </w:pPr>
            <w:r w:rsidRPr="00536E13">
              <w:rPr>
                <w:sz w:val="22"/>
                <w:szCs w:val="22"/>
              </w:rPr>
              <w:t>Date</w:t>
            </w:r>
          </w:p>
        </w:tc>
      </w:tr>
      <w:tr w:rsidR="00702FF9" w:rsidRPr="00015C4E" w14:paraId="723634F9" w14:textId="77777777" w:rsidTr="00560CEF">
        <w:trPr>
          <w:trHeight w:val="342"/>
        </w:trPr>
        <w:tc>
          <w:tcPr>
            <w:tcW w:w="3528" w:type="pct"/>
          </w:tcPr>
          <w:p w14:paraId="1827BACB" w14:textId="77777777" w:rsidR="00702FF9" w:rsidRPr="00536E13" w:rsidRDefault="00702FF9" w:rsidP="00560CEF">
            <w:pPr>
              <w:pStyle w:val="Tabletext-Small"/>
              <w:rPr>
                <w:sz w:val="22"/>
                <w:szCs w:val="22"/>
              </w:rPr>
            </w:pPr>
            <w:r w:rsidRPr="00536E13">
              <w:rPr>
                <w:rFonts w:cs="Arial"/>
                <w:color w:val="000000"/>
                <w:sz w:val="22"/>
                <w:szCs w:val="22"/>
              </w:rPr>
              <w:t>Applications for TEF assessors and TEF Panel members sought</w:t>
            </w:r>
          </w:p>
        </w:tc>
        <w:tc>
          <w:tcPr>
            <w:tcW w:w="1472" w:type="pct"/>
          </w:tcPr>
          <w:p w14:paraId="4735BB43" w14:textId="77777777" w:rsidR="00702FF9" w:rsidRPr="00536E13" w:rsidRDefault="00702FF9" w:rsidP="00560CEF">
            <w:pPr>
              <w:spacing w:after="0"/>
              <w:rPr>
                <w:rFonts w:cs="Arial"/>
                <w:sz w:val="22"/>
                <w:szCs w:val="22"/>
              </w:rPr>
            </w:pPr>
            <w:r w:rsidRPr="00536E13">
              <w:rPr>
                <w:rFonts w:cs="Arial"/>
                <w:sz w:val="22"/>
                <w:szCs w:val="22"/>
              </w:rPr>
              <w:t>May 2016</w:t>
            </w:r>
          </w:p>
          <w:p w14:paraId="735DD80C" w14:textId="77777777" w:rsidR="00702FF9" w:rsidRPr="00536E13" w:rsidRDefault="00702FF9" w:rsidP="00560CEF">
            <w:pPr>
              <w:pStyle w:val="Tabletext-Small"/>
              <w:ind w:left="0"/>
              <w:rPr>
                <w:sz w:val="22"/>
                <w:szCs w:val="22"/>
              </w:rPr>
            </w:pPr>
            <w:r w:rsidRPr="00536E13">
              <w:rPr>
                <w:rFonts w:cs="Arial"/>
                <w:sz w:val="22"/>
                <w:szCs w:val="22"/>
              </w:rPr>
              <w:t>(shortly after publication of technical consultation)</w:t>
            </w:r>
          </w:p>
        </w:tc>
      </w:tr>
      <w:tr w:rsidR="00702FF9" w:rsidRPr="00015C4E" w14:paraId="1D1BF5C1" w14:textId="77777777" w:rsidTr="00560CEF">
        <w:trPr>
          <w:trHeight w:val="335"/>
        </w:trPr>
        <w:tc>
          <w:tcPr>
            <w:tcW w:w="3528" w:type="pct"/>
          </w:tcPr>
          <w:p w14:paraId="249B34F6" w14:textId="77777777" w:rsidR="00702FF9" w:rsidRPr="00536E13" w:rsidRDefault="00702FF9" w:rsidP="00560CEF">
            <w:pPr>
              <w:pStyle w:val="Tabletext-Small"/>
              <w:rPr>
                <w:sz w:val="22"/>
                <w:szCs w:val="22"/>
              </w:rPr>
            </w:pPr>
            <w:r w:rsidRPr="00536E13">
              <w:rPr>
                <w:rFonts w:cs="Arial"/>
                <w:color w:val="000000"/>
                <w:sz w:val="22"/>
                <w:szCs w:val="22"/>
              </w:rPr>
              <w:t>TEF Panel members are appointed</w:t>
            </w:r>
          </w:p>
        </w:tc>
        <w:tc>
          <w:tcPr>
            <w:tcW w:w="1472" w:type="pct"/>
          </w:tcPr>
          <w:p w14:paraId="714B889F" w14:textId="77777777" w:rsidR="00702FF9" w:rsidRPr="00536E13" w:rsidRDefault="00702FF9" w:rsidP="00560CEF">
            <w:pPr>
              <w:spacing w:after="0"/>
              <w:rPr>
                <w:rFonts w:cs="Arial"/>
                <w:sz w:val="22"/>
                <w:szCs w:val="22"/>
              </w:rPr>
            </w:pPr>
            <w:r w:rsidRPr="00536E13">
              <w:rPr>
                <w:rFonts w:cs="Arial"/>
                <w:sz w:val="22"/>
                <w:szCs w:val="22"/>
              </w:rPr>
              <w:t xml:space="preserve">July – Aug 2016 </w:t>
            </w:r>
          </w:p>
          <w:p w14:paraId="79C531FF" w14:textId="77777777" w:rsidR="00702FF9" w:rsidRPr="00536E13" w:rsidRDefault="00702FF9" w:rsidP="00560CEF">
            <w:pPr>
              <w:pStyle w:val="Tabletext-Small"/>
              <w:ind w:left="0"/>
              <w:rPr>
                <w:sz w:val="22"/>
                <w:szCs w:val="22"/>
              </w:rPr>
            </w:pPr>
            <w:r w:rsidRPr="00536E13">
              <w:rPr>
                <w:rFonts w:cs="Arial"/>
                <w:sz w:val="22"/>
                <w:szCs w:val="22"/>
              </w:rPr>
              <w:t>(shortly after technical consultation closes)</w:t>
            </w:r>
          </w:p>
        </w:tc>
      </w:tr>
      <w:tr w:rsidR="00702FF9" w:rsidRPr="00015C4E" w14:paraId="2C2038E3" w14:textId="77777777" w:rsidTr="00560CEF">
        <w:trPr>
          <w:trHeight w:val="335"/>
        </w:trPr>
        <w:tc>
          <w:tcPr>
            <w:tcW w:w="3528" w:type="pct"/>
          </w:tcPr>
          <w:p w14:paraId="54AFB92A" w14:textId="77777777" w:rsidR="00702FF9" w:rsidRPr="00536E13" w:rsidRDefault="00702FF9" w:rsidP="00560CEF">
            <w:pPr>
              <w:spacing w:after="0"/>
              <w:ind w:left="113"/>
              <w:rPr>
                <w:rFonts w:cs="Arial"/>
                <w:color w:val="000000"/>
                <w:sz w:val="22"/>
                <w:szCs w:val="22"/>
              </w:rPr>
            </w:pPr>
            <w:r w:rsidRPr="00536E13">
              <w:rPr>
                <w:rFonts w:cs="Arial"/>
                <w:color w:val="000000"/>
                <w:sz w:val="22"/>
                <w:szCs w:val="22"/>
              </w:rPr>
              <w:t>Technical guidance for TEF assessors and TEF Panel members is published</w:t>
            </w:r>
          </w:p>
          <w:p w14:paraId="745F681B" w14:textId="77777777" w:rsidR="00702FF9" w:rsidRPr="00536E13" w:rsidRDefault="00702FF9" w:rsidP="00560CEF">
            <w:pPr>
              <w:spacing w:after="0"/>
              <w:ind w:left="113"/>
              <w:rPr>
                <w:rFonts w:cs="Arial"/>
                <w:color w:val="000000"/>
                <w:sz w:val="22"/>
                <w:szCs w:val="22"/>
              </w:rPr>
            </w:pPr>
          </w:p>
          <w:p w14:paraId="0B29CA93" w14:textId="77777777" w:rsidR="00702FF9" w:rsidRPr="00536E13" w:rsidRDefault="00702FF9" w:rsidP="00560CEF">
            <w:pPr>
              <w:pStyle w:val="Tabletext-Small"/>
              <w:rPr>
                <w:sz w:val="22"/>
                <w:szCs w:val="22"/>
              </w:rPr>
            </w:pPr>
            <w:r w:rsidRPr="00536E13">
              <w:rPr>
                <w:rFonts w:cs="Arial"/>
                <w:color w:val="000000"/>
                <w:sz w:val="22"/>
                <w:szCs w:val="22"/>
              </w:rPr>
              <w:t>TEF Panel membership is published</w:t>
            </w:r>
          </w:p>
        </w:tc>
        <w:tc>
          <w:tcPr>
            <w:tcW w:w="1472" w:type="pct"/>
          </w:tcPr>
          <w:p w14:paraId="5D4D1921" w14:textId="77777777" w:rsidR="00702FF9" w:rsidRPr="00536E13" w:rsidRDefault="00702FF9" w:rsidP="00560CEF">
            <w:pPr>
              <w:spacing w:after="0"/>
              <w:rPr>
                <w:rFonts w:cs="Arial"/>
                <w:sz w:val="22"/>
                <w:szCs w:val="22"/>
              </w:rPr>
            </w:pPr>
            <w:r w:rsidRPr="00536E13">
              <w:rPr>
                <w:rFonts w:cs="Arial"/>
                <w:sz w:val="22"/>
                <w:szCs w:val="22"/>
              </w:rPr>
              <w:t>Mid-Oct 2016</w:t>
            </w:r>
          </w:p>
          <w:p w14:paraId="71C9FBE0" w14:textId="77777777" w:rsidR="00702FF9" w:rsidRPr="00536E13" w:rsidRDefault="00702FF9" w:rsidP="00560CEF">
            <w:pPr>
              <w:spacing w:after="0"/>
              <w:rPr>
                <w:rFonts w:cs="Arial"/>
                <w:sz w:val="22"/>
                <w:szCs w:val="22"/>
              </w:rPr>
            </w:pPr>
          </w:p>
          <w:p w14:paraId="6CD0A800" w14:textId="77777777" w:rsidR="00702FF9" w:rsidRPr="00536E13" w:rsidRDefault="00702FF9" w:rsidP="00560CEF">
            <w:pPr>
              <w:spacing w:after="0"/>
              <w:rPr>
                <w:rFonts w:cs="Arial"/>
                <w:sz w:val="22"/>
                <w:szCs w:val="22"/>
              </w:rPr>
            </w:pPr>
          </w:p>
          <w:p w14:paraId="1BC9E9EF" w14:textId="77777777" w:rsidR="00702FF9" w:rsidRPr="00536E13" w:rsidRDefault="00702FF9" w:rsidP="00560CEF">
            <w:pPr>
              <w:pStyle w:val="Tabletext-Small"/>
              <w:ind w:left="0"/>
              <w:rPr>
                <w:sz w:val="22"/>
                <w:szCs w:val="22"/>
              </w:rPr>
            </w:pPr>
            <w:r w:rsidRPr="00536E13">
              <w:rPr>
                <w:rFonts w:cs="Arial"/>
                <w:sz w:val="22"/>
                <w:szCs w:val="22"/>
              </w:rPr>
              <w:t>Mid-Oct 2016</w:t>
            </w:r>
          </w:p>
        </w:tc>
      </w:tr>
      <w:tr w:rsidR="00702FF9" w:rsidRPr="00015C4E" w14:paraId="278A5C5B" w14:textId="77777777" w:rsidTr="00560CEF">
        <w:trPr>
          <w:trHeight w:val="335"/>
        </w:trPr>
        <w:tc>
          <w:tcPr>
            <w:tcW w:w="3528" w:type="pct"/>
          </w:tcPr>
          <w:p w14:paraId="6B3325BE" w14:textId="77777777" w:rsidR="00702FF9" w:rsidRPr="00536E13" w:rsidRDefault="00702FF9" w:rsidP="00560CEF">
            <w:pPr>
              <w:pStyle w:val="Tabletext-Small"/>
              <w:rPr>
                <w:sz w:val="22"/>
                <w:szCs w:val="22"/>
              </w:rPr>
            </w:pPr>
            <w:r w:rsidRPr="00536E13">
              <w:rPr>
                <w:rFonts w:cs="Arial"/>
                <w:color w:val="000000"/>
                <w:sz w:val="22"/>
                <w:szCs w:val="22"/>
              </w:rPr>
              <w:t>Training for TEF assessors and TEF Panel members</w:t>
            </w:r>
          </w:p>
        </w:tc>
        <w:tc>
          <w:tcPr>
            <w:tcW w:w="1472" w:type="pct"/>
          </w:tcPr>
          <w:p w14:paraId="243BDC97" w14:textId="77777777" w:rsidR="00702FF9" w:rsidRPr="00536E13" w:rsidRDefault="00702FF9" w:rsidP="00560CEF">
            <w:pPr>
              <w:pStyle w:val="Tabletext-Small"/>
              <w:ind w:left="0"/>
              <w:rPr>
                <w:sz w:val="22"/>
                <w:szCs w:val="22"/>
              </w:rPr>
            </w:pPr>
            <w:r w:rsidRPr="00536E13">
              <w:rPr>
                <w:rFonts w:cs="Arial"/>
                <w:sz w:val="22"/>
                <w:szCs w:val="22"/>
              </w:rPr>
              <w:t>Mid-Nov 2016</w:t>
            </w:r>
          </w:p>
        </w:tc>
      </w:tr>
      <w:tr w:rsidR="00702FF9" w:rsidRPr="00015C4E" w14:paraId="71AF1118" w14:textId="77777777" w:rsidTr="00560CEF">
        <w:trPr>
          <w:trHeight w:val="335"/>
        </w:trPr>
        <w:tc>
          <w:tcPr>
            <w:tcW w:w="3528" w:type="pct"/>
          </w:tcPr>
          <w:p w14:paraId="0205DE30" w14:textId="77777777" w:rsidR="00702FF9" w:rsidRPr="00536E13" w:rsidRDefault="00702FF9" w:rsidP="00560CEF">
            <w:pPr>
              <w:pStyle w:val="Tabletext-Small"/>
              <w:rPr>
                <w:sz w:val="22"/>
                <w:szCs w:val="22"/>
              </w:rPr>
            </w:pPr>
            <w:r w:rsidRPr="00536E13">
              <w:rPr>
                <w:rFonts w:cs="Arial"/>
                <w:color w:val="000000"/>
                <w:sz w:val="22"/>
                <w:szCs w:val="22"/>
              </w:rPr>
              <w:t xml:space="preserve">TEF assessors are confirmed </w:t>
            </w:r>
          </w:p>
        </w:tc>
        <w:tc>
          <w:tcPr>
            <w:tcW w:w="1472" w:type="pct"/>
          </w:tcPr>
          <w:p w14:paraId="362983B9" w14:textId="77777777" w:rsidR="00702FF9" w:rsidRPr="00536E13" w:rsidRDefault="00702FF9" w:rsidP="00560CEF">
            <w:pPr>
              <w:pStyle w:val="Tabletext-Small"/>
              <w:ind w:left="0"/>
              <w:rPr>
                <w:sz w:val="22"/>
                <w:szCs w:val="22"/>
              </w:rPr>
            </w:pPr>
            <w:r w:rsidRPr="00536E13">
              <w:rPr>
                <w:rFonts w:cs="Arial"/>
                <w:sz w:val="22"/>
                <w:szCs w:val="22"/>
              </w:rPr>
              <w:t>Late Nov 2016</w:t>
            </w:r>
          </w:p>
        </w:tc>
      </w:tr>
    </w:tbl>
    <w:p w14:paraId="25FCA0E6" w14:textId="77777777" w:rsidR="00702FF9" w:rsidRDefault="00702FF9" w:rsidP="00843F86"/>
    <w:p w14:paraId="19AF39C6" w14:textId="77777777" w:rsidR="00702FF9" w:rsidRDefault="00702FF9" w:rsidP="00843F86"/>
    <w:p w14:paraId="72480F02" w14:textId="77777777" w:rsidR="00702FF9" w:rsidRDefault="00702FF9" w:rsidP="00843F86"/>
    <w:p w14:paraId="5174B4C4" w14:textId="77777777" w:rsidR="00702FF9" w:rsidRDefault="00702FF9" w:rsidP="00843F86"/>
    <w:p w14:paraId="0547928E" w14:textId="77777777" w:rsidR="00702FF9" w:rsidRDefault="00702FF9" w:rsidP="00843F86"/>
    <w:p w14:paraId="25CE12C7" w14:textId="77777777" w:rsidR="00702FF9" w:rsidRDefault="00702FF9" w:rsidP="00843F86"/>
    <w:p w14:paraId="6DB310D1" w14:textId="77777777" w:rsidR="00702FF9" w:rsidRDefault="00702FF9" w:rsidP="00843F86"/>
    <w:p w14:paraId="0999086E" w14:textId="77777777" w:rsidR="00702FF9" w:rsidRDefault="00702FF9" w:rsidP="00843F86"/>
    <w:p w14:paraId="4EE52A05" w14:textId="77777777" w:rsidR="00702FF9" w:rsidRDefault="00702FF9" w:rsidP="00843F86"/>
    <w:p w14:paraId="4889D549" w14:textId="77777777" w:rsidR="00702FF9" w:rsidRDefault="00702FF9" w:rsidP="00843F86"/>
    <w:p w14:paraId="6AC838B2" w14:textId="77777777" w:rsidR="00702FF9" w:rsidRDefault="00702FF9" w:rsidP="00843F86"/>
    <w:p w14:paraId="1E33E313" w14:textId="77777777" w:rsidR="00702FF9" w:rsidRDefault="00702FF9" w:rsidP="00843F86"/>
    <w:p w14:paraId="479B24A5" w14:textId="77777777" w:rsidR="00702FF9" w:rsidRDefault="00702FF9" w:rsidP="00843F86"/>
    <w:p w14:paraId="2C87787D" w14:textId="77777777" w:rsidR="00702FF9" w:rsidRDefault="00702FF9" w:rsidP="00843F86"/>
    <w:p w14:paraId="27D39FBA" w14:textId="77777777" w:rsidR="00702FF9" w:rsidRDefault="00702FF9" w:rsidP="00702FF9">
      <w:pPr>
        <w:pStyle w:val="Heading2"/>
        <w:ind w:hanging="426"/>
      </w:pPr>
      <w:bookmarkStart w:id="108" w:name="_Toc450148020"/>
      <w:bookmarkStart w:id="109" w:name="_Toc450886590"/>
      <w:r>
        <w:lastRenderedPageBreak/>
        <w:t>Annex C</w:t>
      </w:r>
      <w:r w:rsidRPr="00B10922">
        <w:t xml:space="preserve">: </w:t>
      </w:r>
      <w:r>
        <w:t>Core metrics – further information</w:t>
      </w:r>
      <w:bookmarkEnd w:id="108"/>
      <w:bookmarkEnd w:id="109"/>
    </w:p>
    <w:p w14:paraId="7CA35C43" w14:textId="77777777" w:rsidR="00702FF9" w:rsidRPr="001748CC" w:rsidRDefault="00702FF9" w:rsidP="00702FF9">
      <w:pPr>
        <w:pStyle w:val="ListParagraph"/>
        <w:numPr>
          <w:ilvl w:val="0"/>
          <w:numId w:val="18"/>
        </w:numPr>
        <w:tabs>
          <w:tab w:val="left" w:pos="142"/>
        </w:tabs>
        <w:spacing w:after="0"/>
        <w:ind w:left="142" w:hanging="568"/>
        <w:rPr>
          <w:rFonts w:ascii="Arial" w:hAnsi="Arial" w:cs="Arial"/>
          <w:sz w:val="24"/>
          <w:szCs w:val="24"/>
        </w:rPr>
      </w:pPr>
      <w:r w:rsidRPr="001748CC">
        <w:rPr>
          <w:rFonts w:ascii="Arial" w:hAnsi="Arial" w:cs="Arial"/>
          <w:sz w:val="24"/>
          <w:szCs w:val="24"/>
        </w:rPr>
        <w:t xml:space="preserve">This Annex provides further details about the proposed metrics and should be read in conjunction with </w:t>
      </w:r>
      <w:r w:rsidRPr="001748CC">
        <w:rPr>
          <w:rFonts w:ascii="Arial" w:hAnsi="Arial" w:cs="Arial"/>
          <w:b/>
          <w:sz w:val="24"/>
          <w:szCs w:val="24"/>
        </w:rPr>
        <w:t>Chapter 3a: Evidence - Metrics.</w:t>
      </w:r>
    </w:p>
    <w:p w14:paraId="2217714D" w14:textId="77777777" w:rsidR="00702FF9" w:rsidRPr="001748CC" w:rsidRDefault="00702FF9" w:rsidP="00702FF9">
      <w:pPr>
        <w:pStyle w:val="ListParagraph"/>
        <w:tabs>
          <w:tab w:val="left" w:pos="142"/>
        </w:tabs>
        <w:spacing w:after="0"/>
        <w:ind w:left="142"/>
        <w:rPr>
          <w:rFonts w:ascii="Arial" w:hAnsi="Arial" w:cs="Arial"/>
          <w:sz w:val="24"/>
          <w:szCs w:val="24"/>
        </w:rPr>
      </w:pPr>
    </w:p>
    <w:p w14:paraId="78624D4B" w14:textId="77777777" w:rsidR="00702FF9" w:rsidRDefault="00702FF9" w:rsidP="00702FF9">
      <w:pPr>
        <w:pStyle w:val="Heading3"/>
        <w:spacing w:after="0"/>
        <w:ind w:hanging="426"/>
      </w:pPr>
      <w:bookmarkStart w:id="110" w:name="_Toc450148021"/>
      <w:bookmarkStart w:id="111" w:name="_Toc450886591"/>
      <w:r>
        <w:t>TEF metrics and the UK PIs – key similarities and differences in approach</w:t>
      </w:r>
      <w:bookmarkEnd w:id="110"/>
      <w:bookmarkEnd w:id="111"/>
    </w:p>
    <w:p w14:paraId="6E3C2A88" w14:textId="77777777" w:rsidR="00702FF9" w:rsidRPr="001748CC" w:rsidRDefault="00702FF9" w:rsidP="00702FF9">
      <w:pPr>
        <w:pStyle w:val="ListParagraph"/>
        <w:numPr>
          <w:ilvl w:val="0"/>
          <w:numId w:val="18"/>
        </w:numPr>
        <w:tabs>
          <w:tab w:val="left" w:pos="142"/>
        </w:tabs>
        <w:spacing w:after="0"/>
        <w:ind w:left="142" w:hanging="568"/>
        <w:rPr>
          <w:rFonts w:ascii="Arial" w:hAnsi="Arial" w:cs="Arial"/>
          <w:b/>
          <w:sz w:val="24"/>
          <w:szCs w:val="24"/>
        </w:rPr>
      </w:pPr>
      <w:r w:rsidRPr="001748CC">
        <w:rPr>
          <w:rFonts w:ascii="Arial" w:hAnsi="Arial" w:cs="Arial"/>
          <w:sz w:val="24"/>
          <w:szCs w:val="24"/>
        </w:rPr>
        <w:t xml:space="preserve">The proposals draw on the approach taken in the context of the UK PIs and, where relevant, the way in which NSS results are currently published. In summary, </w:t>
      </w:r>
      <w:r w:rsidRPr="001748CC">
        <w:rPr>
          <w:rFonts w:ascii="Arial" w:hAnsi="Arial" w:cs="Arial"/>
          <w:b/>
          <w:sz w:val="24"/>
          <w:szCs w:val="24"/>
        </w:rPr>
        <w:t>we propose to adopt the same approach for the following:</w:t>
      </w:r>
    </w:p>
    <w:p w14:paraId="1538A004" w14:textId="77777777" w:rsidR="00702FF9" w:rsidRPr="001748CC" w:rsidRDefault="00702FF9" w:rsidP="00702FF9">
      <w:pPr>
        <w:pStyle w:val="ListParagraph"/>
        <w:numPr>
          <w:ilvl w:val="0"/>
          <w:numId w:val="28"/>
        </w:numPr>
        <w:spacing w:after="0"/>
        <w:ind w:left="567" w:hanging="425"/>
        <w:rPr>
          <w:rFonts w:ascii="Arial" w:hAnsi="Arial" w:cs="Arial"/>
          <w:sz w:val="24"/>
          <w:szCs w:val="24"/>
        </w:rPr>
      </w:pPr>
      <w:r w:rsidRPr="001748CC">
        <w:rPr>
          <w:rFonts w:ascii="Arial" w:hAnsi="Arial" w:cs="Arial"/>
          <w:sz w:val="24"/>
          <w:szCs w:val="24"/>
        </w:rPr>
        <w:t>The definitions of non-continuation and employment/destinations</w:t>
      </w:r>
    </w:p>
    <w:p w14:paraId="385F6FA1" w14:textId="77777777" w:rsidR="00702FF9" w:rsidRPr="001748CC" w:rsidRDefault="00702FF9" w:rsidP="00702FF9">
      <w:pPr>
        <w:pStyle w:val="ListParagraph"/>
        <w:numPr>
          <w:ilvl w:val="0"/>
          <w:numId w:val="28"/>
        </w:numPr>
        <w:spacing w:after="0"/>
        <w:ind w:left="567" w:hanging="425"/>
        <w:rPr>
          <w:rFonts w:ascii="Arial" w:hAnsi="Arial" w:cs="Arial"/>
          <w:sz w:val="24"/>
          <w:szCs w:val="24"/>
        </w:rPr>
      </w:pPr>
      <w:r w:rsidRPr="001748CC">
        <w:rPr>
          <w:rFonts w:ascii="Arial" w:hAnsi="Arial" w:cs="Arial"/>
          <w:sz w:val="24"/>
          <w:szCs w:val="24"/>
        </w:rPr>
        <w:t xml:space="preserve">The method of benchmarking </w:t>
      </w:r>
    </w:p>
    <w:p w14:paraId="404A337A" w14:textId="77777777" w:rsidR="00702FF9" w:rsidRPr="001748CC" w:rsidRDefault="00702FF9" w:rsidP="00702FF9">
      <w:pPr>
        <w:pStyle w:val="ListParagraph"/>
        <w:numPr>
          <w:ilvl w:val="0"/>
          <w:numId w:val="28"/>
        </w:numPr>
        <w:spacing w:after="0"/>
        <w:ind w:left="567" w:hanging="425"/>
        <w:rPr>
          <w:rFonts w:ascii="Arial" w:hAnsi="Arial" w:cs="Arial"/>
          <w:sz w:val="24"/>
          <w:szCs w:val="24"/>
        </w:rPr>
      </w:pPr>
      <w:r w:rsidRPr="001748CC">
        <w:rPr>
          <w:rFonts w:ascii="Arial" w:hAnsi="Arial" w:cs="Arial"/>
          <w:sz w:val="24"/>
          <w:szCs w:val="24"/>
        </w:rPr>
        <w:t>The response rate thresholds for the NSS and DHLE</w:t>
      </w:r>
    </w:p>
    <w:p w14:paraId="79A5ADCD" w14:textId="77777777" w:rsidR="00702FF9" w:rsidRPr="001748CC" w:rsidRDefault="00702FF9" w:rsidP="00702FF9">
      <w:pPr>
        <w:pStyle w:val="ListParagraph"/>
        <w:numPr>
          <w:ilvl w:val="0"/>
          <w:numId w:val="28"/>
        </w:numPr>
        <w:spacing w:after="0"/>
        <w:ind w:left="567" w:hanging="425"/>
        <w:rPr>
          <w:rFonts w:ascii="Arial" w:hAnsi="Arial" w:cs="Arial"/>
          <w:sz w:val="24"/>
          <w:szCs w:val="24"/>
        </w:rPr>
      </w:pPr>
      <w:r w:rsidRPr="001748CC">
        <w:rPr>
          <w:rFonts w:ascii="Arial" w:hAnsi="Arial" w:cs="Arial"/>
          <w:sz w:val="24"/>
          <w:szCs w:val="24"/>
        </w:rPr>
        <w:t>The minimum number of students to be reported (this is the same as the NSS rather than the UK PIs)</w:t>
      </w:r>
    </w:p>
    <w:p w14:paraId="6409938C" w14:textId="77777777" w:rsidR="00702FF9" w:rsidRPr="001748CC" w:rsidRDefault="00702FF9" w:rsidP="00702FF9">
      <w:pPr>
        <w:pStyle w:val="ListParagraph"/>
        <w:numPr>
          <w:ilvl w:val="0"/>
          <w:numId w:val="28"/>
        </w:numPr>
        <w:spacing w:after="0"/>
        <w:ind w:left="567" w:hanging="425"/>
        <w:rPr>
          <w:rFonts w:ascii="Arial" w:hAnsi="Arial" w:cs="Arial"/>
          <w:sz w:val="24"/>
          <w:szCs w:val="24"/>
        </w:rPr>
      </w:pPr>
      <w:r w:rsidRPr="001748CC">
        <w:rPr>
          <w:rFonts w:ascii="Arial" w:hAnsi="Arial" w:cs="Arial"/>
          <w:sz w:val="24"/>
          <w:szCs w:val="24"/>
        </w:rPr>
        <w:t xml:space="preserve">Production of separate metrics for full-time and part-time students </w:t>
      </w:r>
    </w:p>
    <w:p w14:paraId="5E6E4849" w14:textId="77777777" w:rsidR="00702FF9" w:rsidRPr="001748CC" w:rsidRDefault="00702FF9" w:rsidP="00702FF9">
      <w:pPr>
        <w:pStyle w:val="ListParagraph"/>
        <w:numPr>
          <w:ilvl w:val="0"/>
          <w:numId w:val="28"/>
        </w:numPr>
        <w:spacing w:after="0"/>
        <w:ind w:left="567" w:hanging="425"/>
        <w:rPr>
          <w:rFonts w:ascii="Arial" w:hAnsi="Arial" w:cs="Arial"/>
          <w:sz w:val="24"/>
          <w:szCs w:val="24"/>
        </w:rPr>
      </w:pPr>
      <w:r w:rsidRPr="001748CC">
        <w:rPr>
          <w:rFonts w:ascii="Arial" w:hAnsi="Arial" w:cs="Arial"/>
          <w:sz w:val="24"/>
          <w:szCs w:val="24"/>
        </w:rPr>
        <w:t>Inclusion of UK students in the non-continuation and employment/destination metrics; inclusion of UK, other EU and non-EU students in the NSS-based metrics</w:t>
      </w:r>
    </w:p>
    <w:p w14:paraId="47D7FDF9" w14:textId="77777777" w:rsidR="00702FF9" w:rsidRPr="001748CC" w:rsidRDefault="00702FF9" w:rsidP="00702FF9">
      <w:pPr>
        <w:pStyle w:val="ListParagraph"/>
        <w:numPr>
          <w:ilvl w:val="0"/>
          <w:numId w:val="28"/>
        </w:numPr>
        <w:spacing w:after="0"/>
        <w:ind w:left="567" w:hanging="425"/>
        <w:rPr>
          <w:rFonts w:ascii="Arial" w:hAnsi="Arial" w:cs="Arial"/>
          <w:sz w:val="24"/>
          <w:szCs w:val="24"/>
        </w:rPr>
      </w:pPr>
      <w:r w:rsidRPr="001748CC">
        <w:rPr>
          <w:rFonts w:ascii="Arial" w:hAnsi="Arial" w:cs="Arial"/>
          <w:sz w:val="24"/>
          <w:szCs w:val="24"/>
        </w:rPr>
        <w:t>For the part-time, non-continuation metric, inclusion of only ‘high intensity’, first degree students.</w:t>
      </w:r>
    </w:p>
    <w:p w14:paraId="4437110C" w14:textId="77777777" w:rsidR="00702FF9" w:rsidRDefault="00702FF9" w:rsidP="00702FF9">
      <w:pPr>
        <w:spacing w:after="0"/>
      </w:pPr>
    </w:p>
    <w:p w14:paraId="0F95E02A" w14:textId="77777777" w:rsidR="00702FF9" w:rsidRPr="001748CC" w:rsidRDefault="00702FF9" w:rsidP="00702FF9">
      <w:pPr>
        <w:pStyle w:val="ListParagraph"/>
        <w:numPr>
          <w:ilvl w:val="0"/>
          <w:numId w:val="18"/>
        </w:numPr>
        <w:tabs>
          <w:tab w:val="left" w:pos="142"/>
        </w:tabs>
        <w:spacing w:after="0"/>
        <w:ind w:left="142" w:hanging="568"/>
        <w:rPr>
          <w:rFonts w:ascii="Arial" w:hAnsi="Arial" w:cs="Arial"/>
          <w:sz w:val="24"/>
          <w:szCs w:val="24"/>
        </w:rPr>
      </w:pPr>
      <w:r w:rsidRPr="001748CC">
        <w:rPr>
          <w:rFonts w:ascii="Arial" w:hAnsi="Arial" w:cs="Arial"/>
          <w:sz w:val="24"/>
          <w:szCs w:val="24"/>
        </w:rPr>
        <w:t xml:space="preserve">We propose the following differences in approach from the </w:t>
      </w:r>
      <w:r w:rsidRPr="001748CC">
        <w:rPr>
          <w:rFonts w:ascii="Arial" w:hAnsi="Arial" w:cs="Arial"/>
          <w:b/>
          <w:sz w:val="24"/>
          <w:szCs w:val="24"/>
        </w:rPr>
        <w:t>UK PIs</w:t>
      </w:r>
      <w:r w:rsidRPr="001748CC">
        <w:rPr>
          <w:rFonts w:ascii="Arial" w:hAnsi="Arial" w:cs="Arial"/>
          <w:sz w:val="24"/>
          <w:szCs w:val="24"/>
        </w:rPr>
        <w:t xml:space="preserve"> or publication </w:t>
      </w:r>
      <w:r w:rsidRPr="001748CC">
        <w:rPr>
          <w:rFonts w:ascii="Arial" w:hAnsi="Arial" w:cs="Arial"/>
          <w:b/>
          <w:sz w:val="24"/>
          <w:szCs w:val="24"/>
        </w:rPr>
        <w:t>of NSS results</w:t>
      </w:r>
      <w:r w:rsidRPr="001748CC">
        <w:rPr>
          <w:rFonts w:ascii="Arial" w:hAnsi="Arial" w:cs="Arial"/>
          <w:sz w:val="24"/>
          <w:szCs w:val="24"/>
        </w:rPr>
        <w:t>, to ensure the metrics are fit for the particular purpose of the TEF:</w:t>
      </w:r>
    </w:p>
    <w:p w14:paraId="03C566D4" w14:textId="77777777" w:rsidR="00702FF9" w:rsidRPr="00583965" w:rsidRDefault="00702FF9" w:rsidP="00702FF9">
      <w:pPr>
        <w:pStyle w:val="ListParagraph"/>
        <w:numPr>
          <w:ilvl w:val="0"/>
          <w:numId w:val="28"/>
        </w:numPr>
        <w:spacing w:after="0"/>
        <w:ind w:left="567" w:hanging="425"/>
        <w:rPr>
          <w:rFonts w:ascii="Arial" w:hAnsi="Arial" w:cs="Arial"/>
          <w:sz w:val="24"/>
          <w:szCs w:val="24"/>
        </w:rPr>
      </w:pPr>
      <w:r w:rsidRPr="00583965">
        <w:rPr>
          <w:rFonts w:ascii="Arial" w:hAnsi="Arial" w:cs="Arial"/>
          <w:sz w:val="24"/>
          <w:szCs w:val="24"/>
        </w:rPr>
        <w:t>The employment/destinations metric to include graduates whose activity is classified as “other” in the denominator of the calculation</w:t>
      </w:r>
    </w:p>
    <w:p w14:paraId="47069600" w14:textId="77777777" w:rsidR="00702FF9" w:rsidRPr="00583965" w:rsidRDefault="00702FF9" w:rsidP="00702FF9">
      <w:pPr>
        <w:pStyle w:val="ListParagraph"/>
        <w:numPr>
          <w:ilvl w:val="0"/>
          <w:numId w:val="28"/>
        </w:numPr>
        <w:spacing w:after="0"/>
        <w:ind w:left="567" w:hanging="425"/>
        <w:rPr>
          <w:rFonts w:ascii="Arial" w:hAnsi="Arial" w:cs="Arial"/>
          <w:sz w:val="24"/>
          <w:szCs w:val="24"/>
        </w:rPr>
      </w:pPr>
      <w:r w:rsidRPr="00583965">
        <w:rPr>
          <w:rFonts w:ascii="Arial" w:hAnsi="Arial" w:cs="Arial"/>
          <w:sz w:val="24"/>
          <w:szCs w:val="24"/>
        </w:rPr>
        <w:t>Metrics based on NSS scales, rather than individual NSS questions</w:t>
      </w:r>
    </w:p>
    <w:p w14:paraId="62B566AC" w14:textId="77777777" w:rsidR="00702FF9" w:rsidRPr="001748CC" w:rsidRDefault="00702FF9" w:rsidP="00702FF9">
      <w:pPr>
        <w:pStyle w:val="ListParagraph"/>
        <w:numPr>
          <w:ilvl w:val="0"/>
          <w:numId w:val="28"/>
        </w:numPr>
        <w:spacing w:after="0"/>
        <w:ind w:left="567" w:hanging="425"/>
        <w:rPr>
          <w:rFonts w:ascii="Arial" w:hAnsi="Arial" w:cs="Arial"/>
          <w:sz w:val="24"/>
          <w:szCs w:val="24"/>
        </w:rPr>
      </w:pPr>
      <w:r w:rsidRPr="001748CC">
        <w:rPr>
          <w:rFonts w:ascii="Arial" w:hAnsi="Arial" w:cs="Arial"/>
          <w:sz w:val="24"/>
          <w:szCs w:val="24"/>
        </w:rPr>
        <w:t>Metrics averaged over three years, as well as for individual years</w:t>
      </w:r>
    </w:p>
    <w:p w14:paraId="6430CB2B" w14:textId="77777777" w:rsidR="00702FF9" w:rsidRPr="001748CC" w:rsidRDefault="00702FF9" w:rsidP="00702FF9">
      <w:pPr>
        <w:pStyle w:val="ListParagraph"/>
        <w:numPr>
          <w:ilvl w:val="0"/>
          <w:numId w:val="28"/>
        </w:numPr>
        <w:spacing w:after="0"/>
        <w:ind w:left="567" w:hanging="425"/>
        <w:rPr>
          <w:rFonts w:ascii="Arial" w:hAnsi="Arial" w:cs="Arial"/>
          <w:sz w:val="24"/>
          <w:szCs w:val="24"/>
        </w:rPr>
      </w:pPr>
      <w:r w:rsidRPr="001748CC">
        <w:rPr>
          <w:rFonts w:ascii="Arial" w:hAnsi="Arial" w:cs="Arial"/>
          <w:sz w:val="24"/>
          <w:szCs w:val="24"/>
        </w:rPr>
        <w:t>A different approach to splitting the metrics and additional splits based on WP characteristics (this is explained further below)</w:t>
      </w:r>
    </w:p>
    <w:p w14:paraId="3EEF2609" w14:textId="77777777" w:rsidR="00702FF9" w:rsidRPr="001748CC" w:rsidRDefault="00702FF9" w:rsidP="00702FF9">
      <w:pPr>
        <w:pStyle w:val="ListParagraph"/>
        <w:numPr>
          <w:ilvl w:val="0"/>
          <w:numId w:val="28"/>
        </w:numPr>
        <w:spacing w:after="0"/>
        <w:ind w:left="567" w:hanging="425"/>
        <w:rPr>
          <w:rFonts w:ascii="Arial" w:hAnsi="Arial" w:cs="Arial"/>
          <w:sz w:val="24"/>
          <w:szCs w:val="24"/>
        </w:rPr>
      </w:pPr>
      <w:r w:rsidRPr="001748CC">
        <w:rPr>
          <w:rFonts w:ascii="Arial" w:hAnsi="Arial" w:cs="Arial"/>
          <w:sz w:val="24"/>
          <w:szCs w:val="24"/>
        </w:rPr>
        <w:t>Students to be associated with the teaching institution rather than the registering institution</w:t>
      </w:r>
    </w:p>
    <w:p w14:paraId="7792F2F2" w14:textId="77777777" w:rsidR="00702FF9" w:rsidRPr="001748CC" w:rsidRDefault="00702FF9" w:rsidP="00702FF9">
      <w:pPr>
        <w:pStyle w:val="ListParagraph"/>
        <w:numPr>
          <w:ilvl w:val="0"/>
          <w:numId w:val="28"/>
        </w:numPr>
        <w:spacing w:after="0"/>
        <w:ind w:left="567" w:hanging="425"/>
        <w:rPr>
          <w:rFonts w:ascii="Arial" w:hAnsi="Arial" w:cs="Arial"/>
          <w:sz w:val="24"/>
          <w:szCs w:val="24"/>
        </w:rPr>
      </w:pPr>
      <w:r w:rsidRPr="001748CC">
        <w:rPr>
          <w:rFonts w:ascii="Arial" w:hAnsi="Arial" w:cs="Arial"/>
          <w:sz w:val="24"/>
          <w:szCs w:val="24"/>
        </w:rPr>
        <w:t xml:space="preserve">In identifying significant differences from a benchmark, we propose to flag all differences that are at least 2 standard deviations and 2 percentage points from the benchmark. </w:t>
      </w:r>
    </w:p>
    <w:p w14:paraId="5B7F1949" w14:textId="77777777" w:rsidR="00702FF9" w:rsidRPr="001748CC" w:rsidRDefault="00702FF9" w:rsidP="00702FF9">
      <w:pPr>
        <w:pStyle w:val="ListParagraph"/>
        <w:numPr>
          <w:ilvl w:val="0"/>
          <w:numId w:val="28"/>
        </w:numPr>
        <w:spacing w:after="0"/>
        <w:ind w:left="567" w:hanging="425"/>
        <w:rPr>
          <w:rFonts w:ascii="Arial" w:hAnsi="Arial" w:cs="Arial"/>
          <w:sz w:val="24"/>
          <w:szCs w:val="24"/>
        </w:rPr>
      </w:pPr>
      <w:r w:rsidRPr="001748CC">
        <w:rPr>
          <w:rFonts w:ascii="Arial" w:hAnsi="Arial" w:cs="Arial"/>
          <w:sz w:val="24"/>
          <w:szCs w:val="24"/>
        </w:rPr>
        <w:t>Benchmarks based on all providers for which data are available to take part in the TEF.</w:t>
      </w:r>
    </w:p>
    <w:p w14:paraId="35F9EA99" w14:textId="77777777" w:rsidR="00702FF9" w:rsidRDefault="00702FF9" w:rsidP="00702FF9">
      <w:pPr>
        <w:spacing w:after="0"/>
      </w:pPr>
    </w:p>
    <w:p w14:paraId="4FA9CAB2" w14:textId="77777777" w:rsidR="00702FF9" w:rsidRDefault="00702FF9" w:rsidP="00702FF9">
      <w:pPr>
        <w:pStyle w:val="Heading3"/>
        <w:spacing w:after="0"/>
        <w:ind w:hanging="426"/>
      </w:pPr>
      <w:bookmarkStart w:id="112" w:name="_Toc450148022"/>
      <w:bookmarkStart w:id="113" w:name="_Toc450886592"/>
      <w:r>
        <w:t>Coverage of student cohorts and providers</w:t>
      </w:r>
      <w:bookmarkEnd w:id="112"/>
      <w:bookmarkEnd w:id="113"/>
    </w:p>
    <w:p w14:paraId="3FD1E3B5" w14:textId="77777777" w:rsidR="00702FF9" w:rsidRPr="00AF7684" w:rsidRDefault="00702FF9" w:rsidP="00702FF9">
      <w:pPr>
        <w:pStyle w:val="ListParagraph"/>
        <w:numPr>
          <w:ilvl w:val="0"/>
          <w:numId w:val="18"/>
        </w:numPr>
        <w:tabs>
          <w:tab w:val="left" w:pos="142"/>
        </w:tabs>
        <w:spacing w:after="0"/>
        <w:ind w:left="142" w:hanging="568"/>
        <w:rPr>
          <w:rFonts w:ascii="Arial" w:hAnsi="Arial" w:cs="Arial"/>
          <w:b/>
          <w:sz w:val="24"/>
          <w:szCs w:val="24"/>
        </w:rPr>
      </w:pPr>
      <w:r w:rsidRPr="00AF7684">
        <w:rPr>
          <w:rFonts w:ascii="Arial" w:hAnsi="Arial" w:cs="Arial"/>
          <w:sz w:val="24"/>
          <w:szCs w:val="24"/>
        </w:rPr>
        <w:t xml:space="preserve">The table below outlines </w:t>
      </w:r>
      <w:r w:rsidRPr="00AF7684">
        <w:rPr>
          <w:rFonts w:ascii="Arial" w:hAnsi="Arial" w:cs="Arial"/>
          <w:b/>
          <w:sz w:val="24"/>
          <w:szCs w:val="24"/>
        </w:rPr>
        <w:t xml:space="preserve">which sources of data the metrics will be drawn from, and the student cohorts covered by the most recently-available three years’ data for each metric. </w:t>
      </w:r>
    </w:p>
    <w:p w14:paraId="4417A578" w14:textId="77777777" w:rsidR="00702FF9" w:rsidRDefault="00702FF9" w:rsidP="00843F86"/>
    <w:p w14:paraId="384251DE" w14:textId="77777777" w:rsidR="00702FF9" w:rsidRDefault="00702FF9" w:rsidP="00843F86"/>
    <w:p w14:paraId="634B8D5C" w14:textId="77777777" w:rsidR="00702FF9" w:rsidRDefault="00702FF9" w:rsidP="00843F86"/>
    <w:p w14:paraId="10D4708A" w14:textId="77777777" w:rsidR="00702FF9" w:rsidRPr="00B873AB" w:rsidRDefault="00702FF9" w:rsidP="00702FF9">
      <w:pPr>
        <w:pStyle w:val="ListParagraph"/>
        <w:numPr>
          <w:ilvl w:val="0"/>
          <w:numId w:val="18"/>
        </w:numPr>
        <w:tabs>
          <w:tab w:val="left" w:pos="142"/>
        </w:tabs>
        <w:spacing w:after="0"/>
        <w:ind w:left="142" w:hanging="568"/>
        <w:rPr>
          <w:rFonts w:ascii="Arial" w:hAnsi="Arial" w:cs="Arial"/>
          <w:b/>
          <w:sz w:val="24"/>
          <w:szCs w:val="24"/>
        </w:rPr>
      </w:pPr>
      <w:r w:rsidRPr="00AF7684">
        <w:rPr>
          <w:rFonts w:ascii="Arial" w:hAnsi="Arial" w:cs="Arial"/>
          <w:b/>
          <w:sz w:val="24"/>
          <w:szCs w:val="24"/>
        </w:rPr>
        <w:lastRenderedPageBreak/>
        <w:t>Table 2: Data sources and student cohort coverage</w:t>
      </w:r>
    </w:p>
    <w:tbl>
      <w:tblPr>
        <w:tblStyle w:val="Table-lightbluegrid"/>
        <w:tblW w:w="4849" w:type="pct"/>
        <w:tblLayout w:type="fixed"/>
        <w:tblLook w:val="01E0" w:firstRow="1" w:lastRow="1" w:firstColumn="1" w:lastColumn="1" w:noHBand="0" w:noVBand="0"/>
      </w:tblPr>
      <w:tblGrid>
        <w:gridCol w:w="2802"/>
        <w:gridCol w:w="2976"/>
        <w:gridCol w:w="3778"/>
      </w:tblGrid>
      <w:tr w:rsidR="00702FF9" w:rsidRPr="0028755F" w14:paraId="21637623" w14:textId="77777777" w:rsidTr="00560CEF">
        <w:trPr>
          <w:cnfStyle w:val="100000000000" w:firstRow="1" w:lastRow="0" w:firstColumn="0" w:lastColumn="0" w:oddVBand="0" w:evenVBand="0" w:oddHBand="0" w:evenHBand="0" w:firstRowFirstColumn="0" w:firstRowLastColumn="0" w:lastRowFirstColumn="0" w:lastRowLastColumn="0"/>
          <w:trHeight w:val="166"/>
        </w:trPr>
        <w:tc>
          <w:tcPr>
            <w:tcW w:w="1466" w:type="pct"/>
          </w:tcPr>
          <w:p w14:paraId="40EE2444" w14:textId="77777777" w:rsidR="00702FF9" w:rsidRPr="00536E13" w:rsidRDefault="00702FF9" w:rsidP="00560CEF">
            <w:pPr>
              <w:pStyle w:val="Tabletitle-WhiteSmall"/>
              <w:rPr>
                <w:sz w:val="22"/>
                <w:szCs w:val="22"/>
              </w:rPr>
            </w:pPr>
            <w:r w:rsidRPr="00536E13">
              <w:rPr>
                <w:sz w:val="22"/>
                <w:szCs w:val="22"/>
              </w:rPr>
              <w:t>Metric</w:t>
            </w:r>
          </w:p>
        </w:tc>
        <w:tc>
          <w:tcPr>
            <w:tcW w:w="1557" w:type="pct"/>
          </w:tcPr>
          <w:p w14:paraId="0AF21F25" w14:textId="77777777" w:rsidR="00702FF9" w:rsidRPr="00536E13" w:rsidRDefault="00702FF9" w:rsidP="00560CEF">
            <w:pPr>
              <w:pStyle w:val="Tabletitle-WhiteSmall"/>
              <w:rPr>
                <w:sz w:val="22"/>
                <w:szCs w:val="22"/>
              </w:rPr>
            </w:pPr>
            <w:r w:rsidRPr="00536E13">
              <w:rPr>
                <w:sz w:val="22"/>
                <w:szCs w:val="22"/>
              </w:rPr>
              <w:t>Data Source</w:t>
            </w:r>
          </w:p>
        </w:tc>
        <w:tc>
          <w:tcPr>
            <w:tcW w:w="1977" w:type="pct"/>
          </w:tcPr>
          <w:p w14:paraId="05A18B23" w14:textId="77777777" w:rsidR="00702FF9" w:rsidRPr="00536E13" w:rsidRDefault="00702FF9" w:rsidP="00560CEF">
            <w:pPr>
              <w:pStyle w:val="Tabletitle-WhiteSmall"/>
              <w:rPr>
                <w:sz w:val="22"/>
                <w:szCs w:val="22"/>
              </w:rPr>
            </w:pPr>
            <w:r w:rsidRPr="00536E13">
              <w:rPr>
                <w:sz w:val="22"/>
                <w:szCs w:val="22"/>
              </w:rPr>
              <w:t>Student cohorts</w:t>
            </w:r>
          </w:p>
        </w:tc>
      </w:tr>
      <w:tr w:rsidR="00702FF9" w:rsidRPr="00536E13" w14:paraId="7128D4EC" w14:textId="77777777" w:rsidTr="00560CEF">
        <w:trPr>
          <w:trHeight w:val="342"/>
        </w:trPr>
        <w:tc>
          <w:tcPr>
            <w:tcW w:w="1466" w:type="pct"/>
          </w:tcPr>
          <w:p w14:paraId="7FB7EDEF" w14:textId="77777777" w:rsidR="00702FF9" w:rsidRPr="00A27E11" w:rsidRDefault="00702FF9" w:rsidP="00560CEF">
            <w:pPr>
              <w:pStyle w:val="Tabletext-Small"/>
              <w:rPr>
                <w:sz w:val="22"/>
                <w:szCs w:val="22"/>
              </w:rPr>
            </w:pPr>
            <w:r w:rsidRPr="00A27E11">
              <w:rPr>
                <w:rFonts w:cs="Arial"/>
                <w:sz w:val="22"/>
                <w:szCs w:val="22"/>
              </w:rPr>
              <w:t>The teaching on my course; Assessment and feedback; and Academic support</w:t>
            </w:r>
          </w:p>
        </w:tc>
        <w:tc>
          <w:tcPr>
            <w:tcW w:w="1557" w:type="pct"/>
          </w:tcPr>
          <w:p w14:paraId="4E2FE621" w14:textId="77777777" w:rsidR="00702FF9" w:rsidRPr="00A27E11" w:rsidRDefault="00702FF9" w:rsidP="00560CEF">
            <w:pPr>
              <w:pStyle w:val="Tabletext-Small"/>
              <w:rPr>
                <w:sz w:val="22"/>
                <w:szCs w:val="22"/>
              </w:rPr>
            </w:pPr>
            <w:r w:rsidRPr="00A27E11">
              <w:rPr>
                <w:rFonts w:cs="Arial"/>
                <w:sz w:val="22"/>
                <w:szCs w:val="22"/>
              </w:rPr>
              <w:t>NSS (all types of providers)</w:t>
            </w:r>
          </w:p>
        </w:tc>
        <w:tc>
          <w:tcPr>
            <w:tcW w:w="1977" w:type="pct"/>
          </w:tcPr>
          <w:p w14:paraId="1E9C6704" w14:textId="77777777" w:rsidR="00702FF9" w:rsidRPr="00A27E11" w:rsidRDefault="00702FF9" w:rsidP="00560CEF">
            <w:pPr>
              <w:pStyle w:val="Tabletext-Small"/>
              <w:rPr>
                <w:sz w:val="22"/>
                <w:szCs w:val="22"/>
              </w:rPr>
            </w:pPr>
            <w:r w:rsidRPr="00A27E11">
              <w:rPr>
                <w:rFonts w:cs="Arial"/>
                <w:sz w:val="22"/>
                <w:szCs w:val="22"/>
              </w:rPr>
              <w:t>Final year students in 2013/14, 2014/15 and 2015/16</w:t>
            </w:r>
          </w:p>
        </w:tc>
      </w:tr>
      <w:tr w:rsidR="00702FF9" w:rsidRPr="00536E13" w14:paraId="1BE3B1A2" w14:textId="77777777" w:rsidTr="00560CEF">
        <w:trPr>
          <w:trHeight w:val="342"/>
        </w:trPr>
        <w:tc>
          <w:tcPr>
            <w:tcW w:w="1466" w:type="pct"/>
          </w:tcPr>
          <w:p w14:paraId="467D6515" w14:textId="77777777" w:rsidR="00702FF9" w:rsidRPr="00A27E11" w:rsidRDefault="00702FF9" w:rsidP="00560CEF">
            <w:pPr>
              <w:pStyle w:val="Tabletext-Small"/>
              <w:rPr>
                <w:rFonts w:cs="Arial"/>
                <w:sz w:val="22"/>
                <w:szCs w:val="22"/>
              </w:rPr>
            </w:pPr>
            <w:r w:rsidRPr="00A27E11">
              <w:rPr>
                <w:rFonts w:cs="Arial"/>
                <w:sz w:val="22"/>
                <w:szCs w:val="22"/>
              </w:rPr>
              <w:t>Non-continuation</w:t>
            </w:r>
          </w:p>
        </w:tc>
        <w:tc>
          <w:tcPr>
            <w:tcW w:w="1557" w:type="pct"/>
          </w:tcPr>
          <w:p w14:paraId="539BC080" w14:textId="77777777" w:rsidR="00702FF9" w:rsidRPr="00A27E11" w:rsidRDefault="00702FF9" w:rsidP="00560CEF">
            <w:pPr>
              <w:rPr>
                <w:rFonts w:cs="Arial"/>
                <w:sz w:val="22"/>
                <w:szCs w:val="22"/>
              </w:rPr>
            </w:pPr>
            <w:r w:rsidRPr="00A27E11">
              <w:rPr>
                <w:rFonts w:cs="Arial"/>
                <w:sz w:val="22"/>
                <w:szCs w:val="22"/>
              </w:rPr>
              <w:t>HESA student records (for HEIs and APs)</w:t>
            </w:r>
          </w:p>
          <w:p w14:paraId="1934E198" w14:textId="77777777" w:rsidR="00702FF9" w:rsidRPr="00A27E11" w:rsidRDefault="00702FF9" w:rsidP="00560CEF">
            <w:pPr>
              <w:pStyle w:val="Tabletext-Small"/>
              <w:rPr>
                <w:rFonts w:cs="Arial"/>
                <w:sz w:val="22"/>
                <w:szCs w:val="22"/>
              </w:rPr>
            </w:pPr>
            <w:r w:rsidRPr="00A27E11">
              <w:rPr>
                <w:rFonts w:cs="Arial"/>
                <w:sz w:val="22"/>
                <w:szCs w:val="22"/>
              </w:rPr>
              <w:t>HESA and/or ILR student records (for FECs)</w:t>
            </w:r>
          </w:p>
        </w:tc>
        <w:tc>
          <w:tcPr>
            <w:tcW w:w="1977" w:type="pct"/>
          </w:tcPr>
          <w:p w14:paraId="1CBF37B2" w14:textId="77777777" w:rsidR="00702FF9" w:rsidRPr="00A27E11" w:rsidRDefault="00702FF9" w:rsidP="00560CEF">
            <w:pPr>
              <w:rPr>
                <w:rFonts w:cs="Arial"/>
                <w:sz w:val="22"/>
                <w:szCs w:val="22"/>
              </w:rPr>
            </w:pPr>
            <w:r w:rsidRPr="00A27E11">
              <w:rPr>
                <w:rFonts w:cs="Arial"/>
                <w:sz w:val="22"/>
                <w:szCs w:val="22"/>
              </w:rPr>
              <w:t>Full-time entrants in 2011/12, 2012/13 and 2013/14</w:t>
            </w:r>
          </w:p>
          <w:p w14:paraId="6EC87955" w14:textId="77777777" w:rsidR="00702FF9" w:rsidRPr="00A27E11" w:rsidRDefault="00702FF9" w:rsidP="00560CEF">
            <w:pPr>
              <w:pStyle w:val="Tabletext-Small"/>
              <w:rPr>
                <w:rFonts w:cs="Arial"/>
                <w:sz w:val="22"/>
                <w:szCs w:val="22"/>
              </w:rPr>
            </w:pPr>
            <w:r w:rsidRPr="00A27E11">
              <w:rPr>
                <w:rFonts w:cs="Arial"/>
                <w:sz w:val="22"/>
                <w:szCs w:val="22"/>
              </w:rPr>
              <w:t>Part-time first degree entrants in 2010/11, 2011/12 and 2012/13</w:t>
            </w:r>
          </w:p>
        </w:tc>
      </w:tr>
      <w:tr w:rsidR="00702FF9" w:rsidRPr="00536E13" w14:paraId="19708461" w14:textId="77777777" w:rsidTr="00560CEF">
        <w:trPr>
          <w:trHeight w:val="342"/>
        </w:trPr>
        <w:tc>
          <w:tcPr>
            <w:tcW w:w="1466" w:type="pct"/>
          </w:tcPr>
          <w:p w14:paraId="09226228" w14:textId="77777777" w:rsidR="00702FF9" w:rsidRPr="00A27E11" w:rsidRDefault="00702FF9" w:rsidP="00560CEF">
            <w:pPr>
              <w:rPr>
                <w:rFonts w:cs="Arial"/>
                <w:sz w:val="22"/>
                <w:szCs w:val="22"/>
              </w:rPr>
            </w:pPr>
            <w:r w:rsidRPr="00A27E11">
              <w:rPr>
                <w:rFonts w:cs="Arial"/>
                <w:sz w:val="22"/>
                <w:szCs w:val="22"/>
              </w:rPr>
              <w:t>Employment/destination</w:t>
            </w:r>
          </w:p>
          <w:p w14:paraId="071C44E5" w14:textId="77777777" w:rsidR="00702FF9" w:rsidRPr="00A27E11" w:rsidRDefault="00702FF9" w:rsidP="00560CEF">
            <w:pPr>
              <w:pStyle w:val="Tabletext-Small"/>
              <w:rPr>
                <w:rFonts w:cs="Arial"/>
                <w:sz w:val="22"/>
                <w:szCs w:val="22"/>
              </w:rPr>
            </w:pPr>
          </w:p>
        </w:tc>
        <w:tc>
          <w:tcPr>
            <w:tcW w:w="1557" w:type="pct"/>
          </w:tcPr>
          <w:p w14:paraId="628BA6AF" w14:textId="77777777" w:rsidR="00702FF9" w:rsidRPr="00A27E11" w:rsidRDefault="00702FF9" w:rsidP="00560CEF">
            <w:pPr>
              <w:pStyle w:val="Tabletext-Small"/>
              <w:rPr>
                <w:rFonts w:cs="Arial"/>
                <w:sz w:val="22"/>
                <w:szCs w:val="22"/>
              </w:rPr>
            </w:pPr>
            <w:r w:rsidRPr="00A27E11">
              <w:rPr>
                <w:rFonts w:cs="Arial"/>
                <w:sz w:val="22"/>
                <w:szCs w:val="22"/>
              </w:rPr>
              <w:t>DLHE (all types of providers)</w:t>
            </w:r>
          </w:p>
        </w:tc>
        <w:tc>
          <w:tcPr>
            <w:tcW w:w="1977" w:type="pct"/>
          </w:tcPr>
          <w:p w14:paraId="228668D5" w14:textId="77777777" w:rsidR="00702FF9" w:rsidRPr="00A27E11" w:rsidRDefault="00702FF9" w:rsidP="00560CEF">
            <w:pPr>
              <w:pStyle w:val="Tabletext-Small"/>
              <w:rPr>
                <w:rFonts w:cs="Arial"/>
                <w:sz w:val="22"/>
                <w:szCs w:val="22"/>
              </w:rPr>
            </w:pPr>
            <w:r w:rsidRPr="00A27E11">
              <w:rPr>
                <w:rFonts w:cs="Arial"/>
                <w:sz w:val="22"/>
                <w:szCs w:val="22"/>
              </w:rPr>
              <w:t>Leavers in 2012/13, 2013/14 and 2014/15</w:t>
            </w:r>
          </w:p>
        </w:tc>
      </w:tr>
    </w:tbl>
    <w:p w14:paraId="0C933E48" w14:textId="77777777" w:rsidR="00702FF9" w:rsidRDefault="00702FF9" w:rsidP="00702FF9">
      <w:pPr>
        <w:spacing w:after="0"/>
      </w:pPr>
    </w:p>
    <w:p w14:paraId="07C8F6C0" w14:textId="77777777" w:rsidR="00702FF9" w:rsidRDefault="00702FF9" w:rsidP="00702FF9">
      <w:pPr>
        <w:pStyle w:val="ListParagraph"/>
        <w:numPr>
          <w:ilvl w:val="0"/>
          <w:numId w:val="18"/>
        </w:numPr>
        <w:tabs>
          <w:tab w:val="left" w:pos="142"/>
        </w:tabs>
        <w:spacing w:after="0"/>
        <w:ind w:left="142" w:hanging="568"/>
        <w:rPr>
          <w:rFonts w:ascii="Arial" w:hAnsi="Arial" w:cs="Arial"/>
          <w:sz w:val="24"/>
          <w:szCs w:val="24"/>
        </w:rPr>
      </w:pPr>
      <w:r w:rsidRPr="00AF7684">
        <w:rPr>
          <w:rFonts w:ascii="Arial" w:hAnsi="Arial" w:cs="Arial"/>
          <w:sz w:val="24"/>
          <w:szCs w:val="24"/>
        </w:rPr>
        <w:t>All HEIs in England, Scotland, Wales and Northern Ireland and FECs in England with HE provision have participated in these data collections for all relevant years. A small number of APs in England have participated in them for some or all of the relevant years. Many more APs have recently started to participate in the relevant data collections.</w:t>
      </w:r>
    </w:p>
    <w:p w14:paraId="43AEC5C4" w14:textId="77777777" w:rsidR="00702FF9" w:rsidRPr="00AF7684" w:rsidRDefault="00702FF9" w:rsidP="00702FF9">
      <w:pPr>
        <w:pStyle w:val="ListParagraph"/>
        <w:tabs>
          <w:tab w:val="left" w:pos="142"/>
        </w:tabs>
        <w:spacing w:after="0"/>
        <w:ind w:left="142"/>
        <w:rPr>
          <w:rFonts w:ascii="Arial" w:hAnsi="Arial" w:cs="Arial"/>
          <w:sz w:val="24"/>
          <w:szCs w:val="24"/>
        </w:rPr>
      </w:pPr>
    </w:p>
    <w:p w14:paraId="22E5DBE1" w14:textId="77777777" w:rsidR="00702FF9" w:rsidRDefault="00702FF9" w:rsidP="00702FF9">
      <w:pPr>
        <w:pStyle w:val="Heading3"/>
        <w:spacing w:after="0"/>
        <w:ind w:hanging="426"/>
      </w:pPr>
      <w:bookmarkStart w:id="114" w:name="_Toc450148023"/>
      <w:bookmarkStart w:id="115" w:name="_Toc450886593"/>
      <w:r>
        <w:t>Levels of reporting and significance</w:t>
      </w:r>
      <w:bookmarkEnd w:id="114"/>
      <w:bookmarkEnd w:id="115"/>
    </w:p>
    <w:p w14:paraId="6730FAE3" w14:textId="77777777" w:rsidR="00702FF9" w:rsidRPr="00AF7684" w:rsidRDefault="00702FF9" w:rsidP="00702FF9">
      <w:pPr>
        <w:pStyle w:val="ListParagraph"/>
        <w:numPr>
          <w:ilvl w:val="0"/>
          <w:numId w:val="18"/>
        </w:numPr>
        <w:tabs>
          <w:tab w:val="left" w:pos="142"/>
        </w:tabs>
        <w:spacing w:after="0"/>
        <w:ind w:left="142" w:hanging="568"/>
        <w:rPr>
          <w:rFonts w:ascii="Arial" w:hAnsi="Arial" w:cs="Arial"/>
          <w:sz w:val="24"/>
          <w:szCs w:val="24"/>
        </w:rPr>
      </w:pPr>
      <w:r w:rsidRPr="00AF7684">
        <w:rPr>
          <w:rFonts w:ascii="Arial" w:hAnsi="Arial" w:cs="Arial"/>
          <w:sz w:val="24"/>
          <w:szCs w:val="24"/>
        </w:rPr>
        <w:t>In developing the proposals, HEFCE provided analysis to show how using single or multiple years would affect:</w:t>
      </w:r>
    </w:p>
    <w:p w14:paraId="5D15C07D" w14:textId="77777777" w:rsidR="00702FF9" w:rsidRPr="00AF7684" w:rsidRDefault="00702FF9" w:rsidP="00702FF9">
      <w:pPr>
        <w:pStyle w:val="ListParagraph"/>
        <w:numPr>
          <w:ilvl w:val="0"/>
          <w:numId w:val="28"/>
        </w:numPr>
        <w:spacing w:after="0"/>
        <w:ind w:left="567" w:hanging="425"/>
        <w:rPr>
          <w:rFonts w:ascii="Arial" w:hAnsi="Arial" w:cs="Arial"/>
          <w:sz w:val="24"/>
          <w:szCs w:val="24"/>
        </w:rPr>
      </w:pPr>
      <w:r w:rsidRPr="00B177D8">
        <w:rPr>
          <w:rFonts w:ascii="Arial" w:hAnsi="Arial" w:cs="Arial"/>
          <w:sz w:val="24"/>
          <w:szCs w:val="24"/>
        </w:rPr>
        <w:t xml:space="preserve">The extent to which metrics would meet the reporting thresholds </w:t>
      </w:r>
    </w:p>
    <w:p w14:paraId="26865613" w14:textId="77777777" w:rsidR="00702FF9" w:rsidRPr="00AF7684" w:rsidRDefault="00702FF9" w:rsidP="00702FF9">
      <w:pPr>
        <w:pStyle w:val="ListParagraph"/>
        <w:numPr>
          <w:ilvl w:val="0"/>
          <w:numId w:val="28"/>
        </w:numPr>
        <w:spacing w:after="0"/>
        <w:ind w:left="567" w:hanging="425"/>
        <w:rPr>
          <w:rFonts w:ascii="Arial" w:hAnsi="Arial" w:cs="Arial"/>
          <w:sz w:val="24"/>
          <w:szCs w:val="24"/>
        </w:rPr>
      </w:pPr>
      <w:r w:rsidRPr="00B177D8">
        <w:rPr>
          <w:rFonts w:ascii="Arial" w:hAnsi="Arial" w:cs="Arial"/>
          <w:sz w:val="24"/>
          <w:szCs w:val="24"/>
        </w:rPr>
        <w:t>The extent to which differences between the indicators and benchmarks would be significant</w:t>
      </w:r>
      <w:r w:rsidRPr="00AF7684">
        <w:rPr>
          <w:rFonts w:ascii="Arial" w:hAnsi="Arial" w:cs="Arial"/>
          <w:sz w:val="24"/>
          <w:szCs w:val="24"/>
        </w:rPr>
        <w:t>.</w:t>
      </w:r>
    </w:p>
    <w:p w14:paraId="0AA0E881" w14:textId="77777777" w:rsidR="00702FF9" w:rsidRDefault="00702FF9" w:rsidP="00702FF9">
      <w:pPr>
        <w:spacing w:after="0"/>
      </w:pPr>
    </w:p>
    <w:p w14:paraId="5A0448EB" w14:textId="77777777" w:rsidR="00702FF9" w:rsidRDefault="00702FF9" w:rsidP="00702FF9">
      <w:pPr>
        <w:pStyle w:val="ListParagraph"/>
        <w:numPr>
          <w:ilvl w:val="0"/>
          <w:numId w:val="18"/>
        </w:numPr>
        <w:tabs>
          <w:tab w:val="left" w:pos="142"/>
        </w:tabs>
        <w:spacing w:after="0"/>
        <w:ind w:left="142" w:hanging="568"/>
        <w:rPr>
          <w:rFonts w:ascii="Arial" w:hAnsi="Arial" w:cs="Arial"/>
          <w:sz w:val="24"/>
          <w:szCs w:val="24"/>
        </w:rPr>
      </w:pPr>
      <w:r w:rsidRPr="00AF7684">
        <w:rPr>
          <w:rFonts w:ascii="Arial" w:hAnsi="Arial" w:cs="Arial"/>
          <w:sz w:val="24"/>
          <w:szCs w:val="24"/>
        </w:rPr>
        <w:t xml:space="preserve">The analysis showed that averaging the metrics over three years substantially improves the proportion of metrics that meet the reporting threshold, and also increases the proportion of metrics where the variations from a benchmark is significant. Figure 10 below provides a summary, using the proposed reporting thresholds and definition of significant difference from a benchmark. </w:t>
      </w:r>
    </w:p>
    <w:p w14:paraId="716E5814" w14:textId="77777777" w:rsidR="00702FF9" w:rsidRPr="00AF7684" w:rsidRDefault="00702FF9" w:rsidP="00702FF9">
      <w:pPr>
        <w:pStyle w:val="ListParagraph"/>
        <w:tabs>
          <w:tab w:val="left" w:pos="142"/>
        </w:tabs>
        <w:spacing w:after="0"/>
        <w:ind w:left="142"/>
        <w:rPr>
          <w:rFonts w:ascii="Arial" w:hAnsi="Arial" w:cs="Arial"/>
          <w:sz w:val="24"/>
          <w:szCs w:val="24"/>
        </w:rPr>
      </w:pPr>
    </w:p>
    <w:p w14:paraId="3135E902" w14:textId="77777777" w:rsidR="00702FF9" w:rsidRDefault="00702FF9" w:rsidP="00702FF9">
      <w:pPr>
        <w:pStyle w:val="ListParagraph"/>
        <w:numPr>
          <w:ilvl w:val="0"/>
          <w:numId w:val="18"/>
        </w:numPr>
        <w:tabs>
          <w:tab w:val="left" w:pos="142"/>
        </w:tabs>
        <w:spacing w:after="0"/>
        <w:ind w:left="142" w:hanging="568"/>
        <w:rPr>
          <w:rFonts w:ascii="Arial" w:hAnsi="Arial" w:cs="Arial"/>
          <w:sz w:val="24"/>
          <w:szCs w:val="24"/>
        </w:rPr>
      </w:pPr>
      <w:r w:rsidRPr="00AF7684">
        <w:rPr>
          <w:rFonts w:ascii="Arial" w:hAnsi="Arial" w:cs="Arial"/>
          <w:sz w:val="24"/>
          <w:szCs w:val="24"/>
        </w:rPr>
        <w:t xml:space="preserve">For FECs, the </w:t>
      </w:r>
      <w:proofErr w:type="gramStart"/>
      <w:r w:rsidRPr="00AF7684">
        <w:rPr>
          <w:rFonts w:ascii="Arial" w:hAnsi="Arial" w:cs="Arial"/>
          <w:sz w:val="24"/>
          <w:szCs w:val="24"/>
        </w:rPr>
        <w:t>proportion</w:t>
      </w:r>
      <w:proofErr w:type="gramEnd"/>
      <w:r w:rsidRPr="00AF7684">
        <w:rPr>
          <w:rFonts w:ascii="Arial" w:hAnsi="Arial" w:cs="Arial"/>
          <w:sz w:val="24"/>
          <w:szCs w:val="24"/>
        </w:rPr>
        <w:t xml:space="preserve"> of metrics that are reportable and that are significant are both considerably lower than for HEIs. This is due to typically smaller student cohorts. </w:t>
      </w:r>
    </w:p>
    <w:p w14:paraId="7C38C15F" w14:textId="77777777" w:rsidR="00702FF9" w:rsidRPr="00A27E11" w:rsidRDefault="00702FF9" w:rsidP="00702FF9">
      <w:pPr>
        <w:tabs>
          <w:tab w:val="left" w:pos="142"/>
        </w:tabs>
        <w:spacing w:after="0"/>
        <w:rPr>
          <w:rFonts w:cs="Arial"/>
        </w:rPr>
      </w:pPr>
    </w:p>
    <w:p w14:paraId="285F5CF0" w14:textId="77777777" w:rsidR="00702FF9" w:rsidRDefault="00702FF9" w:rsidP="00702FF9">
      <w:pPr>
        <w:pStyle w:val="Heading3"/>
        <w:spacing w:after="0"/>
        <w:ind w:hanging="426"/>
      </w:pPr>
      <w:bookmarkStart w:id="116" w:name="_Toc450148024"/>
      <w:bookmarkStart w:id="117" w:name="_Toc450886594"/>
      <w:r>
        <w:t>Splitting the metrics</w:t>
      </w:r>
      <w:bookmarkEnd w:id="116"/>
      <w:bookmarkEnd w:id="117"/>
    </w:p>
    <w:p w14:paraId="6D7D2DBD" w14:textId="77777777" w:rsidR="00702FF9" w:rsidRDefault="00702FF9" w:rsidP="00702FF9">
      <w:pPr>
        <w:pStyle w:val="ListParagraph"/>
        <w:numPr>
          <w:ilvl w:val="0"/>
          <w:numId w:val="18"/>
        </w:numPr>
        <w:tabs>
          <w:tab w:val="left" w:pos="142"/>
        </w:tabs>
        <w:spacing w:after="0"/>
        <w:ind w:left="142" w:hanging="568"/>
        <w:rPr>
          <w:rFonts w:ascii="Arial" w:hAnsi="Arial" w:cs="Arial"/>
          <w:sz w:val="24"/>
          <w:szCs w:val="24"/>
        </w:rPr>
      </w:pPr>
      <w:r w:rsidRPr="00AF7684">
        <w:rPr>
          <w:rFonts w:ascii="Arial" w:hAnsi="Arial" w:cs="Arial"/>
          <w:sz w:val="24"/>
          <w:szCs w:val="24"/>
        </w:rPr>
        <w:t>Two main approaches to splitting the metrics were considered. The first involved a ‘hierarchy’ of splits, similar to the way UKPIs are reported. With this approach the metrics were split by mode, then level of study, then age on entry, then other student characteristics. This would enable assessors to consider metrics for detailed sub-populations of students, for example, full-time young first degree disabled students. However, analysis showed that the sizes of these sub-populations were very often too small to meet the reporting thresholds, or to produce metrics where variances from the benchmarks were statistically significant.</w:t>
      </w:r>
    </w:p>
    <w:p w14:paraId="7650A198" w14:textId="77777777" w:rsidR="00702FF9" w:rsidRPr="00AF7684" w:rsidRDefault="00702FF9" w:rsidP="00702FF9">
      <w:pPr>
        <w:pStyle w:val="ListParagraph"/>
        <w:tabs>
          <w:tab w:val="left" w:pos="142"/>
        </w:tabs>
        <w:spacing w:after="0"/>
        <w:ind w:left="142"/>
        <w:rPr>
          <w:rFonts w:ascii="Arial" w:hAnsi="Arial" w:cs="Arial"/>
          <w:sz w:val="24"/>
          <w:szCs w:val="24"/>
        </w:rPr>
      </w:pPr>
    </w:p>
    <w:p w14:paraId="0E5440D4" w14:textId="77777777" w:rsidR="00702FF9" w:rsidRDefault="00702FF9" w:rsidP="00702FF9">
      <w:pPr>
        <w:pStyle w:val="ListParagraph"/>
        <w:numPr>
          <w:ilvl w:val="0"/>
          <w:numId w:val="18"/>
        </w:numPr>
        <w:tabs>
          <w:tab w:val="left" w:pos="142"/>
        </w:tabs>
        <w:spacing w:after="0"/>
        <w:ind w:left="142" w:hanging="568"/>
        <w:rPr>
          <w:rFonts w:ascii="Arial" w:hAnsi="Arial" w:cs="Arial"/>
          <w:sz w:val="24"/>
          <w:szCs w:val="24"/>
        </w:rPr>
      </w:pPr>
      <w:r w:rsidRPr="00AF7684">
        <w:rPr>
          <w:rFonts w:ascii="Arial" w:hAnsi="Arial" w:cs="Arial"/>
          <w:sz w:val="24"/>
          <w:szCs w:val="24"/>
        </w:rPr>
        <w:t xml:space="preserve">With the second approach, the whole full-time or part-time population was split by one variable at a time. This would enable the assessors to consider metrics for all full-time or all part-time students, split by one particular characteristic (as indicated in Figure 11 below). We propose to follow this approach, as analysis showed that these splits more often met the reporting thresholds and produced statistically significant results. </w:t>
      </w:r>
    </w:p>
    <w:p w14:paraId="5147BB30" w14:textId="77777777" w:rsidR="00702FF9" w:rsidRPr="00AF7684" w:rsidRDefault="00702FF9" w:rsidP="00702FF9">
      <w:pPr>
        <w:pStyle w:val="ListParagraph"/>
        <w:tabs>
          <w:tab w:val="left" w:pos="142"/>
        </w:tabs>
        <w:spacing w:after="0"/>
        <w:ind w:left="142"/>
        <w:rPr>
          <w:rFonts w:ascii="Arial" w:hAnsi="Arial" w:cs="Arial"/>
          <w:sz w:val="24"/>
          <w:szCs w:val="24"/>
        </w:rPr>
      </w:pPr>
    </w:p>
    <w:p w14:paraId="1EAF3950" w14:textId="6CBC24A3" w:rsidR="00E723FA" w:rsidRDefault="00702FF9" w:rsidP="00E723FA">
      <w:pPr>
        <w:pStyle w:val="ListParagraph"/>
        <w:numPr>
          <w:ilvl w:val="0"/>
          <w:numId w:val="18"/>
        </w:numPr>
        <w:tabs>
          <w:tab w:val="left" w:pos="142"/>
        </w:tabs>
        <w:spacing w:after="0"/>
        <w:ind w:left="142" w:hanging="568"/>
        <w:rPr>
          <w:rFonts w:ascii="Arial" w:hAnsi="Arial" w:cs="Arial"/>
          <w:sz w:val="24"/>
          <w:szCs w:val="24"/>
        </w:rPr>
      </w:pPr>
      <w:r w:rsidRPr="00AF7684">
        <w:rPr>
          <w:rFonts w:ascii="Arial" w:hAnsi="Arial" w:cs="Arial"/>
          <w:sz w:val="24"/>
          <w:szCs w:val="24"/>
        </w:rPr>
        <w:t>We propose to split the metrics by variables that are established in the reporting of the UK PIs (mode, level of study and age on entry), by key WP-related characteristics (POLAR groups, ethnicity and disability), and by domicile (for the NSS-based). Particular consideration was given to how to split by ethnicity, and find an appropriate balance between highlighting differences between particular ethnic groups, while also maintaining large enough sample sizes. To achieve this balance we propose to split the metrics in the</w:t>
      </w:r>
      <w:r w:rsidR="00E723FA" w:rsidRPr="00E723FA">
        <w:rPr>
          <w:rFonts w:cs="Arial"/>
        </w:rPr>
        <w:t xml:space="preserve"> </w:t>
      </w:r>
      <w:r w:rsidR="00E723FA" w:rsidRPr="00AF7684">
        <w:rPr>
          <w:rFonts w:ascii="Arial" w:hAnsi="Arial" w:cs="Arial"/>
          <w:sz w:val="24"/>
          <w:szCs w:val="24"/>
        </w:rPr>
        <w:t xml:space="preserve">first instance between students with a white background and a BME background. In addition, where there are significant differences (i.e. different flags) between students with Black, Asian and Other backgrounds, these will also be reported. </w:t>
      </w:r>
    </w:p>
    <w:p w14:paraId="43366E3B" w14:textId="77777777" w:rsidR="00E723FA" w:rsidRPr="00AF7684" w:rsidRDefault="00E723FA" w:rsidP="00E723FA">
      <w:pPr>
        <w:pStyle w:val="ListParagraph"/>
        <w:tabs>
          <w:tab w:val="left" w:pos="142"/>
        </w:tabs>
        <w:spacing w:after="0"/>
        <w:ind w:left="142"/>
        <w:rPr>
          <w:rFonts w:ascii="Arial" w:hAnsi="Arial" w:cs="Arial"/>
          <w:sz w:val="24"/>
          <w:szCs w:val="24"/>
        </w:rPr>
      </w:pPr>
    </w:p>
    <w:p w14:paraId="1A2FA1CE" w14:textId="77777777" w:rsidR="00E723FA" w:rsidRDefault="00E723FA" w:rsidP="00E723FA">
      <w:pPr>
        <w:pStyle w:val="Heading3"/>
        <w:spacing w:after="0"/>
        <w:ind w:hanging="426"/>
      </w:pPr>
      <w:bookmarkStart w:id="118" w:name="_Toc450148025"/>
      <w:bookmarkStart w:id="119" w:name="_Toc450886595"/>
      <w:r>
        <w:t>Metrics information for assessors</w:t>
      </w:r>
      <w:bookmarkEnd w:id="118"/>
      <w:bookmarkEnd w:id="119"/>
    </w:p>
    <w:p w14:paraId="305F238B" w14:textId="77777777" w:rsidR="00E723FA" w:rsidRPr="00AF7684" w:rsidRDefault="00E723FA" w:rsidP="00E723FA">
      <w:pPr>
        <w:pStyle w:val="ListParagraph"/>
        <w:numPr>
          <w:ilvl w:val="0"/>
          <w:numId w:val="18"/>
        </w:numPr>
        <w:tabs>
          <w:tab w:val="left" w:pos="142"/>
        </w:tabs>
        <w:spacing w:after="0"/>
        <w:ind w:left="142" w:hanging="568"/>
        <w:rPr>
          <w:rFonts w:ascii="Arial" w:hAnsi="Arial" w:cs="Arial"/>
          <w:sz w:val="24"/>
          <w:szCs w:val="24"/>
        </w:rPr>
      </w:pPr>
      <w:r w:rsidRPr="00AF7684">
        <w:rPr>
          <w:rFonts w:ascii="Arial" w:hAnsi="Arial" w:cs="Arial"/>
          <w:sz w:val="24"/>
          <w:szCs w:val="24"/>
        </w:rPr>
        <w:t xml:space="preserve">Figure 10 outlines key metrics information we propose should be provided to assessors. In addition, we propose to report further details about the years and the splits, so that assessors can understand any significant variations in more detail. This would include the actual percentage, the benchmark percentage, the difference between the two and the z-score for each year and each split.  </w:t>
      </w:r>
    </w:p>
    <w:p w14:paraId="4CE35ED1" w14:textId="77777777" w:rsidR="00E723FA" w:rsidRDefault="00E723FA" w:rsidP="00E723FA">
      <w:pPr>
        <w:spacing w:after="0"/>
      </w:pPr>
    </w:p>
    <w:p w14:paraId="49B9512A" w14:textId="77777777" w:rsidR="00E723FA" w:rsidRDefault="00E723FA" w:rsidP="00E723FA">
      <w:pPr>
        <w:spacing w:after="0"/>
        <w:ind w:hanging="426"/>
      </w:pPr>
      <w:r w:rsidRPr="00166C95">
        <w:rPr>
          <w:b/>
          <w:bCs/>
          <w:color w:val="009BBB"/>
          <w:sz w:val="26"/>
          <w:szCs w:val="26"/>
        </w:rPr>
        <w:t xml:space="preserve">Treatment of </w:t>
      </w:r>
      <w:r>
        <w:rPr>
          <w:b/>
          <w:bCs/>
          <w:color w:val="009BBB"/>
          <w:sz w:val="26"/>
          <w:szCs w:val="26"/>
        </w:rPr>
        <w:t>franchised</w:t>
      </w:r>
      <w:r w:rsidRPr="00166C95">
        <w:rPr>
          <w:b/>
          <w:bCs/>
          <w:color w:val="009BBB"/>
          <w:sz w:val="26"/>
          <w:szCs w:val="26"/>
        </w:rPr>
        <w:t xml:space="preserve"> activity</w:t>
      </w:r>
      <w:r>
        <w:t xml:space="preserve"> </w:t>
      </w:r>
    </w:p>
    <w:p w14:paraId="656B9EE8" w14:textId="77777777" w:rsidR="00E723FA" w:rsidRPr="00AF7684" w:rsidRDefault="00E723FA" w:rsidP="00E723FA">
      <w:pPr>
        <w:pStyle w:val="ListParagraph"/>
        <w:numPr>
          <w:ilvl w:val="0"/>
          <w:numId w:val="18"/>
        </w:numPr>
        <w:tabs>
          <w:tab w:val="left" w:pos="142"/>
        </w:tabs>
        <w:spacing w:after="0"/>
        <w:ind w:left="142" w:hanging="568"/>
        <w:rPr>
          <w:rFonts w:ascii="Arial" w:hAnsi="Arial" w:cs="Arial"/>
          <w:sz w:val="24"/>
          <w:szCs w:val="24"/>
        </w:rPr>
      </w:pPr>
      <w:r w:rsidRPr="00AF7684">
        <w:rPr>
          <w:rFonts w:ascii="Arial" w:hAnsi="Arial" w:cs="Arial"/>
          <w:sz w:val="24"/>
          <w:szCs w:val="24"/>
        </w:rPr>
        <w:t xml:space="preserve">In recognition of the importance of the learning environment at which students are taught, for a franchised provider that meets the eligibility requirements set out in </w:t>
      </w:r>
      <w:r w:rsidRPr="00AF7684">
        <w:rPr>
          <w:rFonts w:ascii="Arial" w:hAnsi="Arial" w:cs="Arial"/>
          <w:b/>
          <w:sz w:val="24"/>
          <w:szCs w:val="24"/>
        </w:rPr>
        <w:t>Chapter 2: Eligibility and Pre-requisites</w:t>
      </w:r>
      <w:r w:rsidRPr="00AF7684">
        <w:rPr>
          <w:rFonts w:ascii="Arial" w:hAnsi="Arial" w:cs="Arial"/>
          <w:sz w:val="24"/>
          <w:szCs w:val="24"/>
        </w:rPr>
        <w:t xml:space="preserve"> students will be associated with the provider at which they are taught. In some cases, students are taught by more than one provider as part of their course; rather than have such students associated with different providers for different metrics, we intend that they will be associated with the provider where they spend the majority of their first year.</w:t>
      </w:r>
    </w:p>
    <w:p w14:paraId="647AE8D9" w14:textId="5F24B7E2" w:rsidR="00702FF9" w:rsidRDefault="00702FF9" w:rsidP="00702FF9">
      <w:pPr>
        <w:rPr>
          <w:rFonts w:cs="Arial"/>
        </w:rPr>
      </w:pPr>
    </w:p>
    <w:p w14:paraId="420E1A50" w14:textId="77777777" w:rsidR="00560CEF" w:rsidRDefault="00560CEF" w:rsidP="00702FF9">
      <w:pPr>
        <w:rPr>
          <w:rFonts w:cs="Arial"/>
        </w:rPr>
      </w:pPr>
    </w:p>
    <w:p w14:paraId="4FE2A6A4" w14:textId="77777777" w:rsidR="00560CEF" w:rsidRDefault="00560CEF" w:rsidP="00702FF9">
      <w:pPr>
        <w:rPr>
          <w:rFonts w:cs="Arial"/>
        </w:rPr>
      </w:pPr>
    </w:p>
    <w:p w14:paraId="451FC3F6" w14:textId="77777777" w:rsidR="00560CEF" w:rsidRDefault="00560CEF" w:rsidP="00702FF9">
      <w:pPr>
        <w:rPr>
          <w:rFonts w:cs="Arial"/>
        </w:rPr>
      </w:pPr>
    </w:p>
    <w:p w14:paraId="6EAD7ACC" w14:textId="77777777" w:rsidR="00560CEF" w:rsidRDefault="00560CEF" w:rsidP="00702FF9">
      <w:pPr>
        <w:rPr>
          <w:rFonts w:cs="Arial"/>
        </w:rPr>
      </w:pPr>
    </w:p>
    <w:p w14:paraId="32144EE6" w14:textId="77777777" w:rsidR="00560CEF" w:rsidRDefault="00560CEF" w:rsidP="00702FF9">
      <w:pPr>
        <w:rPr>
          <w:rFonts w:cs="Arial"/>
        </w:rPr>
      </w:pPr>
    </w:p>
    <w:p w14:paraId="50238D3E" w14:textId="77777777" w:rsidR="00560CEF" w:rsidRDefault="00560CEF" w:rsidP="00702FF9">
      <w:pPr>
        <w:rPr>
          <w:rFonts w:cs="Arial"/>
        </w:rPr>
      </w:pPr>
    </w:p>
    <w:p w14:paraId="7CCA047A" w14:textId="77777777" w:rsidR="0059790B" w:rsidRDefault="0059790B" w:rsidP="00702FF9">
      <w:pPr>
        <w:rPr>
          <w:rFonts w:cs="Arial"/>
        </w:rPr>
        <w:sectPr w:rsidR="0059790B" w:rsidSect="00560CEF">
          <w:headerReference w:type="default" r:id="rId16"/>
          <w:pgSz w:w="11906" w:h="16838" w:code="9"/>
          <w:pgMar w:top="1701" w:right="1134" w:bottom="1134" w:left="1134" w:header="437" w:footer="266" w:gutter="0"/>
          <w:cols w:space="720"/>
          <w:titlePg/>
          <w:docGrid w:linePitch="326"/>
        </w:sectPr>
      </w:pPr>
      <w:r>
        <w:rPr>
          <w:rFonts w:cs="Arial"/>
        </w:rPr>
        <w:br w:type="page"/>
      </w:r>
    </w:p>
    <w:p w14:paraId="6D1ABD1F" w14:textId="77777777" w:rsidR="0059790B" w:rsidRPr="00FE2F3E" w:rsidRDefault="0059790B" w:rsidP="0059790B">
      <w:pPr>
        <w:pStyle w:val="ListParagraph"/>
        <w:numPr>
          <w:ilvl w:val="0"/>
          <w:numId w:val="18"/>
        </w:numPr>
        <w:tabs>
          <w:tab w:val="left" w:pos="142"/>
        </w:tabs>
        <w:spacing w:after="0"/>
        <w:ind w:left="142" w:hanging="568"/>
        <w:rPr>
          <w:rStyle w:val="FootnoteReference"/>
        </w:rPr>
      </w:pPr>
      <w:r w:rsidRPr="00AF7684">
        <w:rPr>
          <w:rFonts w:ascii="Arial" w:hAnsi="Arial" w:cs="Arial"/>
          <w:b/>
          <w:sz w:val="24"/>
          <w:szCs w:val="24"/>
        </w:rPr>
        <w:lastRenderedPageBreak/>
        <w:t>Figure 10: Proportion of provider metrics that are reportable, and with significant differences from the benchmark</w:t>
      </w:r>
      <w:r w:rsidRPr="00FE2F3E">
        <w:rPr>
          <w:rStyle w:val="FootnoteReference"/>
        </w:rPr>
        <w:footnoteReference w:id="36"/>
      </w:r>
      <w:r w:rsidRPr="00FE2F3E">
        <w:rPr>
          <w:rStyle w:val="FootnoteReference"/>
        </w:rPr>
        <w:t xml:space="preserve"> </w:t>
      </w:r>
      <w:r w:rsidRPr="00FE2F3E">
        <w:rPr>
          <w:rStyle w:val="FootnoteReference"/>
        </w:rPr>
        <w:footnoteReference w:id="37"/>
      </w:r>
      <w:r w:rsidRPr="00FE2F3E">
        <w:rPr>
          <w:rStyle w:val="FootnoteReference"/>
        </w:rPr>
        <w:t xml:space="preserve"> </w:t>
      </w:r>
    </w:p>
    <w:tbl>
      <w:tblPr>
        <w:tblStyle w:val="TableGrid"/>
        <w:tblW w:w="0" w:type="auto"/>
        <w:tblLayout w:type="fixed"/>
        <w:tblLook w:val="04A0" w:firstRow="1" w:lastRow="0" w:firstColumn="1" w:lastColumn="0" w:noHBand="0" w:noVBand="1"/>
      </w:tblPr>
      <w:tblGrid>
        <w:gridCol w:w="1055"/>
        <w:gridCol w:w="880"/>
        <w:gridCol w:w="624"/>
        <w:gridCol w:w="880"/>
        <w:gridCol w:w="562"/>
        <w:gridCol w:w="880"/>
        <w:gridCol w:w="562"/>
        <w:gridCol w:w="880"/>
        <w:gridCol w:w="624"/>
        <w:gridCol w:w="880"/>
        <w:gridCol w:w="562"/>
        <w:gridCol w:w="880"/>
        <w:gridCol w:w="562"/>
        <w:gridCol w:w="880"/>
        <w:gridCol w:w="624"/>
        <w:gridCol w:w="880"/>
        <w:gridCol w:w="562"/>
        <w:gridCol w:w="880"/>
        <w:gridCol w:w="562"/>
      </w:tblGrid>
      <w:tr w:rsidR="0059790B" w:rsidRPr="00C62592" w14:paraId="77C7E39F" w14:textId="77777777" w:rsidTr="0059790B">
        <w:tc>
          <w:tcPr>
            <w:tcW w:w="1055" w:type="dxa"/>
            <w:vMerge w:val="restart"/>
          </w:tcPr>
          <w:p w14:paraId="35D63165" w14:textId="77777777" w:rsidR="0059790B" w:rsidRPr="00F601B7" w:rsidRDefault="0059790B" w:rsidP="0059790B">
            <w:pPr>
              <w:jc w:val="center"/>
              <w:rPr>
                <w:rFonts w:cs="Arial"/>
                <w:b/>
                <w:sz w:val="16"/>
                <w:szCs w:val="16"/>
              </w:rPr>
            </w:pPr>
          </w:p>
        </w:tc>
        <w:tc>
          <w:tcPr>
            <w:tcW w:w="4388" w:type="dxa"/>
            <w:gridSpan w:val="6"/>
          </w:tcPr>
          <w:p w14:paraId="7531AF27" w14:textId="77777777" w:rsidR="0059790B" w:rsidRPr="00A320AC" w:rsidRDefault="0059790B" w:rsidP="0059790B">
            <w:pPr>
              <w:jc w:val="center"/>
              <w:rPr>
                <w:rFonts w:cs="Arial"/>
                <w:b/>
                <w:sz w:val="16"/>
                <w:szCs w:val="16"/>
              </w:rPr>
            </w:pPr>
            <w:r w:rsidRPr="005917E1">
              <w:rPr>
                <w:rFonts w:cs="Arial"/>
                <w:b/>
                <w:sz w:val="16"/>
                <w:szCs w:val="16"/>
              </w:rPr>
              <w:t>HEIs and FECs</w:t>
            </w:r>
          </w:p>
        </w:tc>
        <w:tc>
          <w:tcPr>
            <w:tcW w:w="4388" w:type="dxa"/>
            <w:gridSpan w:val="6"/>
          </w:tcPr>
          <w:p w14:paraId="0E19659B" w14:textId="77777777" w:rsidR="0059790B" w:rsidRPr="00A320AC" w:rsidRDefault="0059790B" w:rsidP="0059790B">
            <w:pPr>
              <w:jc w:val="center"/>
              <w:rPr>
                <w:rFonts w:cs="Arial"/>
                <w:b/>
                <w:sz w:val="16"/>
                <w:szCs w:val="16"/>
              </w:rPr>
            </w:pPr>
            <w:r w:rsidRPr="00A320AC">
              <w:rPr>
                <w:rFonts w:cs="Arial"/>
                <w:b/>
                <w:sz w:val="16"/>
                <w:szCs w:val="16"/>
              </w:rPr>
              <w:t>HEIs only</w:t>
            </w:r>
          </w:p>
        </w:tc>
        <w:tc>
          <w:tcPr>
            <w:tcW w:w="4388" w:type="dxa"/>
            <w:gridSpan w:val="6"/>
          </w:tcPr>
          <w:p w14:paraId="7F5B974A" w14:textId="77777777" w:rsidR="0059790B" w:rsidRPr="00A320AC" w:rsidRDefault="0059790B" w:rsidP="0059790B">
            <w:pPr>
              <w:jc w:val="center"/>
              <w:rPr>
                <w:rFonts w:cs="Arial"/>
                <w:b/>
                <w:sz w:val="16"/>
                <w:szCs w:val="16"/>
              </w:rPr>
            </w:pPr>
            <w:r w:rsidRPr="00A320AC">
              <w:rPr>
                <w:rFonts w:cs="Arial"/>
                <w:b/>
                <w:sz w:val="16"/>
                <w:szCs w:val="16"/>
              </w:rPr>
              <w:t>FECs only</w:t>
            </w:r>
          </w:p>
        </w:tc>
      </w:tr>
      <w:tr w:rsidR="0059790B" w:rsidRPr="00C62592" w14:paraId="345962EF" w14:textId="77777777" w:rsidTr="0059790B">
        <w:tc>
          <w:tcPr>
            <w:tcW w:w="1055" w:type="dxa"/>
            <w:vMerge/>
          </w:tcPr>
          <w:p w14:paraId="4A7440C6" w14:textId="77777777" w:rsidR="0059790B" w:rsidRPr="00A320AC" w:rsidRDefault="0059790B" w:rsidP="0059790B">
            <w:pPr>
              <w:jc w:val="center"/>
              <w:rPr>
                <w:rFonts w:cs="Arial"/>
                <w:b/>
                <w:sz w:val="16"/>
                <w:szCs w:val="16"/>
              </w:rPr>
            </w:pPr>
          </w:p>
        </w:tc>
        <w:tc>
          <w:tcPr>
            <w:tcW w:w="1504" w:type="dxa"/>
            <w:gridSpan w:val="2"/>
          </w:tcPr>
          <w:p w14:paraId="68E5C910" w14:textId="77777777" w:rsidR="0059790B" w:rsidRPr="00A320AC" w:rsidRDefault="0059790B" w:rsidP="0059790B">
            <w:pPr>
              <w:jc w:val="center"/>
              <w:rPr>
                <w:rFonts w:cs="Arial"/>
                <w:b/>
                <w:sz w:val="16"/>
                <w:szCs w:val="16"/>
              </w:rPr>
            </w:pPr>
            <w:r w:rsidRPr="00A320AC">
              <w:rPr>
                <w:rFonts w:cs="Arial"/>
                <w:b/>
                <w:sz w:val="16"/>
                <w:szCs w:val="16"/>
              </w:rPr>
              <w:t>No. of possible metrics</w:t>
            </w:r>
          </w:p>
        </w:tc>
        <w:tc>
          <w:tcPr>
            <w:tcW w:w="1442" w:type="dxa"/>
            <w:gridSpan w:val="2"/>
          </w:tcPr>
          <w:p w14:paraId="525F628C" w14:textId="77777777" w:rsidR="0059790B" w:rsidRPr="00A320AC" w:rsidRDefault="0059790B" w:rsidP="0059790B">
            <w:pPr>
              <w:jc w:val="center"/>
              <w:rPr>
                <w:rFonts w:cs="Arial"/>
                <w:b/>
                <w:sz w:val="16"/>
                <w:szCs w:val="16"/>
              </w:rPr>
            </w:pPr>
            <w:r w:rsidRPr="00A320AC">
              <w:rPr>
                <w:rFonts w:cs="Arial"/>
                <w:b/>
                <w:sz w:val="16"/>
                <w:szCs w:val="16"/>
              </w:rPr>
              <w:t>% reportable</w:t>
            </w:r>
          </w:p>
        </w:tc>
        <w:tc>
          <w:tcPr>
            <w:tcW w:w="1442" w:type="dxa"/>
            <w:gridSpan w:val="2"/>
          </w:tcPr>
          <w:p w14:paraId="305478BD" w14:textId="77777777" w:rsidR="0059790B" w:rsidRPr="00A320AC" w:rsidRDefault="0059790B" w:rsidP="0059790B">
            <w:pPr>
              <w:jc w:val="center"/>
              <w:rPr>
                <w:rFonts w:cs="Arial"/>
                <w:b/>
                <w:sz w:val="16"/>
                <w:szCs w:val="16"/>
              </w:rPr>
            </w:pPr>
            <w:r w:rsidRPr="00A320AC">
              <w:rPr>
                <w:rFonts w:cs="Arial"/>
                <w:b/>
                <w:sz w:val="16"/>
                <w:szCs w:val="16"/>
              </w:rPr>
              <w:t>% significant</w:t>
            </w:r>
          </w:p>
        </w:tc>
        <w:tc>
          <w:tcPr>
            <w:tcW w:w="1504" w:type="dxa"/>
            <w:gridSpan w:val="2"/>
          </w:tcPr>
          <w:p w14:paraId="33A8C95F" w14:textId="77777777" w:rsidR="0059790B" w:rsidRPr="00A320AC" w:rsidRDefault="0059790B" w:rsidP="0059790B">
            <w:pPr>
              <w:jc w:val="center"/>
              <w:rPr>
                <w:rFonts w:cs="Arial"/>
                <w:b/>
                <w:sz w:val="16"/>
                <w:szCs w:val="16"/>
              </w:rPr>
            </w:pPr>
            <w:r w:rsidRPr="00A320AC">
              <w:rPr>
                <w:rFonts w:cs="Arial"/>
                <w:b/>
                <w:sz w:val="16"/>
                <w:szCs w:val="16"/>
              </w:rPr>
              <w:t>No. of possible metrics</w:t>
            </w:r>
          </w:p>
        </w:tc>
        <w:tc>
          <w:tcPr>
            <w:tcW w:w="1442" w:type="dxa"/>
            <w:gridSpan w:val="2"/>
          </w:tcPr>
          <w:p w14:paraId="6D420BC3" w14:textId="77777777" w:rsidR="0059790B" w:rsidRPr="00A320AC" w:rsidRDefault="0059790B" w:rsidP="0059790B">
            <w:pPr>
              <w:jc w:val="center"/>
              <w:rPr>
                <w:rFonts w:cs="Arial"/>
                <w:b/>
                <w:sz w:val="16"/>
                <w:szCs w:val="16"/>
              </w:rPr>
            </w:pPr>
            <w:r w:rsidRPr="00A320AC">
              <w:rPr>
                <w:rFonts w:cs="Arial"/>
                <w:b/>
                <w:sz w:val="16"/>
                <w:szCs w:val="16"/>
              </w:rPr>
              <w:t>% reportable</w:t>
            </w:r>
          </w:p>
        </w:tc>
        <w:tc>
          <w:tcPr>
            <w:tcW w:w="1442" w:type="dxa"/>
            <w:gridSpan w:val="2"/>
          </w:tcPr>
          <w:p w14:paraId="19CA3845" w14:textId="77777777" w:rsidR="0059790B" w:rsidRPr="00A320AC" w:rsidRDefault="0059790B" w:rsidP="0059790B">
            <w:pPr>
              <w:jc w:val="center"/>
              <w:rPr>
                <w:rFonts w:cs="Arial"/>
                <w:b/>
                <w:sz w:val="16"/>
                <w:szCs w:val="16"/>
              </w:rPr>
            </w:pPr>
            <w:r w:rsidRPr="00A320AC">
              <w:rPr>
                <w:rFonts w:cs="Arial"/>
                <w:b/>
                <w:sz w:val="16"/>
                <w:szCs w:val="16"/>
              </w:rPr>
              <w:t>% significant</w:t>
            </w:r>
          </w:p>
        </w:tc>
        <w:tc>
          <w:tcPr>
            <w:tcW w:w="1504" w:type="dxa"/>
            <w:gridSpan w:val="2"/>
          </w:tcPr>
          <w:p w14:paraId="7DDD6F6D" w14:textId="77777777" w:rsidR="0059790B" w:rsidRPr="00A320AC" w:rsidRDefault="0059790B" w:rsidP="0059790B">
            <w:pPr>
              <w:jc w:val="center"/>
              <w:rPr>
                <w:rFonts w:cs="Arial"/>
                <w:b/>
                <w:sz w:val="16"/>
                <w:szCs w:val="16"/>
              </w:rPr>
            </w:pPr>
            <w:r w:rsidRPr="00A320AC">
              <w:rPr>
                <w:rFonts w:cs="Arial"/>
                <w:b/>
                <w:sz w:val="16"/>
                <w:szCs w:val="16"/>
              </w:rPr>
              <w:t>No. of possible metrics</w:t>
            </w:r>
          </w:p>
        </w:tc>
        <w:tc>
          <w:tcPr>
            <w:tcW w:w="1442" w:type="dxa"/>
            <w:gridSpan w:val="2"/>
          </w:tcPr>
          <w:p w14:paraId="3308A9ED" w14:textId="77777777" w:rsidR="0059790B" w:rsidRPr="00A320AC" w:rsidRDefault="0059790B" w:rsidP="0059790B">
            <w:pPr>
              <w:jc w:val="center"/>
              <w:rPr>
                <w:rFonts w:cs="Arial"/>
                <w:b/>
                <w:sz w:val="16"/>
                <w:szCs w:val="16"/>
              </w:rPr>
            </w:pPr>
            <w:r w:rsidRPr="00A320AC">
              <w:rPr>
                <w:rFonts w:cs="Arial"/>
                <w:b/>
                <w:sz w:val="16"/>
                <w:szCs w:val="16"/>
              </w:rPr>
              <w:t>% reportable</w:t>
            </w:r>
          </w:p>
        </w:tc>
        <w:tc>
          <w:tcPr>
            <w:tcW w:w="1442" w:type="dxa"/>
            <w:gridSpan w:val="2"/>
          </w:tcPr>
          <w:p w14:paraId="6E6BB05A" w14:textId="77777777" w:rsidR="0059790B" w:rsidRPr="00A320AC" w:rsidRDefault="0059790B" w:rsidP="0059790B">
            <w:pPr>
              <w:jc w:val="center"/>
              <w:rPr>
                <w:rFonts w:cs="Arial"/>
                <w:b/>
                <w:sz w:val="16"/>
                <w:szCs w:val="16"/>
              </w:rPr>
            </w:pPr>
            <w:r w:rsidRPr="00A320AC">
              <w:rPr>
                <w:rFonts w:cs="Arial"/>
                <w:b/>
                <w:sz w:val="16"/>
                <w:szCs w:val="16"/>
              </w:rPr>
              <w:t>% significant</w:t>
            </w:r>
          </w:p>
        </w:tc>
      </w:tr>
      <w:tr w:rsidR="0059790B" w:rsidRPr="00C62592" w14:paraId="18434727" w14:textId="77777777" w:rsidTr="0059790B">
        <w:tc>
          <w:tcPr>
            <w:tcW w:w="1055" w:type="dxa"/>
            <w:vMerge/>
          </w:tcPr>
          <w:p w14:paraId="64353693" w14:textId="77777777" w:rsidR="0059790B" w:rsidRPr="00A320AC" w:rsidRDefault="0059790B" w:rsidP="0059790B">
            <w:pPr>
              <w:jc w:val="center"/>
              <w:rPr>
                <w:rFonts w:cs="Arial"/>
                <w:b/>
                <w:sz w:val="16"/>
                <w:szCs w:val="16"/>
              </w:rPr>
            </w:pPr>
          </w:p>
        </w:tc>
        <w:tc>
          <w:tcPr>
            <w:tcW w:w="880" w:type="dxa"/>
          </w:tcPr>
          <w:p w14:paraId="687B97BE" w14:textId="77777777" w:rsidR="0059790B" w:rsidRPr="00A320AC" w:rsidRDefault="0059790B" w:rsidP="0059790B">
            <w:pPr>
              <w:jc w:val="center"/>
              <w:rPr>
                <w:rFonts w:cs="Arial"/>
                <w:b/>
                <w:sz w:val="16"/>
                <w:szCs w:val="16"/>
              </w:rPr>
            </w:pPr>
            <w:r w:rsidRPr="00A320AC">
              <w:rPr>
                <w:rFonts w:cs="Arial"/>
                <w:b/>
                <w:sz w:val="16"/>
                <w:szCs w:val="16"/>
              </w:rPr>
              <w:t>3 year average</w:t>
            </w:r>
          </w:p>
        </w:tc>
        <w:tc>
          <w:tcPr>
            <w:tcW w:w="624" w:type="dxa"/>
          </w:tcPr>
          <w:p w14:paraId="687934E7" w14:textId="77777777" w:rsidR="0059790B" w:rsidRPr="00A320AC" w:rsidRDefault="0059790B" w:rsidP="0059790B">
            <w:pPr>
              <w:jc w:val="center"/>
              <w:rPr>
                <w:rFonts w:cs="Arial"/>
                <w:b/>
                <w:sz w:val="16"/>
                <w:szCs w:val="16"/>
              </w:rPr>
            </w:pPr>
            <w:r w:rsidRPr="00A320AC">
              <w:rPr>
                <w:rFonts w:cs="Arial"/>
                <w:b/>
                <w:sz w:val="16"/>
                <w:szCs w:val="16"/>
              </w:rPr>
              <w:t>1 year</w:t>
            </w:r>
          </w:p>
        </w:tc>
        <w:tc>
          <w:tcPr>
            <w:tcW w:w="880" w:type="dxa"/>
          </w:tcPr>
          <w:p w14:paraId="0CEF7CCE" w14:textId="77777777" w:rsidR="0059790B" w:rsidRPr="00A320AC" w:rsidRDefault="0059790B" w:rsidP="0059790B">
            <w:pPr>
              <w:jc w:val="center"/>
              <w:rPr>
                <w:rFonts w:cs="Arial"/>
                <w:b/>
                <w:sz w:val="16"/>
                <w:szCs w:val="16"/>
              </w:rPr>
            </w:pPr>
            <w:r w:rsidRPr="00A320AC">
              <w:rPr>
                <w:rFonts w:cs="Arial"/>
                <w:b/>
                <w:sz w:val="16"/>
                <w:szCs w:val="16"/>
              </w:rPr>
              <w:t>3 year average</w:t>
            </w:r>
          </w:p>
        </w:tc>
        <w:tc>
          <w:tcPr>
            <w:tcW w:w="562" w:type="dxa"/>
          </w:tcPr>
          <w:p w14:paraId="5A939A1D" w14:textId="77777777" w:rsidR="0059790B" w:rsidRPr="00A320AC" w:rsidRDefault="0059790B" w:rsidP="0059790B">
            <w:pPr>
              <w:jc w:val="center"/>
              <w:rPr>
                <w:rFonts w:cs="Arial"/>
                <w:b/>
                <w:sz w:val="16"/>
                <w:szCs w:val="16"/>
              </w:rPr>
            </w:pPr>
            <w:r w:rsidRPr="00A320AC">
              <w:rPr>
                <w:rFonts w:cs="Arial"/>
                <w:b/>
                <w:sz w:val="16"/>
                <w:szCs w:val="16"/>
              </w:rPr>
              <w:t>1 year</w:t>
            </w:r>
          </w:p>
        </w:tc>
        <w:tc>
          <w:tcPr>
            <w:tcW w:w="880" w:type="dxa"/>
          </w:tcPr>
          <w:p w14:paraId="6B8C3BF9" w14:textId="77777777" w:rsidR="0059790B" w:rsidRPr="00A320AC" w:rsidRDefault="0059790B" w:rsidP="0059790B">
            <w:pPr>
              <w:jc w:val="center"/>
              <w:rPr>
                <w:rFonts w:cs="Arial"/>
                <w:b/>
                <w:sz w:val="16"/>
                <w:szCs w:val="16"/>
              </w:rPr>
            </w:pPr>
            <w:r w:rsidRPr="00A320AC">
              <w:rPr>
                <w:rFonts w:cs="Arial"/>
                <w:b/>
                <w:sz w:val="16"/>
                <w:szCs w:val="16"/>
              </w:rPr>
              <w:t>3 year average</w:t>
            </w:r>
          </w:p>
        </w:tc>
        <w:tc>
          <w:tcPr>
            <w:tcW w:w="562" w:type="dxa"/>
          </w:tcPr>
          <w:p w14:paraId="7DE5BFCE" w14:textId="77777777" w:rsidR="0059790B" w:rsidRPr="00A320AC" w:rsidRDefault="0059790B" w:rsidP="0059790B">
            <w:pPr>
              <w:jc w:val="center"/>
              <w:rPr>
                <w:rFonts w:cs="Arial"/>
                <w:b/>
                <w:sz w:val="16"/>
                <w:szCs w:val="16"/>
              </w:rPr>
            </w:pPr>
            <w:r w:rsidRPr="00A320AC">
              <w:rPr>
                <w:rFonts w:cs="Arial"/>
                <w:b/>
                <w:sz w:val="16"/>
                <w:szCs w:val="16"/>
              </w:rPr>
              <w:t>1 year</w:t>
            </w:r>
          </w:p>
        </w:tc>
        <w:tc>
          <w:tcPr>
            <w:tcW w:w="880" w:type="dxa"/>
          </w:tcPr>
          <w:p w14:paraId="71FC47E1" w14:textId="77777777" w:rsidR="0059790B" w:rsidRPr="00A320AC" w:rsidRDefault="0059790B" w:rsidP="0059790B">
            <w:pPr>
              <w:jc w:val="center"/>
              <w:rPr>
                <w:rFonts w:cs="Arial"/>
                <w:b/>
                <w:sz w:val="16"/>
                <w:szCs w:val="16"/>
              </w:rPr>
            </w:pPr>
            <w:r w:rsidRPr="00A320AC">
              <w:rPr>
                <w:rFonts w:cs="Arial"/>
                <w:b/>
                <w:sz w:val="16"/>
                <w:szCs w:val="16"/>
              </w:rPr>
              <w:t>3 year average</w:t>
            </w:r>
          </w:p>
        </w:tc>
        <w:tc>
          <w:tcPr>
            <w:tcW w:w="624" w:type="dxa"/>
          </w:tcPr>
          <w:p w14:paraId="765E814A" w14:textId="77777777" w:rsidR="0059790B" w:rsidRPr="00A320AC" w:rsidRDefault="0059790B" w:rsidP="0059790B">
            <w:pPr>
              <w:jc w:val="center"/>
              <w:rPr>
                <w:rFonts w:cs="Arial"/>
                <w:b/>
                <w:sz w:val="16"/>
                <w:szCs w:val="16"/>
              </w:rPr>
            </w:pPr>
            <w:r w:rsidRPr="00A320AC">
              <w:rPr>
                <w:rFonts w:cs="Arial"/>
                <w:b/>
                <w:sz w:val="16"/>
                <w:szCs w:val="16"/>
              </w:rPr>
              <w:t>1 year</w:t>
            </w:r>
          </w:p>
        </w:tc>
        <w:tc>
          <w:tcPr>
            <w:tcW w:w="880" w:type="dxa"/>
          </w:tcPr>
          <w:p w14:paraId="2292EC25" w14:textId="77777777" w:rsidR="0059790B" w:rsidRPr="00A320AC" w:rsidRDefault="0059790B" w:rsidP="0059790B">
            <w:pPr>
              <w:jc w:val="center"/>
              <w:rPr>
                <w:rFonts w:cs="Arial"/>
                <w:b/>
                <w:sz w:val="16"/>
                <w:szCs w:val="16"/>
              </w:rPr>
            </w:pPr>
            <w:r w:rsidRPr="00A320AC">
              <w:rPr>
                <w:rFonts w:cs="Arial"/>
                <w:b/>
                <w:sz w:val="16"/>
                <w:szCs w:val="16"/>
              </w:rPr>
              <w:t>3 year average</w:t>
            </w:r>
          </w:p>
        </w:tc>
        <w:tc>
          <w:tcPr>
            <w:tcW w:w="562" w:type="dxa"/>
          </w:tcPr>
          <w:p w14:paraId="797A0F72" w14:textId="77777777" w:rsidR="0059790B" w:rsidRPr="00A320AC" w:rsidRDefault="0059790B" w:rsidP="0059790B">
            <w:pPr>
              <w:jc w:val="center"/>
              <w:rPr>
                <w:rFonts w:cs="Arial"/>
                <w:b/>
                <w:sz w:val="16"/>
                <w:szCs w:val="16"/>
              </w:rPr>
            </w:pPr>
            <w:r w:rsidRPr="00A320AC">
              <w:rPr>
                <w:rFonts w:cs="Arial"/>
                <w:b/>
                <w:sz w:val="16"/>
                <w:szCs w:val="16"/>
              </w:rPr>
              <w:t>1 year</w:t>
            </w:r>
          </w:p>
        </w:tc>
        <w:tc>
          <w:tcPr>
            <w:tcW w:w="880" w:type="dxa"/>
          </w:tcPr>
          <w:p w14:paraId="5AAF779B" w14:textId="77777777" w:rsidR="0059790B" w:rsidRPr="00A320AC" w:rsidRDefault="0059790B" w:rsidP="0059790B">
            <w:pPr>
              <w:jc w:val="center"/>
              <w:rPr>
                <w:rFonts w:cs="Arial"/>
                <w:b/>
                <w:sz w:val="16"/>
                <w:szCs w:val="16"/>
              </w:rPr>
            </w:pPr>
            <w:r w:rsidRPr="00A320AC">
              <w:rPr>
                <w:rFonts w:cs="Arial"/>
                <w:b/>
                <w:sz w:val="16"/>
                <w:szCs w:val="16"/>
              </w:rPr>
              <w:t>3 year average</w:t>
            </w:r>
          </w:p>
        </w:tc>
        <w:tc>
          <w:tcPr>
            <w:tcW w:w="562" w:type="dxa"/>
          </w:tcPr>
          <w:p w14:paraId="188C646E" w14:textId="77777777" w:rsidR="0059790B" w:rsidRPr="00A320AC" w:rsidRDefault="0059790B" w:rsidP="0059790B">
            <w:pPr>
              <w:jc w:val="center"/>
              <w:rPr>
                <w:rFonts w:cs="Arial"/>
                <w:b/>
                <w:sz w:val="16"/>
                <w:szCs w:val="16"/>
              </w:rPr>
            </w:pPr>
            <w:r w:rsidRPr="00A320AC">
              <w:rPr>
                <w:rFonts w:cs="Arial"/>
                <w:b/>
                <w:sz w:val="16"/>
                <w:szCs w:val="16"/>
              </w:rPr>
              <w:t>1 year</w:t>
            </w:r>
          </w:p>
        </w:tc>
        <w:tc>
          <w:tcPr>
            <w:tcW w:w="880" w:type="dxa"/>
          </w:tcPr>
          <w:p w14:paraId="5CF591BF" w14:textId="77777777" w:rsidR="0059790B" w:rsidRPr="00A320AC" w:rsidRDefault="0059790B" w:rsidP="0059790B">
            <w:pPr>
              <w:jc w:val="center"/>
              <w:rPr>
                <w:rFonts w:cs="Arial"/>
                <w:b/>
                <w:sz w:val="16"/>
                <w:szCs w:val="16"/>
              </w:rPr>
            </w:pPr>
            <w:r w:rsidRPr="00A320AC">
              <w:rPr>
                <w:rFonts w:cs="Arial"/>
                <w:b/>
                <w:sz w:val="16"/>
                <w:szCs w:val="16"/>
              </w:rPr>
              <w:t>3 year average</w:t>
            </w:r>
          </w:p>
        </w:tc>
        <w:tc>
          <w:tcPr>
            <w:tcW w:w="624" w:type="dxa"/>
          </w:tcPr>
          <w:p w14:paraId="53E538A8" w14:textId="77777777" w:rsidR="0059790B" w:rsidRPr="00A320AC" w:rsidRDefault="0059790B" w:rsidP="0059790B">
            <w:pPr>
              <w:jc w:val="center"/>
              <w:rPr>
                <w:rFonts w:cs="Arial"/>
                <w:b/>
                <w:sz w:val="16"/>
                <w:szCs w:val="16"/>
              </w:rPr>
            </w:pPr>
            <w:r w:rsidRPr="00A320AC">
              <w:rPr>
                <w:rFonts w:cs="Arial"/>
                <w:b/>
                <w:sz w:val="16"/>
                <w:szCs w:val="16"/>
              </w:rPr>
              <w:t>1 year</w:t>
            </w:r>
          </w:p>
        </w:tc>
        <w:tc>
          <w:tcPr>
            <w:tcW w:w="880" w:type="dxa"/>
          </w:tcPr>
          <w:p w14:paraId="1BBB70EE" w14:textId="77777777" w:rsidR="0059790B" w:rsidRPr="00A320AC" w:rsidRDefault="0059790B" w:rsidP="0059790B">
            <w:pPr>
              <w:jc w:val="center"/>
              <w:rPr>
                <w:rFonts w:cs="Arial"/>
                <w:b/>
                <w:sz w:val="16"/>
                <w:szCs w:val="16"/>
              </w:rPr>
            </w:pPr>
            <w:r w:rsidRPr="00A320AC">
              <w:rPr>
                <w:rFonts w:cs="Arial"/>
                <w:b/>
                <w:sz w:val="16"/>
                <w:szCs w:val="16"/>
              </w:rPr>
              <w:t>3 year average</w:t>
            </w:r>
          </w:p>
        </w:tc>
        <w:tc>
          <w:tcPr>
            <w:tcW w:w="562" w:type="dxa"/>
          </w:tcPr>
          <w:p w14:paraId="00E82385" w14:textId="77777777" w:rsidR="0059790B" w:rsidRPr="00A320AC" w:rsidRDefault="0059790B" w:rsidP="0059790B">
            <w:pPr>
              <w:jc w:val="center"/>
              <w:rPr>
                <w:rFonts w:cs="Arial"/>
                <w:b/>
                <w:sz w:val="16"/>
                <w:szCs w:val="16"/>
              </w:rPr>
            </w:pPr>
            <w:r w:rsidRPr="00A320AC">
              <w:rPr>
                <w:rFonts w:cs="Arial"/>
                <w:b/>
                <w:sz w:val="16"/>
                <w:szCs w:val="16"/>
              </w:rPr>
              <w:t>1 year</w:t>
            </w:r>
          </w:p>
        </w:tc>
        <w:tc>
          <w:tcPr>
            <w:tcW w:w="880" w:type="dxa"/>
          </w:tcPr>
          <w:p w14:paraId="64A75C9D" w14:textId="77777777" w:rsidR="0059790B" w:rsidRPr="00A320AC" w:rsidRDefault="0059790B" w:rsidP="0059790B">
            <w:pPr>
              <w:jc w:val="center"/>
              <w:rPr>
                <w:rFonts w:cs="Arial"/>
                <w:b/>
                <w:sz w:val="16"/>
                <w:szCs w:val="16"/>
              </w:rPr>
            </w:pPr>
            <w:r w:rsidRPr="00A320AC">
              <w:rPr>
                <w:rFonts w:cs="Arial"/>
                <w:b/>
                <w:sz w:val="16"/>
                <w:szCs w:val="16"/>
              </w:rPr>
              <w:t>3 year average</w:t>
            </w:r>
          </w:p>
        </w:tc>
        <w:tc>
          <w:tcPr>
            <w:tcW w:w="562" w:type="dxa"/>
          </w:tcPr>
          <w:p w14:paraId="0398CED4" w14:textId="77777777" w:rsidR="0059790B" w:rsidRPr="00A320AC" w:rsidRDefault="0059790B" w:rsidP="0059790B">
            <w:pPr>
              <w:jc w:val="center"/>
              <w:rPr>
                <w:rFonts w:cs="Arial"/>
                <w:b/>
                <w:sz w:val="16"/>
                <w:szCs w:val="16"/>
              </w:rPr>
            </w:pPr>
            <w:r w:rsidRPr="00A320AC">
              <w:rPr>
                <w:rFonts w:cs="Arial"/>
                <w:b/>
                <w:sz w:val="16"/>
                <w:szCs w:val="16"/>
              </w:rPr>
              <w:t>1 year</w:t>
            </w:r>
          </w:p>
        </w:tc>
      </w:tr>
      <w:tr w:rsidR="0059790B" w:rsidRPr="00C62592" w14:paraId="62ADAA84" w14:textId="77777777" w:rsidTr="00B97E05">
        <w:trPr>
          <w:trHeight w:val="394"/>
        </w:trPr>
        <w:tc>
          <w:tcPr>
            <w:tcW w:w="14219" w:type="dxa"/>
            <w:gridSpan w:val="19"/>
          </w:tcPr>
          <w:p w14:paraId="680D561E" w14:textId="77777777" w:rsidR="0059790B" w:rsidRPr="00A320AC" w:rsidRDefault="0059790B" w:rsidP="0059790B">
            <w:pPr>
              <w:jc w:val="center"/>
              <w:rPr>
                <w:rFonts w:cs="Arial"/>
                <w:b/>
                <w:sz w:val="16"/>
                <w:szCs w:val="16"/>
              </w:rPr>
            </w:pPr>
            <w:r w:rsidRPr="00A320AC">
              <w:rPr>
                <w:rFonts w:cs="Arial"/>
                <w:b/>
                <w:sz w:val="16"/>
                <w:szCs w:val="16"/>
              </w:rPr>
              <w:t>The teaching on my course</w:t>
            </w:r>
          </w:p>
        </w:tc>
      </w:tr>
      <w:tr w:rsidR="0059790B" w:rsidRPr="00C62592" w14:paraId="0CA480D2" w14:textId="77777777" w:rsidTr="0059790B">
        <w:trPr>
          <w:trHeight w:hRule="exact" w:val="680"/>
        </w:trPr>
        <w:tc>
          <w:tcPr>
            <w:tcW w:w="1055" w:type="dxa"/>
          </w:tcPr>
          <w:p w14:paraId="3B738031" w14:textId="77777777" w:rsidR="0059790B" w:rsidRPr="00A320AC" w:rsidRDefault="0059790B" w:rsidP="0059790B">
            <w:pPr>
              <w:jc w:val="center"/>
              <w:rPr>
                <w:rFonts w:cs="Arial"/>
                <w:b/>
                <w:sz w:val="16"/>
                <w:szCs w:val="16"/>
              </w:rPr>
            </w:pPr>
            <w:r w:rsidRPr="00A320AC">
              <w:rPr>
                <w:rFonts w:cs="Arial"/>
                <w:b/>
                <w:sz w:val="16"/>
                <w:szCs w:val="16"/>
              </w:rPr>
              <w:t>Full-time students</w:t>
            </w:r>
          </w:p>
        </w:tc>
        <w:tc>
          <w:tcPr>
            <w:tcW w:w="880" w:type="dxa"/>
          </w:tcPr>
          <w:p w14:paraId="5909A367" w14:textId="77777777" w:rsidR="0059790B" w:rsidRPr="00474424" w:rsidRDefault="0059790B" w:rsidP="0059790B">
            <w:pPr>
              <w:jc w:val="center"/>
              <w:rPr>
                <w:rFonts w:cs="Arial"/>
                <w:b/>
                <w:sz w:val="16"/>
                <w:szCs w:val="16"/>
              </w:rPr>
            </w:pPr>
            <w:r w:rsidRPr="00474424">
              <w:rPr>
                <w:rFonts w:cs="Arial"/>
                <w:color w:val="000000"/>
                <w:sz w:val="16"/>
                <w:szCs w:val="16"/>
              </w:rPr>
              <w:t>352</w:t>
            </w:r>
          </w:p>
        </w:tc>
        <w:tc>
          <w:tcPr>
            <w:tcW w:w="624" w:type="dxa"/>
          </w:tcPr>
          <w:p w14:paraId="61CE8AD2" w14:textId="77777777" w:rsidR="0059790B" w:rsidRPr="00474424" w:rsidRDefault="0059790B" w:rsidP="0059790B">
            <w:pPr>
              <w:jc w:val="center"/>
              <w:rPr>
                <w:rFonts w:cs="Arial"/>
                <w:b/>
                <w:sz w:val="16"/>
                <w:szCs w:val="16"/>
              </w:rPr>
            </w:pPr>
            <w:r w:rsidRPr="00474424">
              <w:rPr>
                <w:rFonts w:cs="Arial"/>
                <w:color w:val="000000"/>
                <w:sz w:val="16"/>
                <w:szCs w:val="16"/>
              </w:rPr>
              <w:t>336</w:t>
            </w:r>
          </w:p>
        </w:tc>
        <w:tc>
          <w:tcPr>
            <w:tcW w:w="880" w:type="dxa"/>
          </w:tcPr>
          <w:p w14:paraId="4BB0836A" w14:textId="77777777" w:rsidR="0059790B" w:rsidRPr="00474424" w:rsidRDefault="0059790B" w:rsidP="0059790B">
            <w:pPr>
              <w:jc w:val="center"/>
              <w:rPr>
                <w:rFonts w:cs="Arial"/>
                <w:b/>
                <w:sz w:val="16"/>
                <w:szCs w:val="16"/>
              </w:rPr>
            </w:pPr>
            <w:r w:rsidRPr="00474424">
              <w:rPr>
                <w:rFonts w:cs="Arial"/>
                <w:color w:val="000000"/>
                <w:sz w:val="16"/>
                <w:szCs w:val="16"/>
              </w:rPr>
              <w:t>91%</w:t>
            </w:r>
          </w:p>
        </w:tc>
        <w:tc>
          <w:tcPr>
            <w:tcW w:w="562" w:type="dxa"/>
          </w:tcPr>
          <w:p w14:paraId="4DAE4D47" w14:textId="77777777" w:rsidR="0059790B" w:rsidRPr="00474424" w:rsidRDefault="0059790B" w:rsidP="0059790B">
            <w:pPr>
              <w:jc w:val="center"/>
              <w:rPr>
                <w:rFonts w:cs="Arial"/>
                <w:b/>
                <w:sz w:val="16"/>
                <w:szCs w:val="16"/>
              </w:rPr>
            </w:pPr>
            <w:r w:rsidRPr="00474424">
              <w:rPr>
                <w:rFonts w:cs="Arial"/>
                <w:color w:val="000000"/>
                <w:sz w:val="16"/>
                <w:szCs w:val="16"/>
              </w:rPr>
              <w:t>88%</w:t>
            </w:r>
          </w:p>
        </w:tc>
        <w:tc>
          <w:tcPr>
            <w:tcW w:w="880" w:type="dxa"/>
          </w:tcPr>
          <w:p w14:paraId="32D7797B" w14:textId="77777777" w:rsidR="0059790B" w:rsidRPr="00474424" w:rsidRDefault="0059790B" w:rsidP="0059790B">
            <w:pPr>
              <w:jc w:val="center"/>
              <w:rPr>
                <w:rFonts w:cs="Arial"/>
                <w:b/>
                <w:sz w:val="16"/>
                <w:szCs w:val="16"/>
              </w:rPr>
            </w:pPr>
            <w:r w:rsidRPr="00474424">
              <w:rPr>
                <w:rFonts w:cs="Arial"/>
                <w:color w:val="000000"/>
                <w:sz w:val="16"/>
                <w:szCs w:val="16"/>
              </w:rPr>
              <w:t>27%</w:t>
            </w:r>
          </w:p>
        </w:tc>
        <w:tc>
          <w:tcPr>
            <w:tcW w:w="562" w:type="dxa"/>
          </w:tcPr>
          <w:p w14:paraId="0F5C319D" w14:textId="77777777" w:rsidR="0059790B" w:rsidRPr="00474424" w:rsidRDefault="0059790B" w:rsidP="0059790B">
            <w:pPr>
              <w:jc w:val="center"/>
              <w:rPr>
                <w:rFonts w:cs="Arial"/>
                <w:b/>
                <w:sz w:val="16"/>
                <w:szCs w:val="16"/>
              </w:rPr>
            </w:pPr>
            <w:r w:rsidRPr="00474424">
              <w:rPr>
                <w:rFonts w:cs="Arial"/>
                <w:color w:val="000000"/>
                <w:sz w:val="16"/>
                <w:szCs w:val="16"/>
              </w:rPr>
              <w:t>23%</w:t>
            </w:r>
          </w:p>
        </w:tc>
        <w:tc>
          <w:tcPr>
            <w:tcW w:w="880" w:type="dxa"/>
          </w:tcPr>
          <w:p w14:paraId="5EE803EA" w14:textId="77777777" w:rsidR="0059790B" w:rsidRPr="00474424" w:rsidRDefault="0059790B" w:rsidP="0059790B">
            <w:pPr>
              <w:jc w:val="center"/>
              <w:rPr>
                <w:rFonts w:cs="Arial"/>
                <w:b/>
                <w:sz w:val="16"/>
                <w:szCs w:val="16"/>
              </w:rPr>
            </w:pPr>
            <w:r w:rsidRPr="00474424">
              <w:rPr>
                <w:rFonts w:cs="Arial"/>
                <w:color w:val="000000"/>
                <w:sz w:val="16"/>
                <w:szCs w:val="16"/>
              </w:rPr>
              <w:t>125</w:t>
            </w:r>
          </w:p>
        </w:tc>
        <w:tc>
          <w:tcPr>
            <w:tcW w:w="624" w:type="dxa"/>
          </w:tcPr>
          <w:p w14:paraId="05EB0479" w14:textId="77777777" w:rsidR="0059790B" w:rsidRPr="00474424" w:rsidRDefault="0059790B" w:rsidP="0059790B">
            <w:pPr>
              <w:jc w:val="center"/>
              <w:rPr>
                <w:rFonts w:cs="Arial"/>
                <w:b/>
                <w:sz w:val="16"/>
                <w:szCs w:val="16"/>
              </w:rPr>
            </w:pPr>
            <w:r w:rsidRPr="00474424">
              <w:rPr>
                <w:rFonts w:cs="Arial"/>
                <w:color w:val="000000"/>
                <w:sz w:val="16"/>
                <w:szCs w:val="16"/>
              </w:rPr>
              <w:t>122</w:t>
            </w:r>
          </w:p>
        </w:tc>
        <w:tc>
          <w:tcPr>
            <w:tcW w:w="880" w:type="dxa"/>
          </w:tcPr>
          <w:p w14:paraId="24174EFB" w14:textId="77777777" w:rsidR="0059790B" w:rsidRPr="00474424" w:rsidRDefault="0059790B" w:rsidP="0059790B">
            <w:pPr>
              <w:jc w:val="center"/>
              <w:rPr>
                <w:rFonts w:cs="Arial"/>
                <w:b/>
                <w:sz w:val="16"/>
                <w:szCs w:val="16"/>
              </w:rPr>
            </w:pPr>
            <w:r w:rsidRPr="00474424">
              <w:rPr>
                <w:rFonts w:cs="Arial"/>
                <w:color w:val="000000"/>
                <w:sz w:val="16"/>
                <w:szCs w:val="16"/>
              </w:rPr>
              <w:t>98%</w:t>
            </w:r>
          </w:p>
        </w:tc>
        <w:tc>
          <w:tcPr>
            <w:tcW w:w="562" w:type="dxa"/>
          </w:tcPr>
          <w:p w14:paraId="2D3DAF6D" w14:textId="77777777" w:rsidR="0059790B" w:rsidRPr="00474424" w:rsidRDefault="0059790B" w:rsidP="0059790B">
            <w:pPr>
              <w:jc w:val="center"/>
              <w:rPr>
                <w:rFonts w:cs="Arial"/>
                <w:b/>
                <w:sz w:val="16"/>
                <w:szCs w:val="16"/>
              </w:rPr>
            </w:pPr>
            <w:r w:rsidRPr="00474424">
              <w:rPr>
                <w:rFonts w:cs="Arial"/>
                <w:color w:val="000000"/>
                <w:sz w:val="16"/>
                <w:szCs w:val="16"/>
              </w:rPr>
              <w:t>99%</w:t>
            </w:r>
          </w:p>
        </w:tc>
        <w:tc>
          <w:tcPr>
            <w:tcW w:w="880" w:type="dxa"/>
          </w:tcPr>
          <w:p w14:paraId="327FC3F0" w14:textId="77777777" w:rsidR="0059790B" w:rsidRPr="00474424" w:rsidRDefault="0059790B" w:rsidP="0059790B">
            <w:pPr>
              <w:jc w:val="center"/>
              <w:rPr>
                <w:rFonts w:cs="Arial"/>
                <w:b/>
                <w:sz w:val="16"/>
                <w:szCs w:val="16"/>
              </w:rPr>
            </w:pPr>
            <w:r w:rsidRPr="00474424">
              <w:rPr>
                <w:rFonts w:cs="Arial"/>
                <w:color w:val="000000"/>
                <w:sz w:val="16"/>
                <w:szCs w:val="16"/>
              </w:rPr>
              <w:t>40%</w:t>
            </w:r>
          </w:p>
        </w:tc>
        <w:tc>
          <w:tcPr>
            <w:tcW w:w="562" w:type="dxa"/>
          </w:tcPr>
          <w:p w14:paraId="6A8C91C5" w14:textId="77777777" w:rsidR="0059790B" w:rsidRPr="00474424" w:rsidRDefault="0059790B" w:rsidP="0059790B">
            <w:pPr>
              <w:jc w:val="center"/>
              <w:rPr>
                <w:rFonts w:cs="Arial"/>
                <w:b/>
                <w:sz w:val="16"/>
                <w:szCs w:val="16"/>
              </w:rPr>
            </w:pPr>
            <w:r w:rsidRPr="00474424">
              <w:rPr>
                <w:rFonts w:cs="Arial"/>
                <w:color w:val="000000"/>
                <w:sz w:val="16"/>
                <w:szCs w:val="16"/>
              </w:rPr>
              <w:t>36%</w:t>
            </w:r>
          </w:p>
        </w:tc>
        <w:tc>
          <w:tcPr>
            <w:tcW w:w="880" w:type="dxa"/>
          </w:tcPr>
          <w:p w14:paraId="2DC12CA0" w14:textId="77777777" w:rsidR="0059790B" w:rsidRPr="00474424" w:rsidRDefault="0059790B" w:rsidP="0059790B">
            <w:pPr>
              <w:jc w:val="center"/>
              <w:rPr>
                <w:rFonts w:cs="Arial"/>
                <w:b/>
                <w:sz w:val="16"/>
                <w:szCs w:val="16"/>
              </w:rPr>
            </w:pPr>
            <w:r w:rsidRPr="00474424">
              <w:rPr>
                <w:rFonts w:cs="Arial"/>
                <w:color w:val="000000"/>
                <w:sz w:val="16"/>
                <w:szCs w:val="16"/>
              </w:rPr>
              <w:t>227</w:t>
            </w:r>
          </w:p>
        </w:tc>
        <w:tc>
          <w:tcPr>
            <w:tcW w:w="624" w:type="dxa"/>
          </w:tcPr>
          <w:p w14:paraId="66D9CBD7" w14:textId="77777777" w:rsidR="0059790B" w:rsidRPr="00474424" w:rsidRDefault="0059790B" w:rsidP="0059790B">
            <w:pPr>
              <w:jc w:val="center"/>
              <w:rPr>
                <w:rFonts w:cs="Arial"/>
                <w:b/>
                <w:sz w:val="16"/>
                <w:szCs w:val="16"/>
              </w:rPr>
            </w:pPr>
            <w:r w:rsidRPr="00474424">
              <w:rPr>
                <w:rFonts w:cs="Arial"/>
                <w:color w:val="000000"/>
                <w:sz w:val="16"/>
                <w:szCs w:val="16"/>
              </w:rPr>
              <w:t>214</w:t>
            </w:r>
          </w:p>
        </w:tc>
        <w:tc>
          <w:tcPr>
            <w:tcW w:w="880" w:type="dxa"/>
          </w:tcPr>
          <w:p w14:paraId="4C6DEF84" w14:textId="77777777" w:rsidR="0059790B" w:rsidRPr="00474424" w:rsidRDefault="0059790B" w:rsidP="0059790B">
            <w:pPr>
              <w:jc w:val="center"/>
              <w:rPr>
                <w:rFonts w:cs="Arial"/>
                <w:b/>
                <w:sz w:val="16"/>
                <w:szCs w:val="16"/>
              </w:rPr>
            </w:pPr>
            <w:r w:rsidRPr="00474424">
              <w:rPr>
                <w:rFonts w:cs="Arial"/>
                <w:color w:val="000000"/>
                <w:sz w:val="16"/>
                <w:szCs w:val="16"/>
              </w:rPr>
              <w:t>86%</w:t>
            </w:r>
          </w:p>
        </w:tc>
        <w:tc>
          <w:tcPr>
            <w:tcW w:w="562" w:type="dxa"/>
          </w:tcPr>
          <w:p w14:paraId="308A70D2" w14:textId="77777777" w:rsidR="0059790B" w:rsidRPr="00474424" w:rsidRDefault="0059790B" w:rsidP="0059790B">
            <w:pPr>
              <w:jc w:val="center"/>
              <w:rPr>
                <w:rFonts w:cs="Arial"/>
                <w:b/>
                <w:sz w:val="16"/>
                <w:szCs w:val="16"/>
              </w:rPr>
            </w:pPr>
            <w:r w:rsidRPr="00474424">
              <w:rPr>
                <w:rFonts w:cs="Arial"/>
                <w:color w:val="000000"/>
                <w:sz w:val="16"/>
                <w:szCs w:val="16"/>
              </w:rPr>
              <w:t>82%</w:t>
            </w:r>
          </w:p>
        </w:tc>
        <w:tc>
          <w:tcPr>
            <w:tcW w:w="880" w:type="dxa"/>
          </w:tcPr>
          <w:p w14:paraId="4A170846" w14:textId="77777777" w:rsidR="0059790B" w:rsidRPr="00474424" w:rsidRDefault="0059790B" w:rsidP="0059790B">
            <w:pPr>
              <w:jc w:val="center"/>
              <w:rPr>
                <w:rFonts w:cs="Arial"/>
                <w:b/>
                <w:sz w:val="16"/>
                <w:szCs w:val="16"/>
              </w:rPr>
            </w:pPr>
            <w:r w:rsidRPr="00474424">
              <w:rPr>
                <w:rFonts w:cs="Arial"/>
                <w:color w:val="000000"/>
                <w:sz w:val="16"/>
                <w:szCs w:val="16"/>
              </w:rPr>
              <w:t>20%</w:t>
            </w:r>
          </w:p>
        </w:tc>
        <w:tc>
          <w:tcPr>
            <w:tcW w:w="562" w:type="dxa"/>
          </w:tcPr>
          <w:p w14:paraId="70A5330E" w14:textId="77777777" w:rsidR="0059790B" w:rsidRPr="00474424" w:rsidRDefault="0059790B" w:rsidP="0059790B">
            <w:pPr>
              <w:jc w:val="center"/>
              <w:rPr>
                <w:rFonts w:cs="Arial"/>
                <w:b/>
                <w:sz w:val="16"/>
                <w:szCs w:val="16"/>
              </w:rPr>
            </w:pPr>
            <w:r w:rsidRPr="00474424">
              <w:rPr>
                <w:rFonts w:cs="Arial"/>
                <w:color w:val="000000"/>
                <w:sz w:val="16"/>
                <w:szCs w:val="16"/>
              </w:rPr>
              <w:t>15%</w:t>
            </w:r>
          </w:p>
        </w:tc>
      </w:tr>
      <w:tr w:rsidR="0059790B" w:rsidRPr="00C62592" w14:paraId="6A228598" w14:textId="77777777" w:rsidTr="0059790B">
        <w:trPr>
          <w:trHeight w:hRule="exact" w:val="680"/>
        </w:trPr>
        <w:tc>
          <w:tcPr>
            <w:tcW w:w="1055" w:type="dxa"/>
          </w:tcPr>
          <w:p w14:paraId="1DEEBEF3" w14:textId="77777777" w:rsidR="0059790B" w:rsidRPr="00A320AC" w:rsidRDefault="0059790B" w:rsidP="0059790B">
            <w:pPr>
              <w:jc w:val="center"/>
              <w:rPr>
                <w:rFonts w:cs="Arial"/>
                <w:b/>
                <w:sz w:val="16"/>
                <w:szCs w:val="16"/>
              </w:rPr>
            </w:pPr>
            <w:r w:rsidRPr="00A320AC">
              <w:rPr>
                <w:rFonts w:cs="Arial"/>
                <w:b/>
                <w:sz w:val="16"/>
                <w:szCs w:val="16"/>
              </w:rPr>
              <w:t>Splits for full-time students</w:t>
            </w:r>
          </w:p>
        </w:tc>
        <w:tc>
          <w:tcPr>
            <w:tcW w:w="880" w:type="dxa"/>
          </w:tcPr>
          <w:p w14:paraId="6B202EC4" w14:textId="77777777" w:rsidR="0059790B" w:rsidRPr="00474424" w:rsidRDefault="0059790B" w:rsidP="0059790B">
            <w:pPr>
              <w:jc w:val="center"/>
              <w:rPr>
                <w:rFonts w:cs="Arial"/>
                <w:b/>
                <w:sz w:val="16"/>
                <w:szCs w:val="16"/>
              </w:rPr>
            </w:pPr>
            <w:r w:rsidRPr="00474424">
              <w:rPr>
                <w:rFonts w:cs="Arial"/>
                <w:color w:val="000000"/>
                <w:sz w:val="16"/>
                <w:szCs w:val="16"/>
              </w:rPr>
              <w:t>4,576</w:t>
            </w:r>
          </w:p>
        </w:tc>
        <w:tc>
          <w:tcPr>
            <w:tcW w:w="624" w:type="dxa"/>
          </w:tcPr>
          <w:p w14:paraId="4CAF01C6" w14:textId="77777777" w:rsidR="0059790B" w:rsidRPr="00474424" w:rsidRDefault="0059790B" w:rsidP="0059790B">
            <w:pPr>
              <w:jc w:val="center"/>
              <w:rPr>
                <w:rFonts w:cs="Arial"/>
                <w:b/>
                <w:sz w:val="16"/>
                <w:szCs w:val="16"/>
              </w:rPr>
            </w:pPr>
            <w:r w:rsidRPr="00474424">
              <w:rPr>
                <w:rFonts w:cs="Arial"/>
                <w:color w:val="000000"/>
                <w:sz w:val="16"/>
                <w:szCs w:val="16"/>
              </w:rPr>
              <w:t>4,368</w:t>
            </w:r>
          </w:p>
        </w:tc>
        <w:tc>
          <w:tcPr>
            <w:tcW w:w="880" w:type="dxa"/>
          </w:tcPr>
          <w:p w14:paraId="70E3EA69" w14:textId="77777777" w:rsidR="0059790B" w:rsidRPr="00474424" w:rsidRDefault="0059790B" w:rsidP="0059790B">
            <w:pPr>
              <w:jc w:val="center"/>
              <w:rPr>
                <w:rFonts w:cs="Arial"/>
                <w:b/>
                <w:sz w:val="16"/>
                <w:szCs w:val="16"/>
              </w:rPr>
            </w:pPr>
            <w:r w:rsidRPr="00474424">
              <w:rPr>
                <w:rFonts w:cs="Arial"/>
                <w:color w:val="000000"/>
                <w:sz w:val="16"/>
                <w:szCs w:val="16"/>
              </w:rPr>
              <w:t>74%</w:t>
            </w:r>
          </w:p>
        </w:tc>
        <w:tc>
          <w:tcPr>
            <w:tcW w:w="562" w:type="dxa"/>
          </w:tcPr>
          <w:p w14:paraId="72A4A40B" w14:textId="77777777" w:rsidR="0059790B" w:rsidRPr="00474424" w:rsidRDefault="0059790B" w:rsidP="0059790B">
            <w:pPr>
              <w:jc w:val="center"/>
              <w:rPr>
                <w:rFonts w:cs="Arial"/>
                <w:b/>
                <w:sz w:val="16"/>
                <w:szCs w:val="16"/>
              </w:rPr>
            </w:pPr>
            <w:r w:rsidRPr="00474424">
              <w:rPr>
                <w:rFonts w:cs="Arial"/>
                <w:color w:val="000000"/>
                <w:sz w:val="16"/>
                <w:szCs w:val="16"/>
              </w:rPr>
              <w:t>66%</w:t>
            </w:r>
          </w:p>
        </w:tc>
        <w:tc>
          <w:tcPr>
            <w:tcW w:w="880" w:type="dxa"/>
          </w:tcPr>
          <w:p w14:paraId="31363B66" w14:textId="77777777" w:rsidR="0059790B" w:rsidRPr="00474424" w:rsidRDefault="0059790B" w:rsidP="0059790B">
            <w:pPr>
              <w:jc w:val="center"/>
              <w:rPr>
                <w:rFonts w:cs="Arial"/>
                <w:b/>
                <w:sz w:val="16"/>
                <w:szCs w:val="16"/>
              </w:rPr>
            </w:pPr>
            <w:r w:rsidRPr="00474424">
              <w:rPr>
                <w:rFonts w:cs="Arial"/>
                <w:color w:val="000000"/>
                <w:sz w:val="16"/>
                <w:szCs w:val="16"/>
              </w:rPr>
              <w:t>18%</w:t>
            </w:r>
          </w:p>
        </w:tc>
        <w:tc>
          <w:tcPr>
            <w:tcW w:w="562" w:type="dxa"/>
          </w:tcPr>
          <w:p w14:paraId="08918635" w14:textId="77777777" w:rsidR="0059790B" w:rsidRPr="00474424" w:rsidRDefault="0059790B" w:rsidP="0059790B">
            <w:pPr>
              <w:jc w:val="center"/>
              <w:rPr>
                <w:rFonts w:cs="Arial"/>
                <w:b/>
                <w:sz w:val="16"/>
                <w:szCs w:val="16"/>
              </w:rPr>
            </w:pPr>
            <w:r w:rsidRPr="00474424">
              <w:rPr>
                <w:rFonts w:cs="Arial"/>
                <w:color w:val="000000"/>
                <w:sz w:val="16"/>
                <w:szCs w:val="16"/>
              </w:rPr>
              <w:t>14%</w:t>
            </w:r>
          </w:p>
        </w:tc>
        <w:tc>
          <w:tcPr>
            <w:tcW w:w="880" w:type="dxa"/>
          </w:tcPr>
          <w:p w14:paraId="51D6640A" w14:textId="77777777" w:rsidR="0059790B" w:rsidRPr="00474424" w:rsidRDefault="0059790B" w:rsidP="0059790B">
            <w:pPr>
              <w:jc w:val="center"/>
              <w:rPr>
                <w:rFonts w:cs="Arial"/>
                <w:b/>
                <w:sz w:val="16"/>
                <w:szCs w:val="16"/>
              </w:rPr>
            </w:pPr>
            <w:r w:rsidRPr="00474424">
              <w:rPr>
                <w:rFonts w:cs="Arial"/>
                <w:color w:val="000000"/>
                <w:sz w:val="16"/>
                <w:szCs w:val="16"/>
              </w:rPr>
              <w:t>1,625</w:t>
            </w:r>
          </w:p>
        </w:tc>
        <w:tc>
          <w:tcPr>
            <w:tcW w:w="624" w:type="dxa"/>
          </w:tcPr>
          <w:p w14:paraId="28C8A3BC" w14:textId="77777777" w:rsidR="0059790B" w:rsidRPr="00474424" w:rsidRDefault="0059790B" w:rsidP="0059790B">
            <w:pPr>
              <w:jc w:val="center"/>
              <w:rPr>
                <w:rFonts w:cs="Arial"/>
                <w:b/>
                <w:sz w:val="16"/>
                <w:szCs w:val="16"/>
              </w:rPr>
            </w:pPr>
            <w:r w:rsidRPr="00474424">
              <w:rPr>
                <w:rFonts w:cs="Arial"/>
                <w:color w:val="000000"/>
                <w:sz w:val="16"/>
                <w:szCs w:val="16"/>
              </w:rPr>
              <w:t>1,586</w:t>
            </w:r>
          </w:p>
        </w:tc>
        <w:tc>
          <w:tcPr>
            <w:tcW w:w="880" w:type="dxa"/>
          </w:tcPr>
          <w:p w14:paraId="343E1D71" w14:textId="77777777" w:rsidR="0059790B" w:rsidRPr="00474424" w:rsidRDefault="0059790B" w:rsidP="0059790B">
            <w:pPr>
              <w:jc w:val="center"/>
              <w:rPr>
                <w:rFonts w:cs="Arial"/>
                <w:b/>
                <w:sz w:val="16"/>
                <w:szCs w:val="16"/>
              </w:rPr>
            </w:pPr>
            <w:r w:rsidRPr="00474424">
              <w:rPr>
                <w:rFonts w:cs="Arial"/>
                <w:color w:val="000000"/>
                <w:sz w:val="16"/>
                <w:szCs w:val="16"/>
              </w:rPr>
              <w:t>95%</w:t>
            </w:r>
          </w:p>
        </w:tc>
        <w:tc>
          <w:tcPr>
            <w:tcW w:w="562" w:type="dxa"/>
          </w:tcPr>
          <w:p w14:paraId="4DFC5017" w14:textId="77777777" w:rsidR="0059790B" w:rsidRPr="00474424" w:rsidRDefault="0059790B" w:rsidP="0059790B">
            <w:pPr>
              <w:jc w:val="center"/>
              <w:rPr>
                <w:rFonts w:cs="Arial"/>
                <w:b/>
                <w:sz w:val="16"/>
                <w:szCs w:val="16"/>
              </w:rPr>
            </w:pPr>
            <w:r w:rsidRPr="00474424">
              <w:rPr>
                <w:rFonts w:cs="Arial"/>
                <w:color w:val="000000"/>
                <w:sz w:val="16"/>
                <w:szCs w:val="16"/>
              </w:rPr>
              <w:t>93%</w:t>
            </w:r>
          </w:p>
        </w:tc>
        <w:tc>
          <w:tcPr>
            <w:tcW w:w="880" w:type="dxa"/>
          </w:tcPr>
          <w:p w14:paraId="63996C9A" w14:textId="77777777" w:rsidR="0059790B" w:rsidRPr="00474424" w:rsidRDefault="0059790B" w:rsidP="0059790B">
            <w:pPr>
              <w:jc w:val="center"/>
              <w:rPr>
                <w:rFonts w:cs="Arial"/>
                <w:b/>
                <w:sz w:val="16"/>
                <w:szCs w:val="16"/>
              </w:rPr>
            </w:pPr>
            <w:r w:rsidRPr="00474424">
              <w:rPr>
                <w:rFonts w:cs="Arial"/>
                <w:color w:val="000000"/>
                <w:sz w:val="16"/>
                <w:szCs w:val="16"/>
              </w:rPr>
              <w:t>32%</w:t>
            </w:r>
          </w:p>
        </w:tc>
        <w:tc>
          <w:tcPr>
            <w:tcW w:w="562" w:type="dxa"/>
          </w:tcPr>
          <w:p w14:paraId="0FE83F84" w14:textId="77777777" w:rsidR="0059790B" w:rsidRPr="00474424" w:rsidRDefault="0059790B" w:rsidP="0059790B">
            <w:pPr>
              <w:jc w:val="center"/>
              <w:rPr>
                <w:rFonts w:cs="Arial"/>
                <w:b/>
                <w:sz w:val="16"/>
                <w:szCs w:val="16"/>
              </w:rPr>
            </w:pPr>
            <w:r w:rsidRPr="00474424">
              <w:rPr>
                <w:rFonts w:cs="Arial"/>
                <w:color w:val="000000"/>
                <w:sz w:val="16"/>
                <w:szCs w:val="16"/>
              </w:rPr>
              <w:t>26%</w:t>
            </w:r>
          </w:p>
        </w:tc>
        <w:tc>
          <w:tcPr>
            <w:tcW w:w="880" w:type="dxa"/>
          </w:tcPr>
          <w:p w14:paraId="5BD9702F" w14:textId="77777777" w:rsidR="0059790B" w:rsidRPr="00474424" w:rsidRDefault="0059790B" w:rsidP="0059790B">
            <w:pPr>
              <w:jc w:val="center"/>
              <w:rPr>
                <w:rFonts w:cs="Arial"/>
                <w:b/>
                <w:sz w:val="16"/>
                <w:szCs w:val="16"/>
              </w:rPr>
            </w:pPr>
            <w:r w:rsidRPr="00474424">
              <w:rPr>
                <w:rFonts w:cs="Arial"/>
                <w:color w:val="000000"/>
                <w:sz w:val="16"/>
                <w:szCs w:val="16"/>
              </w:rPr>
              <w:t>2,951</w:t>
            </w:r>
          </w:p>
        </w:tc>
        <w:tc>
          <w:tcPr>
            <w:tcW w:w="624" w:type="dxa"/>
          </w:tcPr>
          <w:p w14:paraId="3FB1B4FC" w14:textId="77777777" w:rsidR="0059790B" w:rsidRPr="00474424" w:rsidRDefault="0059790B" w:rsidP="0059790B">
            <w:pPr>
              <w:jc w:val="center"/>
              <w:rPr>
                <w:rFonts w:cs="Arial"/>
                <w:b/>
                <w:sz w:val="16"/>
                <w:szCs w:val="16"/>
              </w:rPr>
            </w:pPr>
            <w:r w:rsidRPr="00474424">
              <w:rPr>
                <w:rFonts w:cs="Arial"/>
                <w:color w:val="000000"/>
                <w:sz w:val="16"/>
                <w:szCs w:val="16"/>
              </w:rPr>
              <w:t>2,782</w:t>
            </w:r>
          </w:p>
        </w:tc>
        <w:tc>
          <w:tcPr>
            <w:tcW w:w="880" w:type="dxa"/>
          </w:tcPr>
          <w:p w14:paraId="1F78EF55" w14:textId="77777777" w:rsidR="0059790B" w:rsidRPr="00474424" w:rsidRDefault="0059790B" w:rsidP="0059790B">
            <w:pPr>
              <w:jc w:val="center"/>
              <w:rPr>
                <w:rFonts w:cs="Arial"/>
                <w:b/>
                <w:sz w:val="16"/>
                <w:szCs w:val="16"/>
              </w:rPr>
            </w:pPr>
            <w:r w:rsidRPr="00474424">
              <w:rPr>
                <w:rFonts w:cs="Arial"/>
                <w:color w:val="000000"/>
                <w:sz w:val="16"/>
                <w:szCs w:val="16"/>
              </w:rPr>
              <w:t>62%</w:t>
            </w:r>
          </w:p>
        </w:tc>
        <w:tc>
          <w:tcPr>
            <w:tcW w:w="562" w:type="dxa"/>
          </w:tcPr>
          <w:p w14:paraId="7D8243CD" w14:textId="77777777" w:rsidR="0059790B" w:rsidRPr="00474424" w:rsidRDefault="0059790B" w:rsidP="0059790B">
            <w:pPr>
              <w:jc w:val="center"/>
              <w:rPr>
                <w:rFonts w:cs="Arial"/>
                <w:b/>
                <w:sz w:val="16"/>
                <w:szCs w:val="16"/>
              </w:rPr>
            </w:pPr>
            <w:r w:rsidRPr="00474424">
              <w:rPr>
                <w:rFonts w:cs="Arial"/>
                <w:color w:val="000000"/>
                <w:sz w:val="16"/>
                <w:szCs w:val="16"/>
              </w:rPr>
              <w:t>51%</w:t>
            </w:r>
          </w:p>
        </w:tc>
        <w:tc>
          <w:tcPr>
            <w:tcW w:w="880" w:type="dxa"/>
          </w:tcPr>
          <w:p w14:paraId="09700AF5" w14:textId="77777777" w:rsidR="0059790B" w:rsidRPr="00474424" w:rsidRDefault="0059790B" w:rsidP="0059790B">
            <w:pPr>
              <w:jc w:val="center"/>
              <w:rPr>
                <w:rFonts w:cs="Arial"/>
                <w:b/>
                <w:sz w:val="16"/>
                <w:szCs w:val="16"/>
              </w:rPr>
            </w:pPr>
            <w:r w:rsidRPr="00474424">
              <w:rPr>
                <w:rFonts w:cs="Arial"/>
                <w:color w:val="000000"/>
                <w:sz w:val="16"/>
                <w:szCs w:val="16"/>
              </w:rPr>
              <w:t>10%</w:t>
            </w:r>
          </w:p>
        </w:tc>
        <w:tc>
          <w:tcPr>
            <w:tcW w:w="562" w:type="dxa"/>
          </w:tcPr>
          <w:p w14:paraId="2A6119AB" w14:textId="77777777" w:rsidR="0059790B" w:rsidRPr="00474424" w:rsidRDefault="0059790B" w:rsidP="0059790B">
            <w:pPr>
              <w:jc w:val="center"/>
              <w:rPr>
                <w:rFonts w:cs="Arial"/>
                <w:b/>
                <w:sz w:val="16"/>
                <w:szCs w:val="16"/>
              </w:rPr>
            </w:pPr>
            <w:r w:rsidRPr="00474424">
              <w:rPr>
                <w:rFonts w:cs="Arial"/>
                <w:color w:val="000000"/>
                <w:sz w:val="16"/>
                <w:szCs w:val="16"/>
              </w:rPr>
              <w:t>7%</w:t>
            </w:r>
          </w:p>
        </w:tc>
      </w:tr>
      <w:tr w:rsidR="0059790B" w:rsidRPr="00C62592" w14:paraId="4098880A" w14:textId="77777777" w:rsidTr="0059790B">
        <w:trPr>
          <w:trHeight w:hRule="exact" w:val="680"/>
        </w:trPr>
        <w:tc>
          <w:tcPr>
            <w:tcW w:w="1055" w:type="dxa"/>
          </w:tcPr>
          <w:p w14:paraId="496BF534" w14:textId="77777777" w:rsidR="0059790B" w:rsidRPr="00A320AC" w:rsidRDefault="0059790B" w:rsidP="0059790B">
            <w:pPr>
              <w:jc w:val="center"/>
              <w:rPr>
                <w:rFonts w:cs="Arial"/>
                <w:b/>
                <w:sz w:val="16"/>
                <w:szCs w:val="16"/>
              </w:rPr>
            </w:pPr>
            <w:r w:rsidRPr="00A320AC">
              <w:rPr>
                <w:rFonts w:cs="Arial"/>
                <w:b/>
                <w:sz w:val="16"/>
                <w:szCs w:val="16"/>
              </w:rPr>
              <w:t>Part-time students</w:t>
            </w:r>
          </w:p>
        </w:tc>
        <w:tc>
          <w:tcPr>
            <w:tcW w:w="880" w:type="dxa"/>
          </w:tcPr>
          <w:p w14:paraId="4DAAB5B0" w14:textId="77777777" w:rsidR="0059790B" w:rsidRPr="00474424" w:rsidRDefault="0059790B" w:rsidP="0059790B">
            <w:pPr>
              <w:jc w:val="center"/>
              <w:rPr>
                <w:rFonts w:cs="Arial"/>
                <w:b/>
                <w:sz w:val="16"/>
                <w:szCs w:val="16"/>
              </w:rPr>
            </w:pPr>
            <w:r w:rsidRPr="00474424">
              <w:rPr>
                <w:rFonts w:cs="Arial"/>
                <w:color w:val="000000"/>
                <w:sz w:val="16"/>
                <w:szCs w:val="16"/>
              </w:rPr>
              <w:t>315</w:t>
            </w:r>
          </w:p>
        </w:tc>
        <w:tc>
          <w:tcPr>
            <w:tcW w:w="624" w:type="dxa"/>
          </w:tcPr>
          <w:p w14:paraId="29090D10" w14:textId="77777777" w:rsidR="0059790B" w:rsidRPr="00474424" w:rsidRDefault="0059790B" w:rsidP="0059790B">
            <w:pPr>
              <w:jc w:val="center"/>
              <w:rPr>
                <w:rFonts w:cs="Arial"/>
                <w:b/>
                <w:sz w:val="16"/>
                <w:szCs w:val="16"/>
              </w:rPr>
            </w:pPr>
            <w:r w:rsidRPr="00474424">
              <w:rPr>
                <w:rFonts w:cs="Arial"/>
                <w:color w:val="000000"/>
                <w:sz w:val="16"/>
                <w:szCs w:val="16"/>
              </w:rPr>
              <w:t>253</w:t>
            </w:r>
          </w:p>
        </w:tc>
        <w:tc>
          <w:tcPr>
            <w:tcW w:w="880" w:type="dxa"/>
          </w:tcPr>
          <w:p w14:paraId="5B46D668" w14:textId="77777777" w:rsidR="0059790B" w:rsidRPr="00474424" w:rsidRDefault="0059790B" w:rsidP="0059790B">
            <w:pPr>
              <w:jc w:val="center"/>
              <w:rPr>
                <w:rFonts w:cs="Arial"/>
                <w:b/>
                <w:sz w:val="16"/>
                <w:szCs w:val="16"/>
              </w:rPr>
            </w:pPr>
            <w:r w:rsidRPr="00474424">
              <w:rPr>
                <w:rFonts w:cs="Arial"/>
                <w:color w:val="000000"/>
                <w:sz w:val="16"/>
                <w:szCs w:val="16"/>
              </w:rPr>
              <w:t>69%</w:t>
            </w:r>
          </w:p>
        </w:tc>
        <w:tc>
          <w:tcPr>
            <w:tcW w:w="562" w:type="dxa"/>
          </w:tcPr>
          <w:p w14:paraId="479C4B71" w14:textId="77777777" w:rsidR="0059790B" w:rsidRPr="00474424" w:rsidRDefault="0059790B" w:rsidP="0059790B">
            <w:pPr>
              <w:jc w:val="center"/>
              <w:rPr>
                <w:rFonts w:cs="Arial"/>
                <w:b/>
                <w:sz w:val="16"/>
                <w:szCs w:val="16"/>
              </w:rPr>
            </w:pPr>
            <w:r w:rsidRPr="00474424">
              <w:rPr>
                <w:rFonts w:cs="Arial"/>
                <w:color w:val="000000"/>
                <w:sz w:val="16"/>
                <w:szCs w:val="16"/>
              </w:rPr>
              <w:t>55%</w:t>
            </w:r>
          </w:p>
        </w:tc>
        <w:tc>
          <w:tcPr>
            <w:tcW w:w="880" w:type="dxa"/>
          </w:tcPr>
          <w:p w14:paraId="52070AF6" w14:textId="77777777" w:rsidR="0059790B" w:rsidRPr="00474424" w:rsidRDefault="0059790B" w:rsidP="0059790B">
            <w:pPr>
              <w:jc w:val="center"/>
              <w:rPr>
                <w:rFonts w:cs="Arial"/>
                <w:b/>
                <w:sz w:val="16"/>
                <w:szCs w:val="16"/>
              </w:rPr>
            </w:pPr>
            <w:r w:rsidRPr="00474424">
              <w:rPr>
                <w:rFonts w:cs="Arial"/>
                <w:color w:val="000000"/>
                <w:sz w:val="16"/>
                <w:szCs w:val="16"/>
              </w:rPr>
              <w:t>9%</w:t>
            </w:r>
          </w:p>
        </w:tc>
        <w:tc>
          <w:tcPr>
            <w:tcW w:w="562" w:type="dxa"/>
          </w:tcPr>
          <w:p w14:paraId="733C6232" w14:textId="77777777" w:rsidR="0059790B" w:rsidRPr="00474424" w:rsidRDefault="0059790B" w:rsidP="0059790B">
            <w:pPr>
              <w:jc w:val="center"/>
              <w:rPr>
                <w:rFonts w:cs="Arial"/>
                <w:b/>
                <w:sz w:val="16"/>
                <w:szCs w:val="16"/>
              </w:rPr>
            </w:pPr>
            <w:r w:rsidRPr="00474424">
              <w:rPr>
                <w:rFonts w:cs="Arial"/>
                <w:color w:val="000000"/>
                <w:sz w:val="16"/>
                <w:szCs w:val="16"/>
              </w:rPr>
              <w:t>6%</w:t>
            </w:r>
          </w:p>
        </w:tc>
        <w:tc>
          <w:tcPr>
            <w:tcW w:w="880" w:type="dxa"/>
          </w:tcPr>
          <w:p w14:paraId="6E900867" w14:textId="77777777" w:rsidR="0059790B" w:rsidRPr="00474424" w:rsidRDefault="0059790B" w:rsidP="0059790B">
            <w:pPr>
              <w:jc w:val="center"/>
              <w:rPr>
                <w:rFonts w:cs="Arial"/>
                <w:b/>
                <w:sz w:val="16"/>
                <w:szCs w:val="16"/>
              </w:rPr>
            </w:pPr>
            <w:r w:rsidRPr="00474424">
              <w:rPr>
                <w:rFonts w:cs="Arial"/>
                <w:color w:val="000000"/>
                <w:sz w:val="16"/>
                <w:szCs w:val="16"/>
              </w:rPr>
              <w:t>108</w:t>
            </w:r>
          </w:p>
        </w:tc>
        <w:tc>
          <w:tcPr>
            <w:tcW w:w="624" w:type="dxa"/>
          </w:tcPr>
          <w:p w14:paraId="269F5B85" w14:textId="77777777" w:rsidR="0059790B" w:rsidRPr="00474424" w:rsidRDefault="0059790B" w:rsidP="0059790B">
            <w:pPr>
              <w:jc w:val="center"/>
              <w:rPr>
                <w:rFonts w:cs="Arial"/>
                <w:b/>
                <w:sz w:val="16"/>
                <w:szCs w:val="16"/>
              </w:rPr>
            </w:pPr>
            <w:r w:rsidRPr="00474424">
              <w:rPr>
                <w:rFonts w:cs="Arial"/>
                <w:color w:val="000000"/>
                <w:sz w:val="16"/>
                <w:szCs w:val="16"/>
              </w:rPr>
              <w:t>95</w:t>
            </w:r>
          </w:p>
        </w:tc>
        <w:tc>
          <w:tcPr>
            <w:tcW w:w="880" w:type="dxa"/>
          </w:tcPr>
          <w:p w14:paraId="4A86B9C9" w14:textId="77777777" w:rsidR="0059790B" w:rsidRPr="00474424" w:rsidRDefault="0059790B" w:rsidP="0059790B">
            <w:pPr>
              <w:jc w:val="center"/>
              <w:rPr>
                <w:rFonts w:cs="Arial"/>
                <w:b/>
                <w:sz w:val="16"/>
                <w:szCs w:val="16"/>
              </w:rPr>
            </w:pPr>
            <w:r w:rsidRPr="00474424">
              <w:rPr>
                <w:rFonts w:cs="Arial"/>
                <w:color w:val="000000"/>
                <w:sz w:val="16"/>
                <w:szCs w:val="16"/>
              </w:rPr>
              <w:t>69%</w:t>
            </w:r>
          </w:p>
        </w:tc>
        <w:tc>
          <w:tcPr>
            <w:tcW w:w="562" w:type="dxa"/>
          </w:tcPr>
          <w:p w14:paraId="2D921DE6" w14:textId="77777777" w:rsidR="0059790B" w:rsidRPr="00474424" w:rsidRDefault="0059790B" w:rsidP="0059790B">
            <w:pPr>
              <w:jc w:val="center"/>
              <w:rPr>
                <w:rFonts w:cs="Arial"/>
                <w:b/>
                <w:sz w:val="16"/>
                <w:szCs w:val="16"/>
              </w:rPr>
            </w:pPr>
            <w:r w:rsidRPr="00474424">
              <w:rPr>
                <w:rFonts w:cs="Arial"/>
                <w:color w:val="000000"/>
                <w:sz w:val="16"/>
                <w:szCs w:val="16"/>
              </w:rPr>
              <w:t>62%</w:t>
            </w:r>
          </w:p>
        </w:tc>
        <w:tc>
          <w:tcPr>
            <w:tcW w:w="880" w:type="dxa"/>
          </w:tcPr>
          <w:p w14:paraId="5991DE24" w14:textId="77777777" w:rsidR="0059790B" w:rsidRPr="00474424" w:rsidRDefault="0059790B" w:rsidP="0059790B">
            <w:pPr>
              <w:jc w:val="center"/>
              <w:rPr>
                <w:rFonts w:cs="Arial"/>
                <w:b/>
                <w:sz w:val="16"/>
                <w:szCs w:val="16"/>
              </w:rPr>
            </w:pPr>
            <w:r w:rsidRPr="00474424">
              <w:rPr>
                <w:rFonts w:cs="Arial"/>
                <w:color w:val="000000"/>
                <w:sz w:val="16"/>
                <w:szCs w:val="16"/>
              </w:rPr>
              <w:t>7%</w:t>
            </w:r>
          </w:p>
        </w:tc>
        <w:tc>
          <w:tcPr>
            <w:tcW w:w="562" w:type="dxa"/>
          </w:tcPr>
          <w:p w14:paraId="4C03DFE6" w14:textId="77777777" w:rsidR="0059790B" w:rsidRPr="00474424" w:rsidRDefault="0059790B" w:rsidP="0059790B">
            <w:pPr>
              <w:jc w:val="center"/>
              <w:rPr>
                <w:rFonts w:cs="Arial"/>
                <w:b/>
                <w:sz w:val="16"/>
                <w:szCs w:val="16"/>
              </w:rPr>
            </w:pPr>
            <w:r w:rsidRPr="00474424">
              <w:rPr>
                <w:rFonts w:cs="Arial"/>
                <w:color w:val="000000"/>
                <w:sz w:val="16"/>
                <w:szCs w:val="16"/>
              </w:rPr>
              <w:t>1%</w:t>
            </w:r>
          </w:p>
        </w:tc>
        <w:tc>
          <w:tcPr>
            <w:tcW w:w="880" w:type="dxa"/>
          </w:tcPr>
          <w:p w14:paraId="4BB145B5" w14:textId="77777777" w:rsidR="0059790B" w:rsidRPr="00474424" w:rsidRDefault="0059790B" w:rsidP="0059790B">
            <w:pPr>
              <w:jc w:val="center"/>
              <w:rPr>
                <w:rFonts w:cs="Arial"/>
                <w:b/>
                <w:sz w:val="16"/>
                <w:szCs w:val="16"/>
              </w:rPr>
            </w:pPr>
            <w:r w:rsidRPr="00474424">
              <w:rPr>
                <w:rFonts w:cs="Arial"/>
                <w:color w:val="000000"/>
                <w:sz w:val="16"/>
                <w:szCs w:val="16"/>
              </w:rPr>
              <w:t>207</w:t>
            </w:r>
          </w:p>
        </w:tc>
        <w:tc>
          <w:tcPr>
            <w:tcW w:w="624" w:type="dxa"/>
          </w:tcPr>
          <w:p w14:paraId="6ACC11B5" w14:textId="77777777" w:rsidR="0059790B" w:rsidRPr="00474424" w:rsidRDefault="0059790B" w:rsidP="0059790B">
            <w:pPr>
              <w:jc w:val="center"/>
              <w:rPr>
                <w:rFonts w:cs="Arial"/>
                <w:b/>
                <w:sz w:val="16"/>
                <w:szCs w:val="16"/>
              </w:rPr>
            </w:pPr>
            <w:r w:rsidRPr="00474424">
              <w:rPr>
                <w:rFonts w:cs="Arial"/>
                <w:color w:val="000000"/>
                <w:sz w:val="16"/>
                <w:szCs w:val="16"/>
              </w:rPr>
              <w:t>158</w:t>
            </w:r>
          </w:p>
        </w:tc>
        <w:tc>
          <w:tcPr>
            <w:tcW w:w="880" w:type="dxa"/>
          </w:tcPr>
          <w:p w14:paraId="31D04E9B" w14:textId="77777777" w:rsidR="0059790B" w:rsidRPr="00474424" w:rsidRDefault="0059790B" w:rsidP="0059790B">
            <w:pPr>
              <w:jc w:val="center"/>
              <w:rPr>
                <w:rFonts w:cs="Arial"/>
                <w:b/>
                <w:sz w:val="16"/>
                <w:szCs w:val="16"/>
              </w:rPr>
            </w:pPr>
            <w:r w:rsidRPr="00474424">
              <w:rPr>
                <w:rFonts w:cs="Arial"/>
                <w:color w:val="000000"/>
                <w:sz w:val="16"/>
                <w:szCs w:val="16"/>
              </w:rPr>
              <w:t>69%</w:t>
            </w:r>
          </w:p>
        </w:tc>
        <w:tc>
          <w:tcPr>
            <w:tcW w:w="562" w:type="dxa"/>
          </w:tcPr>
          <w:p w14:paraId="1F6461E8" w14:textId="77777777" w:rsidR="0059790B" w:rsidRPr="00474424" w:rsidRDefault="0059790B" w:rsidP="0059790B">
            <w:pPr>
              <w:jc w:val="center"/>
              <w:rPr>
                <w:rFonts w:cs="Arial"/>
                <w:b/>
                <w:sz w:val="16"/>
                <w:szCs w:val="16"/>
              </w:rPr>
            </w:pPr>
            <w:r w:rsidRPr="00474424">
              <w:rPr>
                <w:rFonts w:cs="Arial"/>
                <w:color w:val="000000"/>
                <w:sz w:val="16"/>
                <w:szCs w:val="16"/>
              </w:rPr>
              <w:t>51%</w:t>
            </w:r>
          </w:p>
        </w:tc>
        <w:tc>
          <w:tcPr>
            <w:tcW w:w="880" w:type="dxa"/>
          </w:tcPr>
          <w:p w14:paraId="690CD3B3" w14:textId="77777777" w:rsidR="0059790B" w:rsidRPr="00474424" w:rsidRDefault="0059790B" w:rsidP="0059790B">
            <w:pPr>
              <w:jc w:val="center"/>
              <w:rPr>
                <w:rFonts w:cs="Arial"/>
                <w:b/>
                <w:sz w:val="16"/>
                <w:szCs w:val="16"/>
              </w:rPr>
            </w:pPr>
            <w:r w:rsidRPr="00474424">
              <w:rPr>
                <w:rFonts w:cs="Arial"/>
                <w:color w:val="000000"/>
                <w:sz w:val="16"/>
                <w:szCs w:val="16"/>
              </w:rPr>
              <w:t>10%</w:t>
            </w:r>
          </w:p>
        </w:tc>
        <w:tc>
          <w:tcPr>
            <w:tcW w:w="562" w:type="dxa"/>
          </w:tcPr>
          <w:p w14:paraId="2C2272BD" w14:textId="77777777" w:rsidR="0059790B" w:rsidRPr="00474424" w:rsidRDefault="0059790B" w:rsidP="0059790B">
            <w:pPr>
              <w:jc w:val="center"/>
              <w:rPr>
                <w:rFonts w:cs="Arial"/>
                <w:b/>
                <w:sz w:val="16"/>
                <w:szCs w:val="16"/>
              </w:rPr>
            </w:pPr>
            <w:r w:rsidRPr="00474424">
              <w:rPr>
                <w:rFonts w:cs="Arial"/>
                <w:color w:val="000000"/>
                <w:sz w:val="16"/>
                <w:szCs w:val="16"/>
              </w:rPr>
              <w:t>9%</w:t>
            </w:r>
          </w:p>
        </w:tc>
      </w:tr>
      <w:tr w:rsidR="0059790B" w:rsidRPr="00C62592" w14:paraId="4C3F46ED" w14:textId="77777777" w:rsidTr="0059790B">
        <w:trPr>
          <w:trHeight w:hRule="exact" w:val="680"/>
        </w:trPr>
        <w:tc>
          <w:tcPr>
            <w:tcW w:w="1055" w:type="dxa"/>
          </w:tcPr>
          <w:p w14:paraId="36A7B722" w14:textId="77777777" w:rsidR="0059790B" w:rsidRPr="00A320AC" w:rsidRDefault="0059790B" w:rsidP="0059790B">
            <w:pPr>
              <w:jc w:val="center"/>
              <w:rPr>
                <w:rFonts w:cs="Arial"/>
                <w:b/>
                <w:sz w:val="16"/>
                <w:szCs w:val="16"/>
              </w:rPr>
            </w:pPr>
            <w:r w:rsidRPr="00A320AC">
              <w:rPr>
                <w:rFonts w:cs="Arial"/>
                <w:b/>
                <w:sz w:val="16"/>
                <w:szCs w:val="16"/>
              </w:rPr>
              <w:t>Splits for part-time students</w:t>
            </w:r>
          </w:p>
        </w:tc>
        <w:tc>
          <w:tcPr>
            <w:tcW w:w="880" w:type="dxa"/>
          </w:tcPr>
          <w:p w14:paraId="5B296279" w14:textId="77777777" w:rsidR="0059790B" w:rsidRPr="00474424" w:rsidRDefault="0059790B" w:rsidP="0059790B">
            <w:pPr>
              <w:jc w:val="center"/>
              <w:rPr>
                <w:rFonts w:cs="Arial"/>
                <w:b/>
                <w:sz w:val="16"/>
                <w:szCs w:val="16"/>
              </w:rPr>
            </w:pPr>
            <w:r w:rsidRPr="00474424">
              <w:rPr>
                <w:rFonts w:cs="Arial"/>
                <w:color w:val="000000"/>
                <w:sz w:val="16"/>
                <w:szCs w:val="16"/>
              </w:rPr>
              <w:t>4,095</w:t>
            </w:r>
          </w:p>
        </w:tc>
        <w:tc>
          <w:tcPr>
            <w:tcW w:w="624" w:type="dxa"/>
          </w:tcPr>
          <w:p w14:paraId="5DB3B4F7" w14:textId="77777777" w:rsidR="0059790B" w:rsidRPr="00474424" w:rsidRDefault="0059790B" w:rsidP="0059790B">
            <w:pPr>
              <w:jc w:val="center"/>
              <w:rPr>
                <w:rFonts w:cs="Arial"/>
                <w:b/>
                <w:sz w:val="16"/>
                <w:szCs w:val="16"/>
              </w:rPr>
            </w:pPr>
            <w:r w:rsidRPr="00474424">
              <w:rPr>
                <w:rFonts w:cs="Arial"/>
                <w:color w:val="000000"/>
                <w:sz w:val="16"/>
                <w:szCs w:val="16"/>
              </w:rPr>
              <w:t>3,289</w:t>
            </w:r>
          </w:p>
        </w:tc>
        <w:tc>
          <w:tcPr>
            <w:tcW w:w="880" w:type="dxa"/>
          </w:tcPr>
          <w:p w14:paraId="52324EFB" w14:textId="77777777" w:rsidR="0059790B" w:rsidRPr="00474424" w:rsidRDefault="0059790B" w:rsidP="0059790B">
            <w:pPr>
              <w:jc w:val="center"/>
              <w:rPr>
                <w:rFonts w:cs="Arial"/>
                <w:b/>
                <w:sz w:val="16"/>
                <w:szCs w:val="16"/>
              </w:rPr>
            </w:pPr>
            <w:r w:rsidRPr="00474424">
              <w:rPr>
                <w:rFonts w:cs="Arial"/>
                <w:color w:val="000000"/>
                <w:sz w:val="16"/>
                <w:szCs w:val="16"/>
              </w:rPr>
              <w:t>43%</w:t>
            </w:r>
          </w:p>
        </w:tc>
        <w:tc>
          <w:tcPr>
            <w:tcW w:w="562" w:type="dxa"/>
          </w:tcPr>
          <w:p w14:paraId="6F0CD88F" w14:textId="77777777" w:rsidR="0059790B" w:rsidRPr="00474424" w:rsidRDefault="0059790B" w:rsidP="0059790B">
            <w:pPr>
              <w:jc w:val="center"/>
              <w:rPr>
                <w:rFonts w:cs="Arial"/>
                <w:b/>
                <w:sz w:val="16"/>
                <w:szCs w:val="16"/>
              </w:rPr>
            </w:pPr>
            <w:r w:rsidRPr="00474424">
              <w:rPr>
                <w:rFonts w:cs="Arial"/>
                <w:color w:val="000000"/>
                <w:sz w:val="16"/>
                <w:szCs w:val="16"/>
              </w:rPr>
              <w:t>30%</w:t>
            </w:r>
          </w:p>
        </w:tc>
        <w:tc>
          <w:tcPr>
            <w:tcW w:w="880" w:type="dxa"/>
          </w:tcPr>
          <w:p w14:paraId="5ADCDCEF" w14:textId="77777777" w:rsidR="0059790B" w:rsidRPr="00474424" w:rsidRDefault="0059790B" w:rsidP="0059790B">
            <w:pPr>
              <w:jc w:val="center"/>
              <w:rPr>
                <w:rFonts w:cs="Arial"/>
                <w:b/>
                <w:sz w:val="16"/>
                <w:szCs w:val="16"/>
              </w:rPr>
            </w:pPr>
            <w:r w:rsidRPr="00474424">
              <w:rPr>
                <w:rFonts w:cs="Arial"/>
                <w:color w:val="000000"/>
                <w:sz w:val="16"/>
                <w:szCs w:val="16"/>
              </w:rPr>
              <w:t>4%</w:t>
            </w:r>
          </w:p>
        </w:tc>
        <w:tc>
          <w:tcPr>
            <w:tcW w:w="562" w:type="dxa"/>
          </w:tcPr>
          <w:p w14:paraId="6614A7BF" w14:textId="77777777" w:rsidR="0059790B" w:rsidRPr="00474424" w:rsidRDefault="0059790B" w:rsidP="0059790B">
            <w:pPr>
              <w:jc w:val="center"/>
              <w:rPr>
                <w:rFonts w:cs="Arial"/>
                <w:b/>
                <w:sz w:val="16"/>
                <w:szCs w:val="16"/>
              </w:rPr>
            </w:pPr>
            <w:r w:rsidRPr="00474424">
              <w:rPr>
                <w:rFonts w:cs="Arial"/>
                <w:color w:val="000000"/>
                <w:sz w:val="16"/>
                <w:szCs w:val="16"/>
              </w:rPr>
              <w:t>3%</w:t>
            </w:r>
          </w:p>
        </w:tc>
        <w:tc>
          <w:tcPr>
            <w:tcW w:w="880" w:type="dxa"/>
          </w:tcPr>
          <w:p w14:paraId="41742BF2" w14:textId="77777777" w:rsidR="0059790B" w:rsidRPr="00474424" w:rsidRDefault="0059790B" w:rsidP="0059790B">
            <w:pPr>
              <w:jc w:val="center"/>
              <w:rPr>
                <w:rFonts w:cs="Arial"/>
                <w:b/>
                <w:sz w:val="16"/>
                <w:szCs w:val="16"/>
              </w:rPr>
            </w:pPr>
            <w:r w:rsidRPr="00474424">
              <w:rPr>
                <w:rFonts w:cs="Arial"/>
                <w:color w:val="000000"/>
                <w:sz w:val="16"/>
                <w:szCs w:val="16"/>
              </w:rPr>
              <w:t>1,404</w:t>
            </w:r>
          </w:p>
        </w:tc>
        <w:tc>
          <w:tcPr>
            <w:tcW w:w="624" w:type="dxa"/>
          </w:tcPr>
          <w:p w14:paraId="20C6A96C" w14:textId="77777777" w:rsidR="0059790B" w:rsidRPr="00474424" w:rsidRDefault="0059790B" w:rsidP="0059790B">
            <w:pPr>
              <w:jc w:val="center"/>
              <w:rPr>
                <w:rFonts w:cs="Arial"/>
                <w:b/>
                <w:sz w:val="16"/>
                <w:szCs w:val="16"/>
              </w:rPr>
            </w:pPr>
            <w:r w:rsidRPr="00474424">
              <w:rPr>
                <w:rFonts w:cs="Arial"/>
                <w:color w:val="000000"/>
                <w:sz w:val="16"/>
                <w:szCs w:val="16"/>
              </w:rPr>
              <w:t>1,235</w:t>
            </w:r>
          </w:p>
        </w:tc>
        <w:tc>
          <w:tcPr>
            <w:tcW w:w="880" w:type="dxa"/>
          </w:tcPr>
          <w:p w14:paraId="005E6B28" w14:textId="77777777" w:rsidR="0059790B" w:rsidRPr="00474424" w:rsidRDefault="0059790B" w:rsidP="0059790B">
            <w:pPr>
              <w:jc w:val="center"/>
              <w:rPr>
                <w:rFonts w:cs="Arial"/>
                <w:b/>
                <w:sz w:val="16"/>
                <w:szCs w:val="16"/>
              </w:rPr>
            </w:pPr>
            <w:r w:rsidRPr="00474424">
              <w:rPr>
                <w:rFonts w:cs="Arial"/>
                <w:color w:val="000000"/>
                <w:sz w:val="16"/>
                <w:szCs w:val="16"/>
              </w:rPr>
              <w:t>50%</w:t>
            </w:r>
          </w:p>
        </w:tc>
        <w:tc>
          <w:tcPr>
            <w:tcW w:w="562" w:type="dxa"/>
          </w:tcPr>
          <w:p w14:paraId="4141859E" w14:textId="77777777" w:rsidR="0059790B" w:rsidRPr="00474424" w:rsidRDefault="0059790B" w:rsidP="0059790B">
            <w:pPr>
              <w:jc w:val="center"/>
              <w:rPr>
                <w:rFonts w:cs="Arial"/>
                <w:b/>
                <w:sz w:val="16"/>
                <w:szCs w:val="16"/>
              </w:rPr>
            </w:pPr>
            <w:r w:rsidRPr="00474424">
              <w:rPr>
                <w:rFonts w:cs="Arial"/>
                <w:color w:val="000000"/>
                <w:sz w:val="16"/>
                <w:szCs w:val="16"/>
              </w:rPr>
              <w:t>40%</w:t>
            </w:r>
          </w:p>
        </w:tc>
        <w:tc>
          <w:tcPr>
            <w:tcW w:w="880" w:type="dxa"/>
          </w:tcPr>
          <w:p w14:paraId="09AFDF10" w14:textId="77777777" w:rsidR="0059790B" w:rsidRPr="00474424" w:rsidRDefault="0059790B" w:rsidP="0059790B">
            <w:pPr>
              <w:jc w:val="center"/>
              <w:rPr>
                <w:rFonts w:cs="Arial"/>
                <w:b/>
                <w:sz w:val="16"/>
                <w:szCs w:val="16"/>
              </w:rPr>
            </w:pPr>
            <w:r w:rsidRPr="00474424">
              <w:rPr>
                <w:rFonts w:cs="Arial"/>
                <w:color w:val="000000"/>
                <w:sz w:val="16"/>
                <w:szCs w:val="16"/>
              </w:rPr>
              <w:t>4%</w:t>
            </w:r>
          </w:p>
        </w:tc>
        <w:tc>
          <w:tcPr>
            <w:tcW w:w="562" w:type="dxa"/>
          </w:tcPr>
          <w:p w14:paraId="3B0D1073" w14:textId="77777777" w:rsidR="0059790B" w:rsidRPr="00474424" w:rsidRDefault="0059790B" w:rsidP="0059790B">
            <w:pPr>
              <w:jc w:val="center"/>
              <w:rPr>
                <w:rFonts w:cs="Arial"/>
                <w:b/>
                <w:sz w:val="16"/>
                <w:szCs w:val="16"/>
              </w:rPr>
            </w:pPr>
            <w:r w:rsidRPr="00474424">
              <w:rPr>
                <w:rFonts w:cs="Arial"/>
                <w:color w:val="000000"/>
                <w:sz w:val="16"/>
                <w:szCs w:val="16"/>
              </w:rPr>
              <w:t>1%</w:t>
            </w:r>
          </w:p>
        </w:tc>
        <w:tc>
          <w:tcPr>
            <w:tcW w:w="880" w:type="dxa"/>
          </w:tcPr>
          <w:p w14:paraId="7F3CE8FC" w14:textId="77777777" w:rsidR="0059790B" w:rsidRPr="00474424" w:rsidRDefault="0059790B" w:rsidP="0059790B">
            <w:pPr>
              <w:jc w:val="center"/>
              <w:rPr>
                <w:rFonts w:cs="Arial"/>
                <w:b/>
                <w:sz w:val="16"/>
                <w:szCs w:val="16"/>
              </w:rPr>
            </w:pPr>
            <w:r w:rsidRPr="00474424">
              <w:rPr>
                <w:rFonts w:cs="Arial"/>
                <w:color w:val="000000"/>
                <w:sz w:val="16"/>
                <w:szCs w:val="16"/>
              </w:rPr>
              <w:t>2,691</w:t>
            </w:r>
          </w:p>
        </w:tc>
        <w:tc>
          <w:tcPr>
            <w:tcW w:w="624" w:type="dxa"/>
          </w:tcPr>
          <w:p w14:paraId="5EC30A40" w14:textId="77777777" w:rsidR="0059790B" w:rsidRPr="00474424" w:rsidRDefault="0059790B" w:rsidP="0059790B">
            <w:pPr>
              <w:jc w:val="center"/>
              <w:rPr>
                <w:rFonts w:cs="Arial"/>
                <w:b/>
                <w:sz w:val="16"/>
                <w:szCs w:val="16"/>
              </w:rPr>
            </w:pPr>
            <w:r w:rsidRPr="00474424">
              <w:rPr>
                <w:rFonts w:cs="Arial"/>
                <w:color w:val="000000"/>
                <w:sz w:val="16"/>
                <w:szCs w:val="16"/>
              </w:rPr>
              <w:t>2,054</w:t>
            </w:r>
          </w:p>
        </w:tc>
        <w:tc>
          <w:tcPr>
            <w:tcW w:w="880" w:type="dxa"/>
          </w:tcPr>
          <w:p w14:paraId="7B6D1914" w14:textId="77777777" w:rsidR="0059790B" w:rsidRPr="00474424" w:rsidRDefault="0059790B" w:rsidP="0059790B">
            <w:pPr>
              <w:jc w:val="center"/>
              <w:rPr>
                <w:rFonts w:cs="Arial"/>
                <w:b/>
                <w:sz w:val="16"/>
                <w:szCs w:val="16"/>
              </w:rPr>
            </w:pPr>
            <w:r w:rsidRPr="00474424">
              <w:rPr>
                <w:rFonts w:cs="Arial"/>
                <w:color w:val="000000"/>
                <w:sz w:val="16"/>
                <w:szCs w:val="16"/>
              </w:rPr>
              <w:t>39%</w:t>
            </w:r>
          </w:p>
        </w:tc>
        <w:tc>
          <w:tcPr>
            <w:tcW w:w="562" w:type="dxa"/>
          </w:tcPr>
          <w:p w14:paraId="236820AF" w14:textId="77777777" w:rsidR="0059790B" w:rsidRPr="00474424" w:rsidRDefault="0059790B" w:rsidP="0059790B">
            <w:pPr>
              <w:jc w:val="center"/>
              <w:rPr>
                <w:rFonts w:cs="Arial"/>
                <w:b/>
                <w:sz w:val="16"/>
                <w:szCs w:val="16"/>
              </w:rPr>
            </w:pPr>
            <w:r w:rsidRPr="00474424">
              <w:rPr>
                <w:rFonts w:cs="Arial"/>
                <w:color w:val="000000"/>
                <w:sz w:val="16"/>
                <w:szCs w:val="16"/>
              </w:rPr>
              <w:t>24%</w:t>
            </w:r>
          </w:p>
        </w:tc>
        <w:tc>
          <w:tcPr>
            <w:tcW w:w="880" w:type="dxa"/>
          </w:tcPr>
          <w:p w14:paraId="6CBA9C55" w14:textId="77777777" w:rsidR="0059790B" w:rsidRPr="00474424" w:rsidRDefault="0059790B" w:rsidP="0059790B">
            <w:pPr>
              <w:jc w:val="center"/>
              <w:rPr>
                <w:rFonts w:cs="Arial"/>
                <w:b/>
                <w:sz w:val="16"/>
                <w:szCs w:val="16"/>
              </w:rPr>
            </w:pPr>
            <w:r w:rsidRPr="00474424">
              <w:rPr>
                <w:rFonts w:cs="Arial"/>
                <w:color w:val="000000"/>
                <w:sz w:val="16"/>
                <w:szCs w:val="16"/>
              </w:rPr>
              <w:t>4%</w:t>
            </w:r>
          </w:p>
        </w:tc>
        <w:tc>
          <w:tcPr>
            <w:tcW w:w="562" w:type="dxa"/>
          </w:tcPr>
          <w:p w14:paraId="4E0C6303" w14:textId="77777777" w:rsidR="0059790B" w:rsidRPr="00474424" w:rsidRDefault="0059790B" w:rsidP="0059790B">
            <w:pPr>
              <w:jc w:val="center"/>
              <w:rPr>
                <w:rFonts w:cs="Arial"/>
                <w:b/>
                <w:sz w:val="16"/>
                <w:szCs w:val="16"/>
              </w:rPr>
            </w:pPr>
            <w:r w:rsidRPr="00474424">
              <w:rPr>
                <w:rFonts w:cs="Arial"/>
                <w:color w:val="000000"/>
                <w:sz w:val="16"/>
                <w:szCs w:val="16"/>
              </w:rPr>
              <w:t>4%</w:t>
            </w:r>
          </w:p>
        </w:tc>
      </w:tr>
      <w:tr w:rsidR="0059790B" w:rsidRPr="00C62592" w14:paraId="783A245D" w14:textId="77777777" w:rsidTr="0059790B">
        <w:trPr>
          <w:trHeight w:hRule="exact" w:val="680"/>
        </w:trPr>
        <w:tc>
          <w:tcPr>
            <w:tcW w:w="14219" w:type="dxa"/>
            <w:gridSpan w:val="19"/>
          </w:tcPr>
          <w:p w14:paraId="3290CDF6" w14:textId="77777777" w:rsidR="0059790B" w:rsidRPr="00A320AC" w:rsidRDefault="0059790B" w:rsidP="0059790B">
            <w:pPr>
              <w:jc w:val="center"/>
              <w:rPr>
                <w:rFonts w:cs="Arial"/>
                <w:b/>
                <w:sz w:val="16"/>
                <w:szCs w:val="16"/>
              </w:rPr>
            </w:pPr>
            <w:r w:rsidRPr="00A320AC">
              <w:rPr>
                <w:rFonts w:cs="Arial"/>
                <w:b/>
                <w:sz w:val="16"/>
                <w:szCs w:val="16"/>
              </w:rPr>
              <w:t>Assessment and feedback</w:t>
            </w:r>
          </w:p>
        </w:tc>
      </w:tr>
      <w:tr w:rsidR="0059790B" w:rsidRPr="00474424" w14:paraId="45095FF1" w14:textId="77777777" w:rsidTr="0059790B">
        <w:trPr>
          <w:trHeight w:hRule="exact" w:val="680"/>
        </w:trPr>
        <w:tc>
          <w:tcPr>
            <w:tcW w:w="1055" w:type="dxa"/>
          </w:tcPr>
          <w:p w14:paraId="6992075B" w14:textId="77777777" w:rsidR="0059790B" w:rsidRPr="00A320AC" w:rsidRDefault="0059790B" w:rsidP="0059790B">
            <w:pPr>
              <w:jc w:val="center"/>
              <w:rPr>
                <w:rFonts w:cs="Arial"/>
                <w:b/>
                <w:sz w:val="16"/>
                <w:szCs w:val="16"/>
              </w:rPr>
            </w:pPr>
            <w:r w:rsidRPr="00A320AC">
              <w:rPr>
                <w:rFonts w:cs="Arial"/>
                <w:b/>
                <w:sz w:val="16"/>
                <w:szCs w:val="16"/>
              </w:rPr>
              <w:t>Full-time students</w:t>
            </w:r>
          </w:p>
        </w:tc>
        <w:tc>
          <w:tcPr>
            <w:tcW w:w="880" w:type="dxa"/>
          </w:tcPr>
          <w:p w14:paraId="22312CC4" w14:textId="77777777" w:rsidR="0059790B" w:rsidRPr="00474424" w:rsidRDefault="0059790B" w:rsidP="0059790B">
            <w:pPr>
              <w:jc w:val="center"/>
              <w:rPr>
                <w:rFonts w:cs="Arial"/>
                <w:b/>
                <w:sz w:val="16"/>
                <w:szCs w:val="16"/>
              </w:rPr>
            </w:pPr>
            <w:r w:rsidRPr="00474424">
              <w:rPr>
                <w:rFonts w:cs="Arial"/>
                <w:color w:val="000000"/>
                <w:sz w:val="16"/>
                <w:szCs w:val="16"/>
              </w:rPr>
              <w:t>352</w:t>
            </w:r>
          </w:p>
        </w:tc>
        <w:tc>
          <w:tcPr>
            <w:tcW w:w="624" w:type="dxa"/>
          </w:tcPr>
          <w:p w14:paraId="538F1499" w14:textId="77777777" w:rsidR="0059790B" w:rsidRPr="00474424" w:rsidRDefault="0059790B" w:rsidP="0059790B">
            <w:pPr>
              <w:jc w:val="center"/>
              <w:rPr>
                <w:rFonts w:cs="Arial"/>
                <w:b/>
                <w:sz w:val="16"/>
                <w:szCs w:val="16"/>
              </w:rPr>
            </w:pPr>
            <w:r w:rsidRPr="00474424">
              <w:rPr>
                <w:rFonts w:cs="Arial"/>
                <w:color w:val="000000"/>
                <w:sz w:val="16"/>
                <w:szCs w:val="16"/>
              </w:rPr>
              <w:t>336</w:t>
            </w:r>
          </w:p>
        </w:tc>
        <w:tc>
          <w:tcPr>
            <w:tcW w:w="880" w:type="dxa"/>
          </w:tcPr>
          <w:p w14:paraId="331610AB" w14:textId="77777777" w:rsidR="0059790B" w:rsidRPr="00474424" w:rsidRDefault="0059790B" w:rsidP="0059790B">
            <w:pPr>
              <w:jc w:val="center"/>
              <w:rPr>
                <w:rFonts w:cs="Arial"/>
                <w:b/>
                <w:sz w:val="16"/>
                <w:szCs w:val="16"/>
              </w:rPr>
            </w:pPr>
            <w:r w:rsidRPr="00474424">
              <w:rPr>
                <w:rFonts w:cs="Arial"/>
                <w:color w:val="000000"/>
                <w:sz w:val="16"/>
                <w:szCs w:val="16"/>
              </w:rPr>
              <w:t>91%</w:t>
            </w:r>
          </w:p>
        </w:tc>
        <w:tc>
          <w:tcPr>
            <w:tcW w:w="562" w:type="dxa"/>
          </w:tcPr>
          <w:p w14:paraId="708A36DA" w14:textId="77777777" w:rsidR="0059790B" w:rsidRPr="00474424" w:rsidRDefault="0059790B" w:rsidP="0059790B">
            <w:pPr>
              <w:jc w:val="center"/>
              <w:rPr>
                <w:rFonts w:cs="Arial"/>
                <w:b/>
                <w:sz w:val="16"/>
                <w:szCs w:val="16"/>
              </w:rPr>
            </w:pPr>
            <w:r w:rsidRPr="00474424">
              <w:rPr>
                <w:rFonts w:cs="Arial"/>
                <w:color w:val="000000"/>
                <w:sz w:val="16"/>
                <w:szCs w:val="16"/>
              </w:rPr>
              <w:t>88%</w:t>
            </w:r>
          </w:p>
        </w:tc>
        <w:tc>
          <w:tcPr>
            <w:tcW w:w="880" w:type="dxa"/>
          </w:tcPr>
          <w:p w14:paraId="01673505" w14:textId="77777777" w:rsidR="0059790B" w:rsidRPr="00474424" w:rsidRDefault="0059790B" w:rsidP="0059790B">
            <w:pPr>
              <w:jc w:val="center"/>
              <w:rPr>
                <w:rFonts w:cs="Arial"/>
                <w:b/>
                <w:sz w:val="16"/>
                <w:szCs w:val="16"/>
              </w:rPr>
            </w:pPr>
            <w:r w:rsidRPr="00474424">
              <w:rPr>
                <w:rFonts w:cs="Arial"/>
                <w:color w:val="000000"/>
                <w:sz w:val="16"/>
                <w:szCs w:val="16"/>
              </w:rPr>
              <w:t>35%</w:t>
            </w:r>
          </w:p>
        </w:tc>
        <w:tc>
          <w:tcPr>
            <w:tcW w:w="562" w:type="dxa"/>
          </w:tcPr>
          <w:p w14:paraId="6F69C2FA" w14:textId="77777777" w:rsidR="0059790B" w:rsidRPr="00474424" w:rsidRDefault="0059790B" w:rsidP="0059790B">
            <w:pPr>
              <w:jc w:val="center"/>
              <w:rPr>
                <w:rFonts w:cs="Arial"/>
                <w:b/>
                <w:sz w:val="16"/>
                <w:szCs w:val="16"/>
              </w:rPr>
            </w:pPr>
            <w:r w:rsidRPr="00474424">
              <w:rPr>
                <w:rFonts w:cs="Arial"/>
                <w:color w:val="000000"/>
                <w:sz w:val="16"/>
                <w:szCs w:val="16"/>
              </w:rPr>
              <w:t>28%</w:t>
            </w:r>
          </w:p>
        </w:tc>
        <w:tc>
          <w:tcPr>
            <w:tcW w:w="880" w:type="dxa"/>
          </w:tcPr>
          <w:p w14:paraId="4769D992" w14:textId="77777777" w:rsidR="0059790B" w:rsidRPr="00474424" w:rsidRDefault="0059790B" w:rsidP="0059790B">
            <w:pPr>
              <w:jc w:val="center"/>
              <w:rPr>
                <w:rFonts w:cs="Arial"/>
                <w:b/>
                <w:sz w:val="16"/>
                <w:szCs w:val="16"/>
              </w:rPr>
            </w:pPr>
            <w:r w:rsidRPr="00474424">
              <w:rPr>
                <w:rFonts w:cs="Arial"/>
                <w:color w:val="000000"/>
                <w:sz w:val="16"/>
                <w:szCs w:val="16"/>
              </w:rPr>
              <w:t>125</w:t>
            </w:r>
          </w:p>
        </w:tc>
        <w:tc>
          <w:tcPr>
            <w:tcW w:w="624" w:type="dxa"/>
          </w:tcPr>
          <w:p w14:paraId="42CC98DF" w14:textId="77777777" w:rsidR="0059790B" w:rsidRPr="00474424" w:rsidRDefault="0059790B" w:rsidP="0059790B">
            <w:pPr>
              <w:jc w:val="center"/>
              <w:rPr>
                <w:rFonts w:cs="Arial"/>
                <w:b/>
                <w:sz w:val="16"/>
                <w:szCs w:val="16"/>
              </w:rPr>
            </w:pPr>
            <w:r w:rsidRPr="00474424">
              <w:rPr>
                <w:rFonts w:cs="Arial"/>
                <w:color w:val="000000"/>
                <w:sz w:val="16"/>
                <w:szCs w:val="16"/>
              </w:rPr>
              <w:t>122</w:t>
            </w:r>
          </w:p>
        </w:tc>
        <w:tc>
          <w:tcPr>
            <w:tcW w:w="880" w:type="dxa"/>
          </w:tcPr>
          <w:p w14:paraId="3E116CE4" w14:textId="77777777" w:rsidR="0059790B" w:rsidRPr="00474424" w:rsidRDefault="0059790B" w:rsidP="0059790B">
            <w:pPr>
              <w:jc w:val="center"/>
              <w:rPr>
                <w:rFonts w:cs="Arial"/>
                <w:b/>
                <w:sz w:val="16"/>
                <w:szCs w:val="16"/>
              </w:rPr>
            </w:pPr>
            <w:r w:rsidRPr="00474424">
              <w:rPr>
                <w:rFonts w:cs="Arial"/>
                <w:color w:val="000000"/>
                <w:sz w:val="16"/>
                <w:szCs w:val="16"/>
              </w:rPr>
              <w:t>98%</w:t>
            </w:r>
          </w:p>
        </w:tc>
        <w:tc>
          <w:tcPr>
            <w:tcW w:w="562" w:type="dxa"/>
          </w:tcPr>
          <w:p w14:paraId="3D8B446A" w14:textId="77777777" w:rsidR="0059790B" w:rsidRPr="00474424" w:rsidRDefault="0059790B" w:rsidP="0059790B">
            <w:pPr>
              <w:jc w:val="center"/>
              <w:rPr>
                <w:rFonts w:cs="Arial"/>
                <w:b/>
                <w:sz w:val="16"/>
                <w:szCs w:val="16"/>
              </w:rPr>
            </w:pPr>
            <w:r w:rsidRPr="00474424">
              <w:rPr>
                <w:rFonts w:cs="Arial"/>
                <w:color w:val="000000"/>
                <w:sz w:val="16"/>
                <w:szCs w:val="16"/>
              </w:rPr>
              <w:t>99%</w:t>
            </w:r>
          </w:p>
        </w:tc>
        <w:tc>
          <w:tcPr>
            <w:tcW w:w="880" w:type="dxa"/>
          </w:tcPr>
          <w:p w14:paraId="22CC6B54" w14:textId="77777777" w:rsidR="0059790B" w:rsidRPr="00474424" w:rsidRDefault="0059790B" w:rsidP="0059790B">
            <w:pPr>
              <w:jc w:val="center"/>
              <w:rPr>
                <w:rFonts w:cs="Arial"/>
                <w:b/>
                <w:sz w:val="16"/>
                <w:szCs w:val="16"/>
              </w:rPr>
            </w:pPr>
            <w:r w:rsidRPr="00474424">
              <w:rPr>
                <w:rFonts w:cs="Arial"/>
                <w:color w:val="000000"/>
                <w:sz w:val="16"/>
                <w:szCs w:val="16"/>
              </w:rPr>
              <w:t>50%</w:t>
            </w:r>
          </w:p>
        </w:tc>
        <w:tc>
          <w:tcPr>
            <w:tcW w:w="562" w:type="dxa"/>
          </w:tcPr>
          <w:p w14:paraId="173E40AC" w14:textId="77777777" w:rsidR="0059790B" w:rsidRPr="00474424" w:rsidRDefault="0059790B" w:rsidP="0059790B">
            <w:pPr>
              <w:jc w:val="center"/>
              <w:rPr>
                <w:rFonts w:cs="Arial"/>
                <w:b/>
                <w:sz w:val="16"/>
                <w:szCs w:val="16"/>
              </w:rPr>
            </w:pPr>
            <w:r w:rsidRPr="00474424">
              <w:rPr>
                <w:rFonts w:cs="Arial"/>
                <w:color w:val="000000"/>
                <w:sz w:val="16"/>
                <w:szCs w:val="16"/>
              </w:rPr>
              <w:t>52%</w:t>
            </w:r>
          </w:p>
        </w:tc>
        <w:tc>
          <w:tcPr>
            <w:tcW w:w="880" w:type="dxa"/>
          </w:tcPr>
          <w:p w14:paraId="4A43C114" w14:textId="77777777" w:rsidR="0059790B" w:rsidRPr="00474424" w:rsidRDefault="0059790B" w:rsidP="0059790B">
            <w:pPr>
              <w:jc w:val="center"/>
              <w:rPr>
                <w:rFonts w:cs="Arial"/>
                <w:b/>
                <w:sz w:val="16"/>
                <w:szCs w:val="16"/>
              </w:rPr>
            </w:pPr>
            <w:r w:rsidRPr="00474424">
              <w:rPr>
                <w:rFonts w:cs="Arial"/>
                <w:color w:val="000000"/>
                <w:sz w:val="16"/>
                <w:szCs w:val="16"/>
              </w:rPr>
              <w:t>227</w:t>
            </w:r>
          </w:p>
        </w:tc>
        <w:tc>
          <w:tcPr>
            <w:tcW w:w="624" w:type="dxa"/>
          </w:tcPr>
          <w:p w14:paraId="2452F7C1" w14:textId="77777777" w:rsidR="0059790B" w:rsidRPr="00474424" w:rsidRDefault="0059790B" w:rsidP="0059790B">
            <w:pPr>
              <w:jc w:val="center"/>
              <w:rPr>
                <w:rFonts w:cs="Arial"/>
                <w:b/>
                <w:sz w:val="16"/>
                <w:szCs w:val="16"/>
              </w:rPr>
            </w:pPr>
            <w:r w:rsidRPr="00474424">
              <w:rPr>
                <w:rFonts w:cs="Arial"/>
                <w:color w:val="000000"/>
                <w:sz w:val="16"/>
                <w:szCs w:val="16"/>
              </w:rPr>
              <w:t>214</w:t>
            </w:r>
          </w:p>
        </w:tc>
        <w:tc>
          <w:tcPr>
            <w:tcW w:w="880" w:type="dxa"/>
          </w:tcPr>
          <w:p w14:paraId="1DF778A3" w14:textId="77777777" w:rsidR="0059790B" w:rsidRPr="00474424" w:rsidRDefault="0059790B" w:rsidP="0059790B">
            <w:pPr>
              <w:jc w:val="center"/>
              <w:rPr>
                <w:rFonts w:cs="Arial"/>
                <w:b/>
                <w:sz w:val="16"/>
                <w:szCs w:val="16"/>
              </w:rPr>
            </w:pPr>
            <w:r w:rsidRPr="00474424">
              <w:rPr>
                <w:rFonts w:cs="Arial"/>
                <w:color w:val="000000"/>
                <w:sz w:val="16"/>
                <w:szCs w:val="16"/>
              </w:rPr>
              <w:t>86%</w:t>
            </w:r>
          </w:p>
        </w:tc>
        <w:tc>
          <w:tcPr>
            <w:tcW w:w="562" w:type="dxa"/>
          </w:tcPr>
          <w:p w14:paraId="39DBD0AB" w14:textId="77777777" w:rsidR="0059790B" w:rsidRPr="00474424" w:rsidRDefault="0059790B" w:rsidP="0059790B">
            <w:pPr>
              <w:jc w:val="center"/>
              <w:rPr>
                <w:rFonts w:cs="Arial"/>
                <w:b/>
                <w:sz w:val="16"/>
                <w:szCs w:val="16"/>
              </w:rPr>
            </w:pPr>
            <w:r w:rsidRPr="00474424">
              <w:rPr>
                <w:rFonts w:cs="Arial"/>
                <w:color w:val="000000"/>
                <w:sz w:val="16"/>
                <w:szCs w:val="16"/>
              </w:rPr>
              <w:t>82%</w:t>
            </w:r>
          </w:p>
        </w:tc>
        <w:tc>
          <w:tcPr>
            <w:tcW w:w="880" w:type="dxa"/>
          </w:tcPr>
          <w:p w14:paraId="40E10697" w14:textId="77777777" w:rsidR="0059790B" w:rsidRPr="00474424" w:rsidRDefault="0059790B" w:rsidP="0059790B">
            <w:pPr>
              <w:jc w:val="center"/>
              <w:rPr>
                <w:rFonts w:cs="Arial"/>
                <w:b/>
                <w:sz w:val="16"/>
                <w:szCs w:val="16"/>
              </w:rPr>
            </w:pPr>
            <w:r w:rsidRPr="00474424">
              <w:rPr>
                <w:rFonts w:cs="Arial"/>
                <w:color w:val="000000"/>
                <w:sz w:val="16"/>
                <w:szCs w:val="16"/>
              </w:rPr>
              <w:t>26%</w:t>
            </w:r>
          </w:p>
        </w:tc>
        <w:tc>
          <w:tcPr>
            <w:tcW w:w="562" w:type="dxa"/>
          </w:tcPr>
          <w:p w14:paraId="13C699DD" w14:textId="77777777" w:rsidR="0059790B" w:rsidRPr="00474424" w:rsidRDefault="0059790B" w:rsidP="0059790B">
            <w:pPr>
              <w:jc w:val="center"/>
              <w:rPr>
                <w:rFonts w:cs="Arial"/>
                <w:b/>
                <w:sz w:val="16"/>
                <w:szCs w:val="16"/>
              </w:rPr>
            </w:pPr>
            <w:r w:rsidRPr="00474424">
              <w:rPr>
                <w:rFonts w:cs="Arial"/>
                <w:color w:val="000000"/>
                <w:sz w:val="16"/>
                <w:szCs w:val="16"/>
              </w:rPr>
              <w:t>15%</w:t>
            </w:r>
          </w:p>
        </w:tc>
      </w:tr>
      <w:tr w:rsidR="0059790B" w:rsidRPr="00474424" w14:paraId="28C35706" w14:textId="77777777" w:rsidTr="0059790B">
        <w:trPr>
          <w:trHeight w:hRule="exact" w:val="680"/>
        </w:trPr>
        <w:tc>
          <w:tcPr>
            <w:tcW w:w="1055" w:type="dxa"/>
          </w:tcPr>
          <w:p w14:paraId="13B28449" w14:textId="77777777" w:rsidR="0059790B" w:rsidRPr="00A320AC" w:rsidRDefault="0059790B" w:rsidP="0059790B">
            <w:pPr>
              <w:jc w:val="center"/>
              <w:rPr>
                <w:rFonts w:cs="Arial"/>
                <w:b/>
                <w:sz w:val="16"/>
                <w:szCs w:val="16"/>
              </w:rPr>
            </w:pPr>
            <w:r w:rsidRPr="00A320AC">
              <w:rPr>
                <w:rFonts w:cs="Arial"/>
                <w:b/>
                <w:sz w:val="16"/>
                <w:szCs w:val="16"/>
              </w:rPr>
              <w:t>Splits for full-time students</w:t>
            </w:r>
          </w:p>
        </w:tc>
        <w:tc>
          <w:tcPr>
            <w:tcW w:w="880" w:type="dxa"/>
          </w:tcPr>
          <w:p w14:paraId="42898EEE" w14:textId="77777777" w:rsidR="0059790B" w:rsidRPr="00474424" w:rsidRDefault="0059790B" w:rsidP="0059790B">
            <w:pPr>
              <w:jc w:val="center"/>
              <w:rPr>
                <w:rFonts w:cs="Arial"/>
                <w:b/>
                <w:sz w:val="16"/>
                <w:szCs w:val="16"/>
              </w:rPr>
            </w:pPr>
            <w:r w:rsidRPr="00474424">
              <w:rPr>
                <w:rFonts w:cs="Arial"/>
                <w:color w:val="000000"/>
                <w:sz w:val="16"/>
                <w:szCs w:val="16"/>
              </w:rPr>
              <w:t>4,576</w:t>
            </w:r>
          </w:p>
        </w:tc>
        <w:tc>
          <w:tcPr>
            <w:tcW w:w="624" w:type="dxa"/>
          </w:tcPr>
          <w:p w14:paraId="323D12F5" w14:textId="77777777" w:rsidR="0059790B" w:rsidRPr="00474424" w:rsidRDefault="0059790B" w:rsidP="0059790B">
            <w:pPr>
              <w:jc w:val="center"/>
              <w:rPr>
                <w:rFonts w:cs="Arial"/>
                <w:b/>
                <w:sz w:val="16"/>
                <w:szCs w:val="16"/>
              </w:rPr>
            </w:pPr>
            <w:r w:rsidRPr="00474424">
              <w:rPr>
                <w:rFonts w:cs="Arial"/>
                <w:color w:val="000000"/>
                <w:sz w:val="16"/>
                <w:szCs w:val="16"/>
              </w:rPr>
              <w:t>4,368</w:t>
            </w:r>
          </w:p>
        </w:tc>
        <w:tc>
          <w:tcPr>
            <w:tcW w:w="880" w:type="dxa"/>
          </w:tcPr>
          <w:p w14:paraId="6C0D1A51" w14:textId="77777777" w:rsidR="0059790B" w:rsidRPr="00474424" w:rsidRDefault="0059790B" w:rsidP="0059790B">
            <w:pPr>
              <w:jc w:val="center"/>
              <w:rPr>
                <w:rFonts w:cs="Arial"/>
                <w:b/>
                <w:sz w:val="16"/>
                <w:szCs w:val="16"/>
              </w:rPr>
            </w:pPr>
            <w:r w:rsidRPr="00474424">
              <w:rPr>
                <w:rFonts w:cs="Arial"/>
                <w:color w:val="000000"/>
                <w:sz w:val="16"/>
                <w:szCs w:val="16"/>
              </w:rPr>
              <w:t>74%</w:t>
            </w:r>
          </w:p>
        </w:tc>
        <w:tc>
          <w:tcPr>
            <w:tcW w:w="562" w:type="dxa"/>
          </w:tcPr>
          <w:p w14:paraId="4DB7830C" w14:textId="77777777" w:rsidR="0059790B" w:rsidRPr="00474424" w:rsidRDefault="0059790B" w:rsidP="0059790B">
            <w:pPr>
              <w:jc w:val="center"/>
              <w:rPr>
                <w:rFonts w:cs="Arial"/>
                <w:b/>
                <w:sz w:val="16"/>
                <w:szCs w:val="16"/>
              </w:rPr>
            </w:pPr>
            <w:r w:rsidRPr="00474424">
              <w:rPr>
                <w:rFonts w:cs="Arial"/>
                <w:color w:val="000000"/>
                <w:sz w:val="16"/>
                <w:szCs w:val="16"/>
              </w:rPr>
              <w:t>66%</w:t>
            </w:r>
          </w:p>
        </w:tc>
        <w:tc>
          <w:tcPr>
            <w:tcW w:w="880" w:type="dxa"/>
          </w:tcPr>
          <w:p w14:paraId="142B3350" w14:textId="77777777" w:rsidR="0059790B" w:rsidRPr="00474424" w:rsidRDefault="0059790B" w:rsidP="0059790B">
            <w:pPr>
              <w:jc w:val="center"/>
              <w:rPr>
                <w:rFonts w:cs="Arial"/>
                <w:b/>
                <w:sz w:val="16"/>
                <w:szCs w:val="16"/>
              </w:rPr>
            </w:pPr>
            <w:r w:rsidRPr="00474424">
              <w:rPr>
                <w:rFonts w:cs="Arial"/>
                <w:color w:val="000000"/>
                <w:sz w:val="16"/>
                <w:szCs w:val="16"/>
              </w:rPr>
              <w:t>23%</w:t>
            </w:r>
          </w:p>
        </w:tc>
        <w:tc>
          <w:tcPr>
            <w:tcW w:w="562" w:type="dxa"/>
          </w:tcPr>
          <w:p w14:paraId="585C3045" w14:textId="77777777" w:rsidR="0059790B" w:rsidRPr="00474424" w:rsidRDefault="0059790B" w:rsidP="0059790B">
            <w:pPr>
              <w:jc w:val="center"/>
              <w:rPr>
                <w:rFonts w:cs="Arial"/>
                <w:b/>
                <w:sz w:val="16"/>
                <w:szCs w:val="16"/>
              </w:rPr>
            </w:pPr>
            <w:r w:rsidRPr="00474424">
              <w:rPr>
                <w:rFonts w:cs="Arial"/>
                <w:color w:val="000000"/>
                <w:sz w:val="16"/>
                <w:szCs w:val="16"/>
              </w:rPr>
              <w:t>17%</w:t>
            </w:r>
          </w:p>
        </w:tc>
        <w:tc>
          <w:tcPr>
            <w:tcW w:w="880" w:type="dxa"/>
          </w:tcPr>
          <w:p w14:paraId="63B4A759" w14:textId="77777777" w:rsidR="0059790B" w:rsidRPr="00474424" w:rsidRDefault="0059790B" w:rsidP="0059790B">
            <w:pPr>
              <w:jc w:val="center"/>
              <w:rPr>
                <w:rFonts w:cs="Arial"/>
                <w:b/>
                <w:sz w:val="16"/>
                <w:szCs w:val="16"/>
              </w:rPr>
            </w:pPr>
            <w:r w:rsidRPr="00474424">
              <w:rPr>
                <w:rFonts w:cs="Arial"/>
                <w:color w:val="000000"/>
                <w:sz w:val="16"/>
                <w:szCs w:val="16"/>
              </w:rPr>
              <w:t>1,625</w:t>
            </w:r>
          </w:p>
        </w:tc>
        <w:tc>
          <w:tcPr>
            <w:tcW w:w="624" w:type="dxa"/>
          </w:tcPr>
          <w:p w14:paraId="2484EAD5" w14:textId="77777777" w:rsidR="0059790B" w:rsidRPr="00474424" w:rsidRDefault="0059790B" w:rsidP="0059790B">
            <w:pPr>
              <w:jc w:val="center"/>
              <w:rPr>
                <w:rFonts w:cs="Arial"/>
                <w:b/>
                <w:sz w:val="16"/>
                <w:szCs w:val="16"/>
              </w:rPr>
            </w:pPr>
            <w:r w:rsidRPr="00474424">
              <w:rPr>
                <w:rFonts w:cs="Arial"/>
                <w:color w:val="000000"/>
                <w:sz w:val="16"/>
                <w:szCs w:val="16"/>
              </w:rPr>
              <w:t>1,586</w:t>
            </w:r>
          </w:p>
        </w:tc>
        <w:tc>
          <w:tcPr>
            <w:tcW w:w="880" w:type="dxa"/>
          </w:tcPr>
          <w:p w14:paraId="1A31BDA1" w14:textId="77777777" w:rsidR="0059790B" w:rsidRPr="00474424" w:rsidRDefault="0059790B" w:rsidP="0059790B">
            <w:pPr>
              <w:jc w:val="center"/>
              <w:rPr>
                <w:rFonts w:cs="Arial"/>
                <w:b/>
                <w:sz w:val="16"/>
                <w:szCs w:val="16"/>
              </w:rPr>
            </w:pPr>
            <w:r w:rsidRPr="00474424">
              <w:rPr>
                <w:rFonts w:cs="Arial"/>
                <w:color w:val="000000"/>
                <w:sz w:val="16"/>
                <w:szCs w:val="16"/>
              </w:rPr>
              <w:t>95%</w:t>
            </w:r>
          </w:p>
        </w:tc>
        <w:tc>
          <w:tcPr>
            <w:tcW w:w="562" w:type="dxa"/>
          </w:tcPr>
          <w:p w14:paraId="01449193" w14:textId="77777777" w:rsidR="0059790B" w:rsidRPr="00474424" w:rsidRDefault="0059790B" w:rsidP="0059790B">
            <w:pPr>
              <w:jc w:val="center"/>
              <w:rPr>
                <w:rFonts w:cs="Arial"/>
                <w:b/>
                <w:sz w:val="16"/>
                <w:szCs w:val="16"/>
              </w:rPr>
            </w:pPr>
            <w:r w:rsidRPr="00474424">
              <w:rPr>
                <w:rFonts w:cs="Arial"/>
                <w:color w:val="000000"/>
                <w:sz w:val="16"/>
                <w:szCs w:val="16"/>
              </w:rPr>
              <w:t>93%</w:t>
            </w:r>
          </w:p>
        </w:tc>
        <w:tc>
          <w:tcPr>
            <w:tcW w:w="880" w:type="dxa"/>
          </w:tcPr>
          <w:p w14:paraId="3E915DD7" w14:textId="77777777" w:rsidR="0059790B" w:rsidRPr="00474424" w:rsidRDefault="0059790B" w:rsidP="0059790B">
            <w:pPr>
              <w:jc w:val="center"/>
              <w:rPr>
                <w:rFonts w:cs="Arial"/>
                <w:b/>
                <w:sz w:val="16"/>
                <w:szCs w:val="16"/>
              </w:rPr>
            </w:pPr>
            <w:r w:rsidRPr="00474424">
              <w:rPr>
                <w:rFonts w:cs="Arial"/>
                <w:color w:val="000000"/>
                <w:sz w:val="16"/>
                <w:szCs w:val="16"/>
              </w:rPr>
              <w:t>41%</w:t>
            </w:r>
          </w:p>
        </w:tc>
        <w:tc>
          <w:tcPr>
            <w:tcW w:w="562" w:type="dxa"/>
          </w:tcPr>
          <w:p w14:paraId="69C9C5BD" w14:textId="77777777" w:rsidR="0059790B" w:rsidRPr="00474424" w:rsidRDefault="0059790B" w:rsidP="0059790B">
            <w:pPr>
              <w:jc w:val="center"/>
              <w:rPr>
                <w:rFonts w:cs="Arial"/>
                <w:b/>
                <w:sz w:val="16"/>
                <w:szCs w:val="16"/>
              </w:rPr>
            </w:pPr>
            <w:r w:rsidRPr="00474424">
              <w:rPr>
                <w:rFonts w:cs="Arial"/>
                <w:color w:val="000000"/>
                <w:sz w:val="16"/>
                <w:szCs w:val="16"/>
              </w:rPr>
              <w:t>35%</w:t>
            </w:r>
          </w:p>
        </w:tc>
        <w:tc>
          <w:tcPr>
            <w:tcW w:w="880" w:type="dxa"/>
          </w:tcPr>
          <w:p w14:paraId="7CB3D7A5" w14:textId="77777777" w:rsidR="0059790B" w:rsidRPr="00474424" w:rsidRDefault="0059790B" w:rsidP="0059790B">
            <w:pPr>
              <w:jc w:val="center"/>
              <w:rPr>
                <w:rFonts w:cs="Arial"/>
                <w:b/>
                <w:sz w:val="16"/>
                <w:szCs w:val="16"/>
              </w:rPr>
            </w:pPr>
            <w:r w:rsidRPr="00474424">
              <w:rPr>
                <w:rFonts w:cs="Arial"/>
                <w:color w:val="000000"/>
                <w:sz w:val="16"/>
                <w:szCs w:val="16"/>
              </w:rPr>
              <w:t>2,951</w:t>
            </w:r>
          </w:p>
        </w:tc>
        <w:tc>
          <w:tcPr>
            <w:tcW w:w="624" w:type="dxa"/>
          </w:tcPr>
          <w:p w14:paraId="1A64DC0A" w14:textId="77777777" w:rsidR="0059790B" w:rsidRPr="00474424" w:rsidRDefault="0059790B" w:rsidP="0059790B">
            <w:pPr>
              <w:jc w:val="center"/>
              <w:rPr>
                <w:rFonts w:cs="Arial"/>
                <w:b/>
                <w:sz w:val="16"/>
                <w:szCs w:val="16"/>
              </w:rPr>
            </w:pPr>
            <w:r w:rsidRPr="00474424">
              <w:rPr>
                <w:rFonts w:cs="Arial"/>
                <w:color w:val="000000"/>
                <w:sz w:val="16"/>
                <w:szCs w:val="16"/>
              </w:rPr>
              <w:t>2,782</w:t>
            </w:r>
          </w:p>
        </w:tc>
        <w:tc>
          <w:tcPr>
            <w:tcW w:w="880" w:type="dxa"/>
          </w:tcPr>
          <w:p w14:paraId="2A5A324B" w14:textId="77777777" w:rsidR="0059790B" w:rsidRPr="00474424" w:rsidRDefault="0059790B" w:rsidP="0059790B">
            <w:pPr>
              <w:jc w:val="center"/>
              <w:rPr>
                <w:rFonts w:cs="Arial"/>
                <w:b/>
                <w:sz w:val="16"/>
                <w:szCs w:val="16"/>
              </w:rPr>
            </w:pPr>
            <w:r w:rsidRPr="00474424">
              <w:rPr>
                <w:rFonts w:cs="Arial"/>
                <w:color w:val="000000"/>
                <w:sz w:val="16"/>
                <w:szCs w:val="16"/>
              </w:rPr>
              <w:t>62%</w:t>
            </w:r>
          </w:p>
        </w:tc>
        <w:tc>
          <w:tcPr>
            <w:tcW w:w="562" w:type="dxa"/>
          </w:tcPr>
          <w:p w14:paraId="614825BC" w14:textId="77777777" w:rsidR="0059790B" w:rsidRPr="00474424" w:rsidRDefault="0059790B" w:rsidP="0059790B">
            <w:pPr>
              <w:jc w:val="center"/>
              <w:rPr>
                <w:rFonts w:cs="Arial"/>
                <w:b/>
                <w:sz w:val="16"/>
                <w:szCs w:val="16"/>
              </w:rPr>
            </w:pPr>
            <w:r w:rsidRPr="00474424">
              <w:rPr>
                <w:rFonts w:cs="Arial"/>
                <w:color w:val="000000"/>
                <w:sz w:val="16"/>
                <w:szCs w:val="16"/>
              </w:rPr>
              <w:t>51%</w:t>
            </w:r>
          </w:p>
        </w:tc>
        <w:tc>
          <w:tcPr>
            <w:tcW w:w="880" w:type="dxa"/>
          </w:tcPr>
          <w:p w14:paraId="27DC89DF" w14:textId="77777777" w:rsidR="0059790B" w:rsidRPr="00474424" w:rsidRDefault="0059790B" w:rsidP="0059790B">
            <w:pPr>
              <w:jc w:val="center"/>
              <w:rPr>
                <w:rFonts w:cs="Arial"/>
                <w:b/>
                <w:sz w:val="16"/>
                <w:szCs w:val="16"/>
              </w:rPr>
            </w:pPr>
            <w:r w:rsidRPr="00474424">
              <w:rPr>
                <w:rFonts w:cs="Arial"/>
                <w:color w:val="000000"/>
                <w:sz w:val="16"/>
                <w:szCs w:val="16"/>
              </w:rPr>
              <w:t>13%</w:t>
            </w:r>
          </w:p>
        </w:tc>
        <w:tc>
          <w:tcPr>
            <w:tcW w:w="562" w:type="dxa"/>
          </w:tcPr>
          <w:p w14:paraId="52A1EB0E" w14:textId="77777777" w:rsidR="0059790B" w:rsidRPr="00474424" w:rsidRDefault="0059790B" w:rsidP="0059790B">
            <w:pPr>
              <w:jc w:val="center"/>
              <w:rPr>
                <w:rFonts w:cs="Arial"/>
                <w:b/>
                <w:sz w:val="16"/>
                <w:szCs w:val="16"/>
              </w:rPr>
            </w:pPr>
            <w:r w:rsidRPr="00474424">
              <w:rPr>
                <w:rFonts w:cs="Arial"/>
                <w:color w:val="000000"/>
                <w:sz w:val="16"/>
                <w:szCs w:val="16"/>
              </w:rPr>
              <w:t>7%</w:t>
            </w:r>
          </w:p>
        </w:tc>
      </w:tr>
      <w:tr w:rsidR="0059790B" w:rsidRPr="00474424" w14:paraId="773A68BD" w14:textId="77777777" w:rsidTr="0059790B">
        <w:trPr>
          <w:trHeight w:hRule="exact" w:val="680"/>
        </w:trPr>
        <w:tc>
          <w:tcPr>
            <w:tcW w:w="1055" w:type="dxa"/>
          </w:tcPr>
          <w:p w14:paraId="68EE39F9" w14:textId="77777777" w:rsidR="0059790B" w:rsidRPr="00A320AC" w:rsidRDefault="0059790B" w:rsidP="0059790B">
            <w:pPr>
              <w:jc w:val="center"/>
              <w:rPr>
                <w:rFonts w:cs="Arial"/>
                <w:b/>
                <w:sz w:val="16"/>
                <w:szCs w:val="16"/>
              </w:rPr>
            </w:pPr>
            <w:r w:rsidRPr="00A320AC">
              <w:rPr>
                <w:rFonts w:cs="Arial"/>
                <w:b/>
                <w:sz w:val="16"/>
                <w:szCs w:val="16"/>
              </w:rPr>
              <w:lastRenderedPageBreak/>
              <w:t>Part-time students</w:t>
            </w:r>
          </w:p>
        </w:tc>
        <w:tc>
          <w:tcPr>
            <w:tcW w:w="880" w:type="dxa"/>
          </w:tcPr>
          <w:p w14:paraId="1632F986" w14:textId="77777777" w:rsidR="0059790B" w:rsidRPr="00474424" w:rsidRDefault="0059790B" w:rsidP="0059790B">
            <w:pPr>
              <w:jc w:val="center"/>
              <w:rPr>
                <w:rFonts w:cs="Arial"/>
                <w:b/>
                <w:sz w:val="16"/>
                <w:szCs w:val="16"/>
              </w:rPr>
            </w:pPr>
            <w:r w:rsidRPr="00474424">
              <w:rPr>
                <w:rFonts w:cs="Arial"/>
                <w:color w:val="000000"/>
                <w:sz w:val="16"/>
                <w:szCs w:val="16"/>
              </w:rPr>
              <w:t>315</w:t>
            </w:r>
          </w:p>
        </w:tc>
        <w:tc>
          <w:tcPr>
            <w:tcW w:w="624" w:type="dxa"/>
          </w:tcPr>
          <w:p w14:paraId="3C9B4B05" w14:textId="77777777" w:rsidR="0059790B" w:rsidRPr="00474424" w:rsidRDefault="0059790B" w:rsidP="0059790B">
            <w:pPr>
              <w:jc w:val="center"/>
              <w:rPr>
                <w:rFonts w:cs="Arial"/>
                <w:b/>
                <w:sz w:val="16"/>
                <w:szCs w:val="16"/>
              </w:rPr>
            </w:pPr>
            <w:r w:rsidRPr="00474424">
              <w:rPr>
                <w:rFonts w:cs="Arial"/>
                <w:color w:val="000000"/>
                <w:sz w:val="16"/>
                <w:szCs w:val="16"/>
              </w:rPr>
              <w:t>253</w:t>
            </w:r>
          </w:p>
        </w:tc>
        <w:tc>
          <w:tcPr>
            <w:tcW w:w="880" w:type="dxa"/>
          </w:tcPr>
          <w:p w14:paraId="2C99C148" w14:textId="77777777" w:rsidR="0059790B" w:rsidRPr="00474424" w:rsidRDefault="0059790B" w:rsidP="0059790B">
            <w:pPr>
              <w:jc w:val="center"/>
              <w:rPr>
                <w:rFonts w:cs="Arial"/>
                <w:b/>
                <w:sz w:val="16"/>
                <w:szCs w:val="16"/>
              </w:rPr>
            </w:pPr>
            <w:r w:rsidRPr="00474424">
              <w:rPr>
                <w:rFonts w:cs="Arial"/>
                <w:color w:val="000000"/>
                <w:sz w:val="16"/>
                <w:szCs w:val="16"/>
              </w:rPr>
              <w:t>69%</w:t>
            </w:r>
          </w:p>
        </w:tc>
        <w:tc>
          <w:tcPr>
            <w:tcW w:w="562" w:type="dxa"/>
          </w:tcPr>
          <w:p w14:paraId="21989F0E" w14:textId="77777777" w:rsidR="0059790B" w:rsidRPr="00474424" w:rsidRDefault="0059790B" w:rsidP="0059790B">
            <w:pPr>
              <w:jc w:val="center"/>
              <w:rPr>
                <w:rFonts w:cs="Arial"/>
                <w:b/>
                <w:sz w:val="16"/>
                <w:szCs w:val="16"/>
              </w:rPr>
            </w:pPr>
            <w:r w:rsidRPr="00474424">
              <w:rPr>
                <w:rFonts w:cs="Arial"/>
                <w:color w:val="000000"/>
                <w:sz w:val="16"/>
                <w:szCs w:val="16"/>
              </w:rPr>
              <w:t>55%</w:t>
            </w:r>
          </w:p>
        </w:tc>
        <w:tc>
          <w:tcPr>
            <w:tcW w:w="880" w:type="dxa"/>
          </w:tcPr>
          <w:p w14:paraId="771AA2E4" w14:textId="77777777" w:rsidR="0059790B" w:rsidRPr="00474424" w:rsidRDefault="0059790B" w:rsidP="0059790B">
            <w:pPr>
              <w:jc w:val="center"/>
              <w:rPr>
                <w:rFonts w:cs="Arial"/>
                <w:b/>
                <w:sz w:val="16"/>
                <w:szCs w:val="16"/>
              </w:rPr>
            </w:pPr>
            <w:r w:rsidRPr="00474424">
              <w:rPr>
                <w:rFonts w:cs="Arial"/>
                <w:color w:val="000000"/>
                <w:sz w:val="16"/>
                <w:szCs w:val="16"/>
              </w:rPr>
              <w:t>15%</w:t>
            </w:r>
          </w:p>
        </w:tc>
        <w:tc>
          <w:tcPr>
            <w:tcW w:w="562" w:type="dxa"/>
          </w:tcPr>
          <w:p w14:paraId="53E7F79E" w14:textId="77777777" w:rsidR="0059790B" w:rsidRPr="00474424" w:rsidRDefault="0059790B" w:rsidP="0059790B">
            <w:pPr>
              <w:jc w:val="center"/>
              <w:rPr>
                <w:rFonts w:cs="Arial"/>
                <w:b/>
                <w:sz w:val="16"/>
                <w:szCs w:val="16"/>
              </w:rPr>
            </w:pPr>
            <w:r w:rsidRPr="00474424">
              <w:rPr>
                <w:rFonts w:cs="Arial"/>
                <w:color w:val="000000"/>
                <w:sz w:val="16"/>
                <w:szCs w:val="16"/>
              </w:rPr>
              <w:t>8%</w:t>
            </w:r>
          </w:p>
        </w:tc>
        <w:tc>
          <w:tcPr>
            <w:tcW w:w="880" w:type="dxa"/>
          </w:tcPr>
          <w:p w14:paraId="05134CBB" w14:textId="77777777" w:rsidR="0059790B" w:rsidRPr="00474424" w:rsidRDefault="0059790B" w:rsidP="0059790B">
            <w:pPr>
              <w:jc w:val="center"/>
              <w:rPr>
                <w:rFonts w:cs="Arial"/>
                <w:b/>
                <w:sz w:val="16"/>
                <w:szCs w:val="16"/>
              </w:rPr>
            </w:pPr>
            <w:r w:rsidRPr="00474424">
              <w:rPr>
                <w:rFonts w:cs="Arial"/>
                <w:color w:val="000000"/>
                <w:sz w:val="16"/>
                <w:szCs w:val="16"/>
              </w:rPr>
              <w:t>108</w:t>
            </w:r>
          </w:p>
        </w:tc>
        <w:tc>
          <w:tcPr>
            <w:tcW w:w="624" w:type="dxa"/>
          </w:tcPr>
          <w:p w14:paraId="50735DBA" w14:textId="77777777" w:rsidR="0059790B" w:rsidRPr="00474424" w:rsidRDefault="0059790B" w:rsidP="0059790B">
            <w:pPr>
              <w:jc w:val="center"/>
              <w:rPr>
                <w:rFonts w:cs="Arial"/>
                <w:b/>
                <w:sz w:val="16"/>
                <w:szCs w:val="16"/>
              </w:rPr>
            </w:pPr>
            <w:r w:rsidRPr="00474424">
              <w:rPr>
                <w:rFonts w:cs="Arial"/>
                <w:color w:val="000000"/>
                <w:sz w:val="16"/>
                <w:szCs w:val="16"/>
              </w:rPr>
              <w:t>95</w:t>
            </w:r>
          </w:p>
        </w:tc>
        <w:tc>
          <w:tcPr>
            <w:tcW w:w="880" w:type="dxa"/>
          </w:tcPr>
          <w:p w14:paraId="74DF8075" w14:textId="77777777" w:rsidR="0059790B" w:rsidRPr="00474424" w:rsidRDefault="0059790B" w:rsidP="0059790B">
            <w:pPr>
              <w:jc w:val="center"/>
              <w:rPr>
                <w:rFonts w:cs="Arial"/>
                <w:b/>
                <w:sz w:val="16"/>
                <w:szCs w:val="16"/>
              </w:rPr>
            </w:pPr>
            <w:r w:rsidRPr="00474424">
              <w:rPr>
                <w:rFonts w:cs="Arial"/>
                <w:color w:val="000000"/>
                <w:sz w:val="16"/>
                <w:szCs w:val="16"/>
              </w:rPr>
              <w:t>69%</w:t>
            </w:r>
          </w:p>
        </w:tc>
        <w:tc>
          <w:tcPr>
            <w:tcW w:w="562" w:type="dxa"/>
          </w:tcPr>
          <w:p w14:paraId="3D500B2E" w14:textId="77777777" w:rsidR="0059790B" w:rsidRPr="00474424" w:rsidRDefault="0059790B" w:rsidP="0059790B">
            <w:pPr>
              <w:jc w:val="center"/>
              <w:rPr>
                <w:rFonts w:cs="Arial"/>
                <w:b/>
                <w:sz w:val="16"/>
                <w:szCs w:val="16"/>
              </w:rPr>
            </w:pPr>
            <w:r w:rsidRPr="00474424">
              <w:rPr>
                <w:rFonts w:cs="Arial"/>
                <w:color w:val="000000"/>
                <w:sz w:val="16"/>
                <w:szCs w:val="16"/>
              </w:rPr>
              <w:t>62%</w:t>
            </w:r>
          </w:p>
        </w:tc>
        <w:tc>
          <w:tcPr>
            <w:tcW w:w="880" w:type="dxa"/>
          </w:tcPr>
          <w:p w14:paraId="42C9B528" w14:textId="77777777" w:rsidR="0059790B" w:rsidRPr="00474424" w:rsidRDefault="0059790B" w:rsidP="0059790B">
            <w:pPr>
              <w:jc w:val="center"/>
              <w:rPr>
                <w:rFonts w:cs="Arial"/>
                <w:b/>
                <w:sz w:val="16"/>
                <w:szCs w:val="16"/>
              </w:rPr>
            </w:pPr>
            <w:r w:rsidRPr="00474424">
              <w:rPr>
                <w:rFonts w:cs="Arial"/>
                <w:color w:val="000000"/>
                <w:sz w:val="16"/>
                <w:szCs w:val="16"/>
              </w:rPr>
              <w:t>16%</w:t>
            </w:r>
          </w:p>
        </w:tc>
        <w:tc>
          <w:tcPr>
            <w:tcW w:w="562" w:type="dxa"/>
          </w:tcPr>
          <w:p w14:paraId="4F37AA61" w14:textId="77777777" w:rsidR="0059790B" w:rsidRPr="00474424" w:rsidRDefault="0059790B" w:rsidP="0059790B">
            <w:pPr>
              <w:jc w:val="center"/>
              <w:rPr>
                <w:rFonts w:cs="Arial"/>
                <w:b/>
                <w:sz w:val="16"/>
                <w:szCs w:val="16"/>
              </w:rPr>
            </w:pPr>
            <w:r w:rsidRPr="00474424">
              <w:rPr>
                <w:rFonts w:cs="Arial"/>
                <w:color w:val="000000"/>
                <w:sz w:val="16"/>
                <w:szCs w:val="16"/>
              </w:rPr>
              <w:t>4%</w:t>
            </w:r>
          </w:p>
        </w:tc>
        <w:tc>
          <w:tcPr>
            <w:tcW w:w="880" w:type="dxa"/>
          </w:tcPr>
          <w:p w14:paraId="259025D4" w14:textId="77777777" w:rsidR="0059790B" w:rsidRPr="00474424" w:rsidRDefault="0059790B" w:rsidP="0059790B">
            <w:pPr>
              <w:jc w:val="center"/>
              <w:rPr>
                <w:rFonts w:cs="Arial"/>
                <w:b/>
                <w:sz w:val="16"/>
                <w:szCs w:val="16"/>
              </w:rPr>
            </w:pPr>
            <w:r w:rsidRPr="00474424">
              <w:rPr>
                <w:rFonts w:cs="Arial"/>
                <w:color w:val="000000"/>
                <w:sz w:val="16"/>
                <w:szCs w:val="16"/>
              </w:rPr>
              <w:t>207</w:t>
            </w:r>
          </w:p>
        </w:tc>
        <w:tc>
          <w:tcPr>
            <w:tcW w:w="624" w:type="dxa"/>
          </w:tcPr>
          <w:p w14:paraId="260800A5" w14:textId="77777777" w:rsidR="0059790B" w:rsidRPr="00474424" w:rsidRDefault="0059790B" w:rsidP="0059790B">
            <w:pPr>
              <w:jc w:val="center"/>
              <w:rPr>
                <w:rFonts w:cs="Arial"/>
                <w:b/>
                <w:sz w:val="16"/>
                <w:szCs w:val="16"/>
              </w:rPr>
            </w:pPr>
            <w:r w:rsidRPr="00474424">
              <w:rPr>
                <w:rFonts w:cs="Arial"/>
                <w:color w:val="000000"/>
                <w:sz w:val="16"/>
                <w:szCs w:val="16"/>
              </w:rPr>
              <w:t>158</w:t>
            </w:r>
          </w:p>
        </w:tc>
        <w:tc>
          <w:tcPr>
            <w:tcW w:w="880" w:type="dxa"/>
          </w:tcPr>
          <w:p w14:paraId="1C0D907C" w14:textId="77777777" w:rsidR="0059790B" w:rsidRPr="00474424" w:rsidRDefault="0059790B" w:rsidP="0059790B">
            <w:pPr>
              <w:jc w:val="center"/>
              <w:rPr>
                <w:rFonts w:cs="Arial"/>
                <w:b/>
                <w:sz w:val="16"/>
                <w:szCs w:val="16"/>
              </w:rPr>
            </w:pPr>
            <w:r w:rsidRPr="00474424">
              <w:rPr>
                <w:rFonts w:cs="Arial"/>
                <w:color w:val="000000"/>
                <w:sz w:val="16"/>
                <w:szCs w:val="16"/>
              </w:rPr>
              <w:t>69%</w:t>
            </w:r>
          </w:p>
        </w:tc>
        <w:tc>
          <w:tcPr>
            <w:tcW w:w="562" w:type="dxa"/>
          </w:tcPr>
          <w:p w14:paraId="4F6CB705" w14:textId="77777777" w:rsidR="0059790B" w:rsidRPr="00474424" w:rsidRDefault="0059790B" w:rsidP="0059790B">
            <w:pPr>
              <w:jc w:val="center"/>
              <w:rPr>
                <w:rFonts w:cs="Arial"/>
                <w:b/>
                <w:sz w:val="16"/>
                <w:szCs w:val="16"/>
              </w:rPr>
            </w:pPr>
            <w:r w:rsidRPr="00474424">
              <w:rPr>
                <w:rFonts w:cs="Arial"/>
                <w:color w:val="000000"/>
                <w:sz w:val="16"/>
                <w:szCs w:val="16"/>
              </w:rPr>
              <w:t>51%</w:t>
            </w:r>
          </w:p>
        </w:tc>
        <w:tc>
          <w:tcPr>
            <w:tcW w:w="880" w:type="dxa"/>
          </w:tcPr>
          <w:p w14:paraId="18B609B8" w14:textId="77777777" w:rsidR="0059790B" w:rsidRPr="00474424" w:rsidRDefault="0059790B" w:rsidP="0059790B">
            <w:pPr>
              <w:jc w:val="center"/>
              <w:rPr>
                <w:rFonts w:cs="Arial"/>
                <w:b/>
                <w:sz w:val="16"/>
                <w:szCs w:val="16"/>
              </w:rPr>
            </w:pPr>
            <w:r w:rsidRPr="00474424">
              <w:rPr>
                <w:rFonts w:cs="Arial"/>
                <w:color w:val="000000"/>
                <w:sz w:val="16"/>
                <w:szCs w:val="16"/>
              </w:rPr>
              <w:t>14%</w:t>
            </w:r>
          </w:p>
        </w:tc>
        <w:tc>
          <w:tcPr>
            <w:tcW w:w="562" w:type="dxa"/>
          </w:tcPr>
          <w:p w14:paraId="1A9F9596" w14:textId="77777777" w:rsidR="0059790B" w:rsidRPr="00474424" w:rsidRDefault="0059790B" w:rsidP="0059790B">
            <w:pPr>
              <w:jc w:val="center"/>
              <w:rPr>
                <w:rFonts w:cs="Arial"/>
                <w:b/>
                <w:sz w:val="16"/>
                <w:szCs w:val="16"/>
              </w:rPr>
            </w:pPr>
            <w:r w:rsidRPr="00474424">
              <w:rPr>
                <w:rFonts w:cs="Arial"/>
                <w:color w:val="000000"/>
                <w:sz w:val="16"/>
                <w:szCs w:val="16"/>
              </w:rPr>
              <w:t>10%</w:t>
            </w:r>
          </w:p>
        </w:tc>
      </w:tr>
      <w:tr w:rsidR="0059790B" w:rsidRPr="00474424" w14:paraId="3E2304A5" w14:textId="77777777" w:rsidTr="0059790B">
        <w:trPr>
          <w:trHeight w:hRule="exact" w:val="680"/>
        </w:trPr>
        <w:tc>
          <w:tcPr>
            <w:tcW w:w="1055" w:type="dxa"/>
          </w:tcPr>
          <w:p w14:paraId="16D12548" w14:textId="77777777" w:rsidR="0059790B" w:rsidRPr="00A320AC" w:rsidRDefault="0059790B" w:rsidP="0059790B">
            <w:pPr>
              <w:jc w:val="center"/>
              <w:rPr>
                <w:rFonts w:cs="Arial"/>
                <w:b/>
                <w:sz w:val="16"/>
                <w:szCs w:val="16"/>
              </w:rPr>
            </w:pPr>
            <w:r w:rsidRPr="00A320AC">
              <w:rPr>
                <w:rFonts w:cs="Arial"/>
                <w:b/>
                <w:sz w:val="16"/>
                <w:szCs w:val="16"/>
              </w:rPr>
              <w:t>Splits for part-time students</w:t>
            </w:r>
          </w:p>
        </w:tc>
        <w:tc>
          <w:tcPr>
            <w:tcW w:w="880" w:type="dxa"/>
          </w:tcPr>
          <w:p w14:paraId="708FF021" w14:textId="77777777" w:rsidR="0059790B" w:rsidRPr="00474424" w:rsidRDefault="0059790B" w:rsidP="0059790B">
            <w:pPr>
              <w:jc w:val="center"/>
              <w:rPr>
                <w:rFonts w:cs="Arial"/>
                <w:b/>
                <w:sz w:val="16"/>
                <w:szCs w:val="16"/>
              </w:rPr>
            </w:pPr>
            <w:r w:rsidRPr="00474424">
              <w:rPr>
                <w:rFonts w:cs="Arial"/>
                <w:color w:val="000000"/>
                <w:sz w:val="16"/>
                <w:szCs w:val="16"/>
              </w:rPr>
              <w:t>4,095</w:t>
            </w:r>
          </w:p>
        </w:tc>
        <w:tc>
          <w:tcPr>
            <w:tcW w:w="624" w:type="dxa"/>
          </w:tcPr>
          <w:p w14:paraId="5CFC0BEF" w14:textId="77777777" w:rsidR="0059790B" w:rsidRPr="00474424" w:rsidRDefault="0059790B" w:rsidP="0059790B">
            <w:pPr>
              <w:jc w:val="center"/>
              <w:rPr>
                <w:rFonts w:cs="Arial"/>
                <w:b/>
                <w:sz w:val="16"/>
                <w:szCs w:val="16"/>
              </w:rPr>
            </w:pPr>
            <w:r w:rsidRPr="00474424">
              <w:rPr>
                <w:rFonts w:cs="Arial"/>
                <w:color w:val="000000"/>
                <w:sz w:val="16"/>
                <w:szCs w:val="16"/>
              </w:rPr>
              <w:t>3,289</w:t>
            </w:r>
          </w:p>
        </w:tc>
        <w:tc>
          <w:tcPr>
            <w:tcW w:w="880" w:type="dxa"/>
          </w:tcPr>
          <w:p w14:paraId="4C62CA08" w14:textId="77777777" w:rsidR="0059790B" w:rsidRPr="00474424" w:rsidRDefault="0059790B" w:rsidP="0059790B">
            <w:pPr>
              <w:jc w:val="center"/>
              <w:rPr>
                <w:rFonts w:cs="Arial"/>
                <w:b/>
                <w:sz w:val="16"/>
                <w:szCs w:val="16"/>
              </w:rPr>
            </w:pPr>
            <w:r w:rsidRPr="00474424">
              <w:rPr>
                <w:rFonts w:cs="Arial"/>
                <w:color w:val="000000"/>
                <w:sz w:val="16"/>
                <w:szCs w:val="16"/>
              </w:rPr>
              <w:t>43%</w:t>
            </w:r>
          </w:p>
        </w:tc>
        <w:tc>
          <w:tcPr>
            <w:tcW w:w="562" w:type="dxa"/>
          </w:tcPr>
          <w:p w14:paraId="04ED7891" w14:textId="77777777" w:rsidR="0059790B" w:rsidRPr="00474424" w:rsidRDefault="0059790B" w:rsidP="0059790B">
            <w:pPr>
              <w:jc w:val="center"/>
              <w:rPr>
                <w:rFonts w:cs="Arial"/>
                <w:b/>
                <w:sz w:val="16"/>
                <w:szCs w:val="16"/>
              </w:rPr>
            </w:pPr>
            <w:r w:rsidRPr="00474424">
              <w:rPr>
                <w:rFonts w:cs="Arial"/>
                <w:color w:val="000000"/>
                <w:sz w:val="16"/>
                <w:szCs w:val="16"/>
              </w:rPr>
              <w:t>30%</w:t>
            </w:r>
          </w:p>
        </w:tc>
        <w:tc>
          <w:tcPr>
            <w:tcW w:w="880" w:type="dxa"/>
          </w:tcPr>
          <w:p w14:paraId="2536F61E" w14:textId="77777777" w:rsidR="0059790B" w:rsidRPr="00474424" w:rsidRDefault="0059790B" w:rsidP="0059790B">
            <w:pPr>
              <w:jc w:val="center"/>
              <w:rPr>
                <w:rFonts w:cs="Arial"/>
                <w:b/>
                <w:sz w:val="16"/>
                <w:szCs w:val="16"/>
              </w:rPr>
            </w:pPr>
            <w:r w:rsidRPr="00474424">
              <w:rPr>
                <w:rFonts w:cs="Arial"/>
                <w:color w:val="000000"/>
                <w:sz w:val="16"/>
                <w:szCs w:val="16"/>
              </w:rPr>
              <w:t>7%</w:t>
            </w:r>
          </w:p>
        </w:tc>
        <w:tc>
          <w:tcPr>
            <w:tcW w:w="562" w:type="dxa"/>
          </w:tcPr>
          <w:p w14:paraId="488CB384" w14:textId="77777777" w:rsidR="0059790B" w:rsidRPr="00474424" w:rsidRDefault="0059790B" w:rsidP="0059790B">
            <w:pPr>
              <w:jc w:val="center"/>
              <w:rPr>
                <w:rFonts w:cs="Arial"/>
                <w:b/>
                <w:sz w:val="16"/>
                <w:szCs w:val="16"/>
              </w:rPr>
            </w:pPr>
            <w:r w:rsidRPr="00474424">
              <w:rPr>
                <w:rFonts w:cs="Arial"/>
                <w:color w:val="000000"/>
                <w:sz w:val="16"/>
                <w:szCs w:val="16"/>
              </w:rPr>
              <w:t>4%</w:t>
            </w:r>
          </w:p>
        </w:tc>
        <w:tc>
          <w:tcPr>
            <w:tcW w:w="880" w:type="dxa"/>
          </w:tcPr>
          <w:p w14:paraId="58CFA7E4" w14:textId="77777777" w:rsidR="0059790B" w:rsidRPr="00474424" w:rsidRDefault="0059790B" w:rsidP="0059790B">
            <w:pPr>
              <w:jc w:val="center"/>
              <w:rPr>
                <w:rFonts w:cs="Arial"/>
                <w:b/>
                <w:sz w:val="16"/>
                <w:szCs w:val="16"/>
              </w:rPr>
            </w:pPr>
            <w:r w:rsidRPr="00474424">
              <w:rPr>
                <w:rFonts w:cs="Arial"/>
                <w:color w:val="000000"/>
                <w:sz w:val="16"/>
                <w:szCs w:val="16"/>
              </w:rPr>
              <w:t>1,404</w:t>
            </w:r>
          </w:p>
        </w:tc>
        <w:tc>
          <w:tcPr>
            <w:tcW w:w="624" w:type="dxa"/>
          </w:tcPr>
          <w:p w14:paraId="3168C6F9" w14:textId="77777777" w:rsidR="0059790B" w:rsidRPr="00474424" w:rsidRDefault="0059790B" w:rsidP="0059790B">
            <w:pPr>
              <w:jc w:val="center"/>
              <w:rPr>
                <w:rFonts w:cs="Arial"/>
                <w:b/>
                <w:sz w:val="16"/>
                <w:szCs w:val="16"/>
              </w:rPr>
            </w:pPr>
            <w:r w:rsidRPr="00474424">
              <w:rPr>
                <w:rFonts w:cs="Arial"/>
                <w:color w:val="000000"/>
                <w:sz w:val="16"/>
                <w:szCs w:val="16"/>
              </w:rPr>
              <w:t>1,235</w:t>
            </w:r>
          </w:p>
        </w:tc>
        <w:tc>
          <w:tcPr>
            <w:tcW w:w="880" w:type="dxa"/>
          </w:tcPr>
          <w:p w14:paraId="1BA5FC93" w14:textId="77777777" w:rsidR="0059790B" w:rsidRPr="00474424" w:rsidRDefault="0059790B" w:rsidP="0059790B">
            <w:pPr>
              <w:jc w:val="center"/>
              <w:rPr>
                <w:rFonts w:cs="Arial"/>
                <w:b/>
                <w:sz w:val="16"/>
                <w:szCs w:val="16"/>
              </w:rPr>
            </w:pPr>
            <w:r w:rsidRPr="00474424">
              <w:rPr>
                <w:rFonts w:cs="Arial"/>
                <w:color w:val="000000"/>
                <w:sz w:val="16"/>
                <w:szCs w:val="16"/>
              </w:rPr>
              <w:t>50%</w:t>
            </w:r>
          </w:p>
        </w:tc>
        <w:tc>
          <w:tcPr>
            <w:tcW w:w="562" w:type="dxa"/>
          </w:tcPr>
          <w:p w14:paraId="49D75D22" w14:textId="77777777" w:rsidR="0059790B" w:rsidRPr="00474424" w:rsidRDefault="0059790B" w:rsidP="0059790B">
            <w:pPr>
              <w:jc w:val="center"/>
              <w:rPr>
                <w:rFonts w:cs="Arial"/>
                <w:b/>
                <w:sz w:val="16"/>
                <w:szCs w:val="16"/>
              </w:rPr>
            </w:pPr>
            <w:r w:rsidRPr="00474424">
              <w:rPr>
                <w:rFonts w:cs="Arial"/>
                <w:color w:val="000000"/>
                <w:sz w:val="16"/>
                <w:szCs w:val="16"/>
              </w:rPr>
              <w:t>40%</w:t>
            </w:r>
          </w:p>
        </w:tc>
        <w:tc>
          <w:tcPr>
            <w:tcW w:w="880" w:type="dxa"/>
          </w:tcPr>
          <w:p w14:paraId="661CB100" w14:textId="77777777" w:rsidR="0059790B" w:rsidRPr="00474424" w:rsidRDefault="0059790B" w:rsidP="0059790B">
            <w:pPr>
              <w:jc w:val="center"/>
              <w:rPr>
                <w:rFonts w:cs="Arial"/>
                <w:b/>
                <w:sz w:val="16"/>
                <w:szCs w:val="16"/>
              </w:rPr>
            </w:pPr>
            <w:r w:rsidRPr="00474424">
              <w:rPr>
                <w:rFonts w:cs="Arial"/>
                <w:color w:val="000000"/>
                <w:sz w:val="16"/>
                <w:szCs w:val="16"/>
              </w:rPr>
              <w:t>9%</w:t>
            </w:r>
          </w:p>
        </w:tc>
        <w:tc>
          <w:tcPr>
            <w:tcW w:w="562" w:type="dxa"/>
          </w:tcPr>
          <w:p w14:paraId="75BF2A0F" w14:textId="77777777" w:rsidR="0059790B" w:rsidRPr="00474424" w:rsidRDefault="0059790B" w:rsidP="0059790B">
            <w:pPr>
              <w:jc w:val="center"/>
              <w:rPr>
                <w:rFonts w:cs="Arial"/>
                <w:b/>
                <w:sz w:val="16"/>
                <w:szCs w:val="16"/>
              </w:rPr>
            </w:pPr>
            <w:r w:rsidRPr="00474424">
              <w:rPr>
                <w:rFonts w:cs="Arial"/>
                <w:color w:val="000000"/>
                <w:sz w:val="16"/>
                <w:szCs w:val="16"/>
              </w:rPr>
              <w:t>3%</w:t>
            </w:r>
          </w:p>
        </w:tc>
        <w:tc>
          <w:tcPr>
            <w:tcW w:w="880" w:type="dxa"/>
          </w:tcPr>
          <w:p w14:paraId="41BD7237" w14:textId="77777777" w:rsidR="0059790B" w:rsidRPr="00474424" w:rsidRDefault="0059790B" w:rsidP="0059790B">
            <w:pPr>
              <w:jc w:val="center"/>
              <w:rPr>
                <w:rFonts w:cs="Arial"/>
                <w:b/>
                <w:sz w:val="16"/>
                <w:szCs w:val="16"/>
              </w:rPr>
            </w:pPr>
            <w:r w:rsidRPr="00474424">
              <w:rPr>
                <w:rFonts w:cs="Arial"/>
                <w:color w:val="000000"/>
                <w:sz w:val="16"/>
                <w:szCs w:val="16"/>
              </w:rPr>
              <w:t>2,691</w:t>
            </w:r>
          </w:p>
        </w:tc>
        <w:tc>
          <w:tcPr>
            <w:tcW w:w="624" w:type="dxa"/>
          </w:tcPr>
          <w:p w14:paraId="1BD3900F" w14:textId="77777777" w:rsidR="0059790B" w:rsidRPr="00474424" w:rsidRDefault="0059790B" w:rsidP="0059790B">
            <w:pPr>
              <w:jc w:val="center"/>
              <w:rPr>
                <w:rFonts w:cs="Arial"/>
                <w:b/>
                <w:sz w:val="16"/>
                <w:szCs w:val="16"/>
              </w:rPr>
            </w:pPr>
            <w:r w:rsidRPr="00474424">
              <w:rPr>
                <w:rFonts w:cs="Arial"/>
                <w:color w:val="000000"/>
                <w:sz w:val="16"/>
                <w:szCs w:val="16"/>
              </w:rPr>
              <w:t>2,054</w:t>
            </w:r>
          </w:p>
        </w:tc>
        <w:tc>
          <w:tcPr>
            <w:tcW w:w="880" w:type="dxa"/>
          </w:tcPr>
          <w:p w14:paraId="1E4A4E64" w14:textId="77777777" w:rsidR="0059790B" w:rsidRPr="00474424" w:rsidRDefault="0059790B" w:rsidP="0059790B">
            <w:pPr>
              <w:jc w:val="center"/>
              <w:rPr>
                <w:rFonts w:cs="Arial"/>
                <w:b/>
                <w:sz w:val="16"/>
                <w:szCs w:val="16"/>
              </w:rPr>
            </w:pPr>
            <w:r w:rsidRPr="00474424">
              <w:rPr>
                <w:rFonts w:cs="Arial"/>
                <w:color w:val="000000"/>
                <w:sz w:val="16"/>
                <w:szCs w:val="16"/>
              </w:rPr>
              <w:t>39%</w:t>
            </w:r>
          </w:p>
        </w:tc>
        <w:tc>
          <w:tcPr>
            <w:tcW w:w="562" w:type="dxa"/>
          </w:tcPr>
          <w:p w14:paraId="23AE1BFC" w14:textId="77777777" w:rsidR="0059790B" w:rsidRPr="00474424" w:rsidRDefault="0059790B" w:rsidP="0059790B">
            <w:pPr>
              <w:jc w:val="center"/>
              <w:rPr>
                <w:rFonts w:cs="Arial"/>
                <w:b/>
                <w:sz w:val="16"/>
                <w:szCs w:val="16"/>
              </w:rPr>
            </w:pPr>
            <w:r w:rsidRPr="00474424">
              <w:rPr>
                <w:rFonts w:cs="Arial"/>
                <w:color w:val="000000"/>
                <w:sz w:val="16"/>
                <w:szCs w:val="16"/>
              </w:rPr>
              <w:t>24%</w:t>
            </w:r>
          </w:p>
        </w:tc>
        <w:tc>
          <w:tcPr>
            <w:tcW w:w="880" w:type="dxa"/>
          </w:tcPr>
          <w:p w14:paraId="69745B3A" w14:textId="77777777" w:rsidR="0059790B" w:rsidRPr="00474424" w:rsidRDefault="0059790B" w:rsidP="0059790B">
            <w:pPr>
              <w:jc w:val="center"/>
              <w:rPr>
                <w:rFonts w:cs="Arial"/>
                <w:b/>
                <w:sz w:val="16"/>
                <w:szCs w:val="16"/>
              </w:rPr>
            </w:pPr>
            <w:r w:rsidRPr="00474424">
              <w:rPr>
                <w:rFonts w:cs="Arial"/>
                <w:color w:val="000000"/>
                <w:sz w:val="16"/>
                <w:szCs w:val="16"/>
              </w:rPr>
              <w:t>7%</w:t>
            </w:r>
          </w:p>
        </w:tc>
        <w:tc>
          <w:tcPr>
            <w:tcW w:w="562" w:type="dxa"/>
          </w:tcPr>
          <w:p w14:paraId="2FDCA141" w14:textId="77777777" w:rsidR="0059790B" w:rsidRPr="00474424" w:rsidRDefault="0059790B" w:rsidP="0059790B">
            <w:pPr>
              <w:jc w:val="center"/>
              <w:rPr>
                <w:rFonts w:cs="Arial"/>
                <w:b/>
                <w:sz w:val="16"/>
                <w:szCs w:val="16"/>
              </w:rPr>
            </w:pPr>
            <w:r w:rsidRPr="00474424">
              <w:rPr>
                <w:rFonts w:cs="Arial"/>
                <w:color w:val="000000"/>
                <w:sz w:val="16"/>
                <w:szCs w:val="16"/>
              </w:rPr>
              <w:t>4%</w:t>
            </w:r>
          </w:p>
        </w:tc>
      </w:tr>
      <w:tr w:rsidR="0059790B" w:rsidRPr="00C62592" w14:paraId="27FBF906" w14:textId="77777777" w:rsidTr="0059790B">
        <w:trPr>
          <w:trHeight w:hRule="exact" w:val="680"/>
        </w:trPr>
        <w:tc>
          <w:tcPr>
            <w:tcW w:w="14219" w:type="dxa"/>
            <w:gridSpan w:val="19"/>
          </w:tcPr>
          <w:p w14:paraId="6075F319" w14:textId="77777777" w:rsidR="0059790B" w:rsidRPr="00A320AC" w:rsidRDefault="0059790B" w:rsidP="0059790B">
            <w:pPr>
              <w:jc w:val="center"/>
              <w:rPr>
                <w:rFonts w:cs="Arial"/>
                <w:b/>
                <w:sz w:val="16"/>
                <w:szCs w:val="16"/>
              </w:rPr>
            </w:pPr>
            <w:r w:rsidRPr="00A320AC">
              <w:rPr>
                <w:rFonts w:cs="Arial"/>
                <w:b/>
                <w:sz w:val="16"/>
                <w:szCs w:val="16"/>
              </w:rPr>
              <w:t>Academic support</w:t>
            </w:r>
          </w:p>
        </w:tc>
      </w:tr>
      <w:tr w:rsidR="0059790B" w:rsidRPr="00474424" w14:paraId="02C5B4E0" w14:textId="77777777" w:rsidTr="0059790B">
        <w:trPr>
          <w:trHeight w:hRule="exact" w:val="680"/>
        </w:trPr>
        <w:tc>
          <w:tcPr>
            <w:tcW w:w="1055" w:type="dxa"/>
          </w:tcPr>
          <w:p w14:paraId="088D2716" w14:textId="77777777" w:rsidR="0059790B" w:rsidRPr="00A320AC" w:rsidRDefault="0059790B" w:rsidP="0059790B">
            <w:pPr>
              <w:jc w:val="center"/>
              <w:rPr>
                <w:rFonts w:cs="Arial"/>
                <w:b/>
                <w:sz w:val="16"/>
                <w:szCs w:val="16"/>
              </w:rPr>
            </w:pPr>
            <w:r w:rsidRPr="00A320AC">
              <w:rPr>
                <w:rFonts w:cs="Arial"/>
                <w:b/>
                <w:sz w:val="16"/>
                <w:szCs w:val="16"/>
              </w:rPr>
              <w:t>Full-time students</w:t>
            </w:r>
          </w:p>
        </w:tc>
        <w:tc>
          <w:tcPr>
            <w:tcW w:w="880" w:type="dxa"/>
          </w:tcPr>
          <w:p w14:paraId="2A212A8B" w14:textId="77777777" w:rsidR="0059790B" w:rsidRPr="00474424" w:rsidRDefault="0059790B" w:rsidP="0059790B">
            <w:pPr>
              <w:jc w:val="center"/>
              <w:rPr>
                <w:rFonts w:cs="Arial"/>
                <w:b/>
                <w:sz w:val="16"/>
                <w:szCs w:val="16"/>
              </w:rPr>
            </w:pPr>
            <w:r w:rsidRPr="00474424">
              <w:rPr>
                <w:rFonts w:cs="Arial"/>
                <w:color w:val="000000"/>
                <w:sz w:val="16"/>
                <w:szCs w:val="16"/>
              </w:rPr>
              <w:t>352</w:t>
            </w:r>
          </w:p>
        </w:tc>
        <w:tc>
          <w:tcPr>
            <w:tcW w:w="624" w:type="dxa"/>
          </w:tcPr>
          <w:p w14:paraId="5569EF23" w14:textId="77777777" w:rsidR="0059790B" w:rsidRPr="00474424" w:rsidRDefault="0059790B" w:rsidP="0059790B">
            <w:pPr>
              <w:jc w:val="center"/>
              <w:rPr>
                <w:rFonts w:cs="Arial"/>
                <w:b/>
                <w:sz w:val="16"/>
                <w:szCs w:val="16"/>
              </w:rPr>
            </w:pPr>
            <w:r w:rsidRPr="00474424">
              <w:rPr>
                <w:rFonts w:cs="Arial"/>
                <w:color w:val="000000"/>
                <w:sz w:val="16"/>
                <w:szCs w:val="16"/>
              </w:rPr>
              <w:t>336</w:t>
            </w:r>
          </w:p>
        </w:tc>
        <w:tc>
          <w:tcPr>
            <w:tcW w:w="880" w:type="dxa"/>
          </w:tcPr>
          <w:p w14:paraId="5C07E6FB" w14:textId="77777777" w:rsidR="0059790B" w:rsidRPr="00474424" w:rsidRDefault="0059790B" w:rsidP="0059790B">
            <w:pPr>
              <w:jc w:val="center"/>
              <w:rPr>
                <w:rFonts w:cs="Arial"/>
                <w:b/>
                <w:sz w:val="16"/>
                <w:szCs w:val="16"/>
              </w:rPr>
            </w:pPr>
            <w:r w:rsidRPr="00474424">
              <w:rPr>
                <w:rFonts w:cs="Arial"/>
                <w:color w:val="000000"/>
                <w:sz w:val="16"/>
                <w:szCs w:val="16"/>
              </w:rPr>
              <w:t>91%</w:t>
            </w:r>
          </w:p>
        </w:tc>
        <w:tc>
          <w:tcPr>
            <w:tcW w:w="562" w:type="dxa"/>
          </w:tcPr>
          <w:p w14:paraId="36352026" w14:textId="77777777" w:rsidR="0059790B" w:rsidRPr="00474424" w:rsidRDefault="0059790B" w:rsidP="0059790B">
            <w:pPr>
              <w:jc w:val="center"/>
              <w:rPr>
                <w:rFonts w:cs="Arial"/>
                <w:b/>
                <w:sz w:val="16"/>
                <w:szCs w:val="16"/>
              </w:rPr>
            </w:pPr>
            <w:r w:rsidRPr="00474424">
              <w:rPr>
                <w:rFonts w:cs="Arial"/>
                <w:color w:val="000000"/>
                <w:sz w:val="16"/>
                <w:szCs w:val="16"/>
              </w:rPr>
              <w:t>88%</w:t>
            </w:r>
          </w:p>
        </w:tc>
        <w:tc>
          <w:tcPr>
            <w:tcW w:w="880" w:type="dxa"/>
          </w:tcPr>
          <w:p w14:paraId="2F1F1A09" w14:textId="77777777" w:rsidR="0059790B" w:rsidRPr="00474424" w:rsidRDefault="0059790B" w:rsidP="0059790B">
            <w:pPr>
              <w:jc w:val="center"/>
              <w:rPr>
                <w:rFonts w:cs="Arial"/>
                <w:b/>
                <w:sz w:val="16"/>
                <w:szCs w:val="16"/>
              </w:rPr>
            </w:pPr>
            <w:r w:rsidRPr="00474424">
              <w:rPr>
                <w:rFonts w:cs="Arial"/>
                <w:color w:val="000000"/>
                <w:sz w:val="16"/>
                <w:szCs w:val="16"/>
              </w:rPr>
              <w:t>32%</w:t>
            </w:r>
          </w:p>
        </w:tc>
        <w:tc>
          <w:tcPr>
            <w:tcW w:w="562" w:type="dxa"/>
          </w:tcPr>
          <w:p w14:paraId="5736A901" w14:textId="77777777" w:rsidR="0059790B" w:rsidRPr="00474424" w:rsidRDefault="0059790B" w:rsidP="0059790B">
            <w:pPr>
              <w:jc w:val="center"/>
              <w:rPr>
                <w:rFonts w:cs="Arial"/>
                <w:b/>
                <w:sz w:val="16"/>
                <w:szCs w:val="16"/>
              </w:rPr>
            </w:pPr>
            <w:r w:rsidRPr="00474424">
              <w:rPr>
                <w:rFonts w:cs="Arial"/>
                <w:color w:val="000000"/>
                <w:sz w:val="16"/>
                <w:szCs w:val="16"/>
              </w:rPr>
              <w:t>27%</w:t>
            </w:r>
          </w:p>
        </w:tc>
        <w:tc>
          <w:tcPr>
            <w:tcW w:w="880" w:type="dxa"/>
          </w:tcPr>
          <w:p w14:paraId="66FE6E1E" w14:textId="77777777" w:rsidR="0059790B" w:rsidRPr="00474424" w:rsidRDefault="0059790B" w:rsidP="0059790B">
            <w:pPr>
              <w:jc w:val="center"/>
              <w:rPr>
                <w:rFonts w:cs="Arial"/>
                <w:b/>
                <w:sz w:val="16"/>
                <w:szCs w:val="16"/>
              </w:rPr>
            </w:pPr>
            <w:r w:rsidRPr="00474424">
              <w:rPr>
                <w:rFonts w:cs="Arial"/>
                <w:color w:val="000000"/>
                <w:sz w:val="16"/>
                <w:szCs w:val="16"/>
              </w:rPr>
              <w:t>125</w:t>
            </w:r>
          </w:p>
        </w:tc>
        <w:tc>
          <w:tcPr>
            <w:tcW w:w="624" w:type="dxa"/>
          </w:tcPr>
          <w:p w14:paraId="49D35E2C" w14:textId="77777777" w:rsidR="0059790B" w:rsidRPr="00474424" w:rsidRDefault="0059790B" w:rsidP="0059790B">
            <w:pPr>
              <w:jc w:val="center"/>
              <w:rPr>
                <w:rFonts w:cs="Arial"/>
                <w:b/>
                <w:sz w:val="16"/>
                <w:szCs w:val="16"/>
              </w:rPr>
            </w:pPr>
            <w:r w:rsidRPr="00474424">
              <w:rPr>
                <w:rFonts w:cs="Arial"/>
                <w:color w:val="000000"/>
                <w:sz w:val="16"/>
                <w:szCs w:val="16"/>
              </w:rPr>
              <w:t>122</w:t>
            </w:r>
          </w:p>
        </w:tc>
        <w:tc>
          <w:tcPr>
            <w:tcW w:w="880" w:type="dxa"/>
          </w:tcPr>
          <w:p w14:paraId="4CD09FB1" w14:textId="77777777" w:rsidR="0059790B" w:rsidRPr="00474424" w:rsidRDefault="0059790B" w:rsidP="0059790B">
            <w:pPr>
              <w:jc w:val="center"/>
              <w:rPr>
                <w:rFonts w:cs="Arial"/>
                <w:b/>
                <w:sz w:val="16"/>
                <w:szCs w:val="16"/>
              </w:rPr>
            </w:pPr>
            <w:r w:rsidRPr="00474424">
              <w:rPr>
                <w:rFonts w:cs="Arial"/>
                <w:color w:val="000000"/>
                <w:sz w:val="16"/>
                <w:szCs w:val="16"/>
              </w:rPr>
              <w:t>98%</w:t>
            </w:r>
          </w:p>
        </w:tc>
        <w:tc>
          <w:tcPr>
            <w:tcW w:w="562" w:type="dxa"/>
          </w:tcPr>
          <w:p w14:paraId="7A8B1DBE" w14:textId="77777777" w:rsidR="0059790B" w:rsidRPr="00474424" w:rsidRDefault="0059790B" w:rsidP="0059790B">
            <w:pPr>
              <w:jc w:val="center"/>
              <w:rPr>
                <w:rFonts w:cs="Arial"/>
                <w:b/>
                <w:sz w:val="16"/>
                <w:szCs w:val="16"/>
              </w:rPr>
            </w:pPr>
            <w:r w:rsidRPr="00474424">
              <w:rPr>
                <w:rFonts w:cs="Arial"/>
                <w:color w:val="000000"/>
                <w:sz w:val="16"/>
                <w:szCs w:val="16"/>
              </w:rPr>
              <w:t>99%</w:t>
            </w:r>
          </w:p>
        </w:tc>
        <w:tc>
          <w:tcPr>
            <w:tcW w:w="880" w:type="dxa"/>
          </w:tcPr>
          <w:p w14:paraId="4600F710" w14:textId="77777777" w:rsidR="0059790B" w:rsidRPr="00474424" w:rsidRDefault="0059790B" w:rsidP="0059790B">
            <w:pPr>
              <w:jc w:val="center"/>
              <w:rPr>
                <w:rFonts w:cs="Arial"/>
                <w:b/>
                <w:sz w:val="16"/>
                <w:szCs w:val="16"/>
              </w:rPr>
            </w:pPr>
            <w:r w:rsidRPr="00474424">
              <w:rPr>
                <w:rFonts w:cs="Arial"/>
                <w:color w:val="000000"/>
                <w:sz w:val="16"/>
                <w:szCs w:val="16"/>
              </w:rPr>
              <w:t>46%</w:t>
            </w:r>
          </w:p>
        </w:tc>
        <w:tc>
          <w:tcPr>
            <w:tcW w:w="562" w:type="dxa"/>
          </w:tcPr>
          <w:p w14:paraId="2E12F02A" w14:textId="77777777" w:rsidR="0059790B" w:rsidRPr="00474424" w:rsidRDefault="0059790B" w:rsidP="0059790B">
            <w:pPr>
              <w:jc w:val="center"/>
              <w:rPr>
                <w:rFonts w:cs="Arial"/>
                <w:b/>
                <w:sz w:val="16"/>
                <w:szCs w:val="16"/>
              </w:rPr>
            </w:pPr>
            <w:r w:rsidRPr="00474424">
              <w:rPr>
                <w:rFonts w:cs="Arial"/>
                <w:color w:val="000000"/>
                <w:sz w:val="16"/>
                <w:szCs w:val="16"/>
              </w:rPr>
              <w:t>43%</w:t>
            </w:r>
          </w:p>
        </w:tc>
        <w:tc>
          <w:tcPr>
            <w:tcW w:w="880" w:type="dxa"/>
          </w:tcPr>
          <w:p w14:paraId="27943C72" w14:textId="77777777" w:rsidR="0059790B" w:rsidRPr="00474424" w:rsidRDefault="0059790B" w:rsidP="0059790B">
            <w:pPr>
              <w:jc w:val="center"/>
              <w:rPr>
                <w:rFonts w:cs="Arial"/>
                <w:b/>
                <w:sz w:val="16"/>
                <w:szCs w:val="16"/>
              </w:rPr>
            </w:pPr>
            <w:r w:rsidRPr="00474424">
              <w:rPr>
                <w:rFonts w:cs="Arial"/>
                <w:color w:val="000000"/>
                <w:sz w:val="16"/>
                <w:szCs w:val="16"/>
              </w:rPr>
              <w:t>227</w:t>
            </w:r>
          </w:p>
        </w:tc>
        <w:tc>
          <w:tcPr>
            <w:tcW w:w="624" w:type="dxa"/>
          </w:tcPr>
          <w:p w14:paraId="7CDFBC4C" w14:textId="77777777" w:rsidR="0059790B" w:rsidRPr="00474424" w:rsidRDefault="0059790B" w:rsidP="0059790B">
            <w:pPr>
              <w:jc w:val="center"/>
              <w:rPr>
                <w:rFonts w:cs="Arial"/>
                <w:b/>
                <w:sz w:val="16"/>
                <w:szCs w:val="16"/>
              </w:rPr>
            </w:pPr>
            <w:r w:rsidRPr="00474424">
              <w:rPr>
                <w:rFonts w:cs="Arial"/>
                <w:color w:val="000000"/>
                <w:sz w:val="16"/>
                <w:szCs w:val="16"/>
              </w:rPr>
              <w:t>214</w:t>
            </w:r>
          </w:p>
        </w:tc>
        <w:tc>
          <w:tcPr>
            <w:tcW w:w="880" w:type="dxa"/>
          </w:tcPr>
          <w:p w14:paraId="2E47BC7A" w14:textId="77777777" w:rsidR="0059790B" w:rsidRPr="00474424" w:rsidRDefault="0059790B" w:rsidP="0059790B">
            <w:pPr>
              <w:jc w:val="center"/>
              <w:rPr>
                <w:rFonts w:cs="Arial"/>
                <w:b/>
                <w:sz w:val="16"/>
                <w:szCs w:val="16"/>
              </w:rPr>
            </w:pPr>
            <w:r w:rsidRPr="00474424">
              <w:rPr>
                <w:rFonts w:cs="Arial"/>
                <w:color w:val="000000"/>
                <w:sz w:val="16"/>
                <w:szCs w:val="16"/>
              </w:rPr>
              <w:t>86%</w:t>
            </w:r>
          </w:p>
        </w:tc>
        <w:tc>
          <w:tcPr>
            <w:tcW w:w="562" w:type="dxa"/>
          </w:tcPr>
          <w:p w14:paraId="11165A62" w14:textId="77777777" w:rsidR="0059790B" w:rsidRPr="00474424" w:rsidRDefault="0059790B" w:rsidP="0059790B">
            <w:pPr>
              <w:jc w:val="center"/>
              <w:rPr>
                <w:rFonts w:cs="Arial"/>
                <w:b/>
                <w:sz w:val="16"/>
                <w:szCs w:val="16"/>
              </w:rPr>
            </w:pPr>
            <w:r w:rsidRPr="00474424">
              <w:rPr>
                <w:rFonts w:cs="Arial"/>
                <w:color w:val="000000"/>
                <w:sz w:val="16"/>
                <w:szCs w:val="16"/>
              </w:rPr>
              <w:t>82%</w:t>
            </w:r>
          </w:p>
        </w:tc>
        <w:tc>
          <w:tcPr>
            <w:tcW w:w="880" w:type="dxa"/>
          </w:tcPr>
          <w:p w14:paraId="21960EB6" w14:textId="77777777" w:rsidR="0059790B" w:rsidRPr="00474424" w:rsidRDefault="0059790B" w:rsidP="0059790B">
            <w:pPr>
              <w:jc w:val="center"/>
              <w:rPr>
                <w:rFonts w:cs="Arial"/>
                <w:b/>
                <w:sz w:val="16"/>
                <w:szCs w:val="16"/>
              </w:rPr>
            </w:pPr>
            <w:r w:rsidRPr="00474424">
              <w:rPr>
                <w:rFonts w:cs="Arial"/>
                <w:color w:val="000000"/>
                <w:sz w:val="16"/>
                <w:szCs w:val="16"/>
              </w:rPr>
              <w:t>25%</w:t>
            </w:r>
          </w:p>
        </w:tc>
        <w:tc>
          <w:tcPr>
            <w:tcW w:w="562" w:type="dxa"/>
          </w:tcPr>
          <w:p w14:paraId="14BF1CEF" w14:textId="77777777" w:rsidR="0059790B" w:rsidRPr="00474424" w:rsidRDefault="0059790B" w:rsidP="0059790B">
            <w:pPr>
              <w:jc w:val="center"/>
              <w:rPr>
                <w:rFonts w:cs="Arial"/>
                <w:b/>
                <w:sz w:val="16"/>
                <w:szCs w:val="16"/>
              </w:rPr>
            </w:pPr>
            <w:r w:rsidRPr="00474424">
              <w:rPr>
                <w:rFonts w:cs="Arial"/>
                <w:color w:val="000000"/>
                <w:sz w:val="16"/>
                <w:szCs w:val="16"/>
              </w:rPr>
              <w:t>18%</w:t>
            </w:r>
          </w:p>
        </w:tc>
      </w:tr>
      <w:tr w:rsidR="0059790B" w:rsidRPr="00474424" w14:paraId="576A7A4C" w14:textId="77777777" w:rsidTr="0059790B">
        <w:trPr>
          <w:trHeight w:hRule="exact" w:val="680"/>
        </w:trPr>
        <w:tc>
          <w:tcPr>
            <w:tcW w:w="1055" w:type="dxa"/>
          </w:tcPr>
          <w:p w14:paraId="75B8A3C1" w14:textId="77777777" w:rsidR="0059790B" w:rsidRPr="00A320AC" w:rsidRDefault="0059790B" w:rsidP="0059790B">
            <w:pPr>
              <w:jc w:val="center"/>
              <w:rPr>
                <w:rFonts w:cs="Arial"/>
                <w:b/>
                <w:sz w:val="16"/>
                <w:szCs w:val="16"/>
              </w:rPr>
            </w:pPr>
            <w:r w:rsidRPr="00A320AC">
              <w:rPr>
                <w:rFonts w:cs="Arial"/>
                <w:b/>
                <w:sz w:val="16"/>
                <w:szCs w:val="16"/>
              </w:rPr>
              <w:t>Splits for full-time students</w:t>
            </w:r>
          </w:p>
        </w:tc>
        <w:tc>
          <w:tcPr>
            <w:tcW w:w="880" w:type="dxa"/>
          </w:tcPr>
          <w:p w14:paraId="476F0DAA" w14:textId="77777777" w:rsidR="0059790B" w:rsidRPr="00474424" w:rsidRDefault="0059790B" w:rsidP="0059790B">
            <w:pPr>
              <w:jc w:val="center"/>
              <w:rPr>
                <w:rFonts w:cs="Arial"/>
                <w:b/>
                <w:sz w:val="16"/>
                <w:szCs w:val="16"/>
              </w:rPr>
            </w:pPr>
            <w:r w:rsidRPr="00474424">
              <w:rPr>
                <w:rFonts w:cs="Arial"/>
                <w:color w:val="000000"/>
                <w:sz w:val="16"/>
                <w:szCs w:val="16"/>
              </w:rPr>
              <w:t>4,576</w:t>
            </w:r>
          </w:p>
        </w:tc>
        <w:tc>
          <w:tcPr>
            <w:tcW w:w="624" w:type="dxa"/>
          </w:tcPr>
          <w:p w14:paraId="0A6C088E" w14:textId="77777777" w:rsidR="0059790B" w:rsidRPr="00474424" w:rsidRDefault="0059790B" w:rsidP="0059790B">
            <w:pPr>
              <w:jc w:val="center"/>
              <w:rPr>
                <w:rFonts w:cs="Arial"/>
                <w:b/>
                <w:sz w:val="16"/>
                <w:szCs w:val="16"/>
              </w:rPr>
            </w:pPr>
            <w:r w:rsidRPr="00474424">
              <w:rPr>
                <w:rFonts w:cs="Arial"/>
                <w:color w:val="000000"/>
                <w:sz w:val="16"/>
                <w:szCs w:val="16"/>
              </w:rPr>
              <w:t>4,368</w:t>
            </w:r>
          </w:p>
        </w:tc>
        <w:tc>
          <w:tcPr>
            <w:tcW w:w="880" w:type="dxa"/>
          </w:tcPr>
          <w:p w14:paraId="6D90E23C" w14:textId="77777777" w:rsidR="0059790B" w:rsidRPr="00474424" w:rsidRDefault="0059790B" w:rsidP="0059790B">
            <w:pPr>
              <w:jc w:val="center"/>
              <w:rPr>
                <w:rFonts w:cs="Arial"/>
                <w:b/>
                <w:sz w:val="16"/>
                <w:szCs w:val="16"/>
              </w:rPr>
            </w:pPr>
            <w:r w:rsidRPr="00474424">
              <w:rPr>
                <w:rFonts w:cs="Arial"/>
                <w:color w:val="000000"/>
                <w:sz w:val="16"/>
                <w:szCs w:val="16"/>
              </w:rPr>
              <w:t>74%</w:t>
            </w:r>
          </w:p>
        </w:tc>
        <w:tc>
          <w:tcPr>
            <w:tcW w:w="562" w:type="dxa"/>
          </w:tcPr>
          <w:p w14:paraId="6A440FE8" w14:textId="77777777" w:rsidR="0059790B" w:rsidRPr="00474424" w:rsidRDefault="0059790B" w:rsidP="0059790B">
            <w:pPr>
              <w:jc w:val="center"/>
              <w:rPr>
                <w:rFonts w:cs="Arial"/>
                <w:b/>
                <w:sz w:val="16"/>
                <w:szCs w:val="16"/>
              </w:rPr>
            </w:pPr>
            <w:r w:rsidRPr="00474424">
              <w:rPr>
                <w:rFonts w:cs="Arial"/>
                <w:color w:val="000000"/>
                <w:sz w:val="16"/>
                <w:szCs w:val="16"/>
              </w:rPr>
              <w:t>66%</w:t>
            </w:r>
          </w:p>
        </w:tc>
        <w:tc>
          <w:tcPr>
            <w:tcW w:w="880" w:type="dxa"/>
          </w:tcPr>
          <w:p w14:paraId="502317B7" w14:textId="77777777" w:rsidR="0059790B" w:rsidRPr="00474424" w:rsidRDefault="0059790B" w:rsidP="0059790B">
            <w:pPr>
              <w:jc w:val="center"/>
              <w:rPr>
                <w:rFonts w:cs="Arial"/>
                <w:b/>
                <w:sz w:val="16"/>
                <w:szCs w:val="16"/>
              </w:rPr>
            </w:pPr>
            <w:r w:rsidRPr="00474424">
              <w:rPr>
                <w:rFonts w:cs="Arial"/>
                <w:color w:val="000000"/>
                <w:sz w:val="16"/>
                <w:szCs w:val="16"/>
              </w:rPr>
              <w:t>21%</w:t>
            </w:r>
          </w:p>
        </w:tc>
        <w:tc>
          <w:tcPr>
            <w:tcW w:w="562" w:type="dxa"/>
          </w:tcPr>
          <w:p w14:paraId="6D51988D" w14:textId="77777777" w:rsidR="0059790B" w:rsidRPr="00474424" w:rsidRDefault="0059790B" w:rsidP="0059790B">
            <w:pPr>
              <w:jc w:val="center"/>
              <w:rPr>
                <w:rFonts w:cs="Arial"/>
                <w:b/>
                <w:sz w:val="16"/>
                <w:szCs w:val="16"/>
              </w:rPr>
            </w:pPr>
            <w:r w:rsidRPr="00474424">
              <w:rPr>
                <w:rFonts w:cs="Arial"/>
                <w:color w:val="000000"/>
                <w:sz w:val="16"/>
                <w:szCs w:val="16"/>
              </w:rPr>
              <w:t>16%</w:t>
            </w:r>
          </w:p>
        </w:tc>
        <w:tc>
          <w:tcPr>
            <w:tcW w:w="880" w:type="dxa"/>
          </w:tcPr>
          <w:p w14:paraId="6E564797" w14:textId="77777777" w:rsidR="0059790B" w:rsidRPr="00474424" w:rsidRDefault="0059790B" w:rsidP="0059790B">
            <w:pPr>
              <w:jc w:val="center"/>
              <w:rPr>
                <w:rFonts w:cs="Arial"/>
                <w:b/>
                <w:sz w:val="16"/>
                <w:szCs w:val="16"/>
              </w:rPr>
            </w:pPr>
            <w:r w:rsidRPr="00474424">
              <w:rPr>
                <w:rFonts w:cs="Arial"/>
                <w:color w:val="000000"/>
                <w:sz w:val="16"/>
                <w:szCs w:val="16"/>
              </w:rPr>
              <w:t>1,625</w:t>
            </w:r>
          </w:p>
        </w:tc>
        <w:tc>
          <w:tcPr>
            <w:tcW w:w="624" w:type="dxa"/>
          </w:tcPr>
          <w:p w14:paraId="7F055B1F" w14:textId="77777777" w:rsidR="0059790B" w:rsidRPr="00474424" w:rsidRDefault="0059790B" w:rsidP="0059790B">
            <w:pPr>
              <w:jc w:val="center"/>
              <w:rPr>
                <w:rFonts w:cs="Arial"/>
                <w:b/>
                <w:sz w:val="16"/>
                <w:szCs w:val="16"/>
              </w:rPr>
            </w:pPr>
            <w:r w:rsidRPr="00474424">
              <w:rPr>
                <w:rFonts w:cs="Arial"/>
                <w:color w:val="000000"/>
                <w:sz w:val="16"/>
                <w:szCs w:val="16"/>
              </w:rPr>
              <w:t>1,586</w:t>
            </w:r>
          </w:p>
        </w:tc>
        <w:tc>
          <w:tcPr>
            <w:tcW w:w="880" w:type="dxa"/>
          </w:tcPr>
          <w:p w14:paraId="0B85AA6D" w14:textId="77777777" w:rsidR="0059790B" w:rsidRPr="00474424" w:rsidRDefault="0059790B" w:rsidP="0059790B">
            <w:pPr>
              <w:jc w:val="center"/>
              <w:rPr>
                <w:rFonts w:cs="Arial"/>
                <w:b/>
                <w:sz w:val="16"/>
                <w:szCs w:val="16"/>
              </w:rPr>
            </w:pPr>
            <w:r w:rsidRPr="00474424">
              <w:rPr>
                <w:rFonts w:cs="Arial"/>
                <w:color w:val="000000"/>
                <w:sz w:val="16"/>
                <w:szCs w:val="16"/>
              </w:rPr>
              <w:t>94%</w:t>
            </w:r>
          </w:p>
        </w:tc>
        <w:tc>
          <w:tcPr>
            <w:tcW w:w="562" w:type="dxa"/>
          </w:tcPr>
          <w:p w14:paraId="21E7DC4F" w14:textId="77777777" w:rsidR="0059790B" w:rsidRPr="00474424" w:rsidRDefault="0059790B" w:rsidP="0059790B">
            <w:pPr>
              <w:jc w:val="center"/>
              <w:rPr>
                <w:rFonts w:cs="Arial"/>
                <w:b/>
                <w:sz w:val="16"/>
                <w:szCs w:val="16"/>
              </w:rPr>
            </w:pPr>
            <w:r w:rsidRPr="00474424">
              <w:rPr>
                <w:rFonts w:cs="Arial"/>
                <w:color w:val="000000"/>
                <w:sz w:val="16"/>
                <w:szCs w:val="16"/>
              </w:rPr>
              <w:t>93%</w:t>
            </w:r>
          </w:p>
        </w:tc>
        <w:tc>
          <w:tcPr>
            <w:tcW w:w="880" w:type="dxa"/>
          </w:tcPr>
          <w:p w14:paraId="56FB8BD4" w14:textId="77777777" w:rsidR="0059790B" w:rsidRPr="00474424" w:rsidRDefault="0059790B" w:rsidP="0059790B">
            <w:pPr>
              <w:jc w:val="center"/>
              <w:rPr>
                <w:rFonts w:cs="Arial"/>
                <w:b/>
                <w:sz w:val="16"/>
                <w:szCs w:val="16"/>
              </w:rPr>
            </w:pPr>
            <w:r w:rsidRPr="00474424">
              <w:rPr>
                <w:rFonts w:cs="Arial"/>
                <w:color w:val="000000"/>
                <w:sz w:val="16"/>
                <w:szCs w:val="16"/>
              </w:rPr>
              <w:t>38%</w:t>
            </w:r>
          </w:p>
        </w:tc>
        <w:tc>
          <w:tcPr>
            <w:tcW w:w="562" w:type="dxa"/>
          </w:tcPr>
          <w:p w14:paraId="0B3028A6" w14:textId="77777777" w:rsidR="0059790B" w:rsidRPr="00474424" w:rsidRDefault="0059790B" w:rsidP="0059790B">
            <w:pPr>
              <w:jc w:val="center"/>
              <w:rPr>
                <w:rFonts w:cs="Arial"/>
                <w:b/>
                <w:sz w:val="16"/>
                <w:szCs w:val="16"/>
              </w:rPr>
            </w:pPr>
            <w:r w:rsidRPr="00474424">
              <w:rPr>
                <w:rFonts w:cs="Arial"/>
                <w:color w:val="000000"/>
                <w:sz w:val="16"/>
                <w:szCs w:val="16"/>
              </w:rPr>
              <w:t>30%</w:t>
            </w:r>
          </w:p>
        </w:tc>
        <w:tc>
          <w:tcPr>
            <w:tcW w:w="880" w:type="dxa"/>
          </w:tcPr>
          <w:p w14:paraId="5194199B" w14:textId="77777777" w:rsidR="0059790B" w:rsidRPr="00474424" w:rsidRDefault="0059790B" w:rsidP="0059790B">
            <w:pPr>
              <w:jc w:val="center"/>
              <w:rPr>
                <w:rFonts w:cs="Arial"/>
                <w:b/>
                <w:sz w:val="16"/>
                <w:szCs w:val="16"/>
              </w:rPr>
            </w:pPr>
            <w:r w:rsidRPr="00474424">
              <w:rPr>
                <w:rFonts w:cs="Arial"/>
                <w:color w:val="000000"/>
                <w:sz w:val="16"/>
                <w:szCs w:val="16"/>
              </w:rPr>
              <w:t>2,951</w:t>
            </w:r>
          </w:p>
        </w:tc>
        <w:tc>
          <w:tcPr>
            <w:tcW w:w="624" w:type="dxa"/>
          </w:tcPr>
          <w:p w14:paraId="39A73D14" w14:textId="77777777" w:rsidR="0059790B" w:rsidRPr="00474424" w:rsidRDefault="0059790B" w:rsidP="0059790B">
            <w:pPr>
              <w:jc w:val="center"/>
              <w:rPr>
                <w:rFonts w:cs="Arial"/>
                <w:b/>
                <w:sz w:val="16"/>
                <w:szCs w:val="16"/>
              </w:rPr>
            </w:pPr>
            <w:r w:rsidRPr="00474424">
              <w:rPr>
                <w:rFonts w:cs="Arial"/>
                <w:color w:val="000000"/>
                <w:sz w:val="16"/>
                <w:szCs w:val="16"/>
              </w:rPr>
              <w:t>2,782</w:t>
            </w:r>
          </w:p>
        </w:tc>
        <w:tc>
          <w:tcPr>
            <w:tcW w:w="880" w:type="dxa"/>
          </w:tcPr>
          <w:p w14:paraId="5FDF0613" w14:textId="77777777" w:rsidR="0059790B" w:rsidRPr="00474424" w:rsidRDefault="0059790B" w:rsidP="0059790B">
            <w:pPr>
              <w:jc w:val="center"/>
              <w:rPr>
                <w:rFonts w:cs="Arial"/>
                <w:b/>
                <w:sz w:val="16"/>
                <w:szCs w:val="16"/>
              </w:rPr>
            </w:pPr>
            <w:r w:rsidRPr="00474424">
              <w:rPr>
                <w:rFonts w:cs="Arial"/>
                <w:color w:val="000000"/>
                <w:sz w:val="16"/>
                <w:szCs w:val="16"/>
              </w:rPr>
              <w:t>62%</w:t>
            </w:r>
          </w:p>
        </w:tc>
        <w:tc>
          <w:tcPr>
            <w:tcW w:w="562" w:type="dxa"/>
          </w:tcPr>
          <w:p w14:paraId="09F8F0A1" w14:textId="77777777" w:rsidR="0059790B" w:rsidRPr="00474424" w:rsidRDefault="0059790B" w:rsidP="0059790B">
            <w:pPr>
              <w:jc w:val="center"/>
              <w:rPr>
                <w:rFonts w:cs="Arial"/>
                <w:b/>
                <w:sz w:val="16"/>
                <w:szCs w:val="16"/>
              </w:rPr>
            </w:pPr>
            <w:r w:rsidRPr="00474424">
              <w:rPr>
                <w:rFonts w:cs="Arial"/>
                <w:color w:val="000000"/>
                <w:sz w:val="16"/>
                <w:szCs w:val="16"/>
              </w:rPr>
              <w:t>51%</w:t>
            </w:r>
          </w:p>
        </w:tc>
        <w:tc>
          <w:tcPr>
            <w:tcW w:w="880" w:type="dxa"/>
          </w:tcPr>
          <w:p w14:paraId="2E340F48" w14:textId="77777777" w:rsidR="0059790B" w:rsidRPr="00474424" w:rsidRDefault="0059790B" w:rsidP="0059790B">
            <w:pPr>
              <w:jc w:val="center"/>
              <w:rPr>
                <w:rFonts w:cs="Arial"/>
                <w:b/>
                <w:sz w:val="16"/>
                <w:szCs w:val="16"/>
              </w:rPr>
            </w:pPr>
            <w:r w:rsidRPr="00474424">
              <w:rPr>
                <w:rFonts w:cs="Arial"/>
                <w:color w:val="000000"/>
                <w:sz w:val="16"/>
                <w:szCs w:val="16"/>
              </w:rPr>
              <w:t>12%</w:t>
            </w:r>
          </w:p>
        </w:tc>
        <w:tc>
          <w:tcPr>
            <w:tcW w:w="562" w:type="dxa"/>
          </w:tcPr>
          <w:p w14:paraId="1E3AF8E0" w14:textId="77777777" w:rsidR="0059790B" w:rsidRPr="00474424" w:rsidRDefault="0059790B" w:rsidP="0059790B">
            <w:pPr>
              <w:jc w:val="center"/>
              <w:rPr>
                <w:rFonts w:cs="Arial"/>
                <w:b/>
                <w:sz w:val="16"/>
                <w:szCs w:val="16"/>
              </w:rPr>
            </w:pPr>
            <w:r w:rsidRPr="00474424">
              <w:rPr>
                <w:rFonts w:cs="Arial"/>
                <w:color w:val="000000"/>
                <w:sz w:val="16"/>
                <w:szCs w:val="16"/>
              </w:rPr>
              <w:t>8%</w:t>
            </w:r>
          </w:p>
        </w:tc>
      </w:tr>
      <w:tr w:rsidR="0059790B" w:rsidRPr="00474424" w14:paraId="20884093" w14:textId="77777777" w:rsidTr="0059790B">
        <w:trPr>
          <w:trHeight w:hRule="exact" w:val="680"/>
        </w:trPr>
        <w:tc>
          <w:tcPr>
            <w:tcW w:w="1055" w:type="dxa"/>
          </w:tcPr>
          <w:p w14:paraId="2AE2960B" w14:textId="77777777" w:rsidR="0059790B" w:rsidRPr="00A320AC" w:rsidRDefault="0059790B" w:rsidP="0059790B">
            <w:pPr>
              <w:jc w:val="center"/>
              <w:rPr>
                <w:rFonts w:cs="Arial"/>
                <w:b/>
                <w:sz w:val="16"/>
                <w:szCs w:val="16"/>
              </w:rPr>
            </w:pPr>
            <w:r w:rsidRPr="00A320AC">
              <w:rPr>
                <w:rFonts w:cs="Arial"/>
                <w:b/>
                <w:sz w:val="16"/>
                <w:szCs w:val="16"/>
              </w:rPr>
              <w:t>Part-time students</w:t>
            </w:r>
          </w:p>
        </w:tc>
        <w:tc>
          <w:tcPr>
            <w:tcW w:w="880" w:type="dxa"/>
          </w:tcPr>
          <w:p w14:paraId="51A2F511" w14:textId="77777777" w:rsidR="0059790B" w:rsidRPr="00474424" w:rsidRDefault="0059790B" w:rsidP="0059790B">
            <w:pPr>
              <w:jc w:val="center"/>
              <w:rPr>
                <w:rFonts w:cs="Arial"/>
                <w:b/>
                <w:sz w:val="16"/>
                <w:szCs w:val="16"/>
              </w:rPr>
            </w:pPr>
            <w:r w:rsidRPr="00474424">
              <w:rPr>
                <w:rFonts w:cs="Arial"/>
                <w:color w:val="000000"/>
                <w:sz w:val="16"/>
                <w:szCs w:val="16"/>
              </w:rPr>
              <w:t>315</w:t>
            </w:r>
          </w:p>
        </w:tc>
        <w:tc>
          <w:tcPr>
            <w:tcW w:w="624" w:type="dxa"/>
          </w:tcPr>
          <w:p w14:paraId="73A07B8B" w14:textId="77777777" w:rsidR="0059790B" w:rsidRPr="00474424" w:rsidRDefault="0059790B" w:rsidP="0059790B">
            <w:pPr>
              <w:jc w:val="center"/>
              <w:rPr>
                <w:rFonts w:cs="Arial"/>
                <w:b/>
                <w:sz w:val="16"/>
                <w:szCs w:val="16"/>
              </w:rPr>
            </w:pPr>
            <w:r w:rsidRPr="00474424">
              <w:rPr>
                <w:rFonts w:cs="Arial"/>
                <w:color w:val="000000"/>
                <w:sz w:val="16"/>
                <w:szCs w:val="16"/>
              </w:rPr>
              <w:t>253</w:t>
            </w:r>
          </w:p>
        </w:tc>
        <w:tc>
          <w:tcPr>
            <w:tcW w:w="880" w:type="dxa"/>
          </w:tcPr>
          <w:p w14:paraId="6EB072B0" w14:textId="77777777" w:rsidR="0059790B" w:rsidRPr="00474424" w:rsidRDefault="0059790B" w:rsidP="0059790B">
            <w:pPr>
              <w:jc w:val="center"/>
              <w:rPr>
                <w:rFonts w:cs="Arial"/>
                <w:b/>
                <w:sz w:val="16"/>
                <w:szCs w:val="16"/>
              </w:rPr>
            </w:pPr>
            <w:r w:rsidRPr="00474424">
              <w:rPr>
                <w:rFonts w:cs="Arial"/>
                <w:color w:val="000000"/>
                <w:sz w:val="16"/>
                <w:szCs w:val="16"/>
              </w:rPr>
              <w:t>69%</w:t>
            </w:r>
          </w:p>
        </w:tc>
        <w:tc>
          <w:tcPr>
            <w:tcW w:w="562" w:type="dxa"/>
          </w:tcPr>
          <w:p w14:paraId="022CB90F" w14:textId="77777777" w:rsidR="0059790B" w:rsidRPr="00474424" w:rsidRDefault="0059790B" w:rsidP="0059790B">
            <w:pPr>
              <w:jc w:val="center"/>
              <w:rPr>
                <w:rFonts w:cs="Arial"/>
                <w:b/>
                <w:sz w:val="16"/>
                <w:szCs w:val="16"/>
              </w:rPr>
            </w:pPr>
            <w:r w:rsidRPr="00474424">
              <w:rPr>
                <w:rFonts w:cs="Arial"/>
                <w:color w:val="000000"/>
                <w:sz w:val="16"/>
                <w:szCs w:val="16"/>
              </w:rPr>
              <w:t>55%</w:t>
            </w:r>
          </w:p>
        </w:tc>
        <w:tc>
          <w:tcPr>
            <w:tcW w:w="880" w:type="dxa"/>
          </w:tcPr>
          <w:p w14:paraId="08C43651" w14:textId="77777777" w:rsidR="0059790B" w:rsidRPr="00474424" w:rsidRDefault="0059790B" w:rsidP="0059790B">
            <w:pPr>
              <w:jc w:val="center"/>
              <w:rPr>
                <w:rFonts w:cs="Arial"/>
                <w:b/>
                <w:sz w:val="16"/>
                <w:szCs w:val="16"/>
              </w:rPr>
            </w:pPr>
            <w:r w:rsidRPr="00474424">
              <w:rPr>
                <w:rFonts w:cs="Arial"/>
                <w:color w:val="000000"/>
                <w:sz w:val="16"/>
                <w:szCs w:val="16"/>
              </w:rPr>
              <w:t>13%</w:t>
            </w:r>
          </w:p>
        </w:tc>
        <w:tc>
          <w:tcPr>
            <w:tcW w:w="562" w:type="dxa"/>
          </w:tcPr>
          <w:p w14:paraId="6A6467F0" w14:textId="77777777" w:rsidR="0059790B" w:rsidRPr="00474424" w:rsidRDefault="0059790B" w:rsidP="0059790B">
            <w:pPr>
              <w:jc w:val="center"/>
              <w:rPr>
                <w:rFonts w:cs="Arial"/>
                <w:b/>
                <w:sz w:val="16"/>
                <w:szCs w:val="16"/>
              </w:rPr>
            </w:pPr>
            <w:r w:rsidRPr="00474424">
              <w:rPr>
                <w:rFonts w:cs="Arial"/>
                <w:color w:val="000000"/>
                <w:sz w:val="16"/>
                <w:szCs w:val="16"/>
              </w:rPr>
              <w:t>6%</w:t>
            </w:r>
          </w:p>
        </w:tc>
        <w:tc>
          <w:tcPr>
            <w:tcW w:w="880" w:type="dxa"/>
          </w:tcPr>
          <w:p w14:paraId="28F460F5" w14:textId="77777777" w:rsidR="0059790B" w:rsidRPr="00474424" w:rsidRDefault="0059790B" w:rsidP="0059790B">
            <w:pPr>
              <w:jc w:val="center"/>
              <w:rPr>
                <w:rFonts w:cs="Arial"/>
                <w:b/>
                <w:sz w:val="16"/>
                <w:szCs w:val="16"/>
              </w:rPr>
            </w:pPr>
            <w:r w:rsidRPr="00474424">
              <w:rPr>
                <w:rFonts w:cs="Arial"/>
                <w:color w:val="000000"/>
                <w:sz w:val="16"/>
                <w:szCs w:val="16"/>
              </w:rPr>
              <w:t>108</w:t>
            </w:r>
          </w:p>
        </w:tc>
        <w:tc>
          <w:tcPr>
            <w:tcW w:w="624" w:type="dxa"/>
          </w:tcPr>
          <w:p w14:paraId="42386E72" w14:textId="77777777" w:rsidR="0059790B" w:rsidRPr="00474424" w:rsidRDefault="0059790B" w:rsidP="0059790B">
            <w:pPr>
              <w:jc w:val="center"/>
              <w:rPr>
                <w:rFonts w:cs="Arial"/>
                <w:b/>
                <w:sz w:val="16"/>
                <w:szCs w:val="16"/>
              </w:rPr>
            </w:pPr>
            <w:r w:rsidRPr="00474424">
              <w:rPr>
                <w:rFonts w:cs="Arial"/>
                <w:color w:val="000000"/>
                <w:sz w:val="16"/>
                <w:szCs w:val="16"/>
              </w:rPr>
              <w:t>95</w:t>
            </w:r>
          </w:p>
        </w:tc>
        <w:tc>
          <w:tcPr>
            <w:tcW w:w="880" w:type="dxa"/>
          </w:tcPr>
          <w:p w14:paraId="09F1E448" w14:textId="77777777" w:rsidR="0059790B" w:rsidRPr="00474424" w:rsidRDefault="0059790B" w:rsidP="0059790B">
            <w:pPr>
              <w:jc w:val="center"/>
              <w:rPr>
                <w:rFonts w:cs="Arial"/>
                <w:b/>
                <w:sz w:val="16"/>
                <w:szCs w:val="16"/>
              </w:rPr>
            </w:pPr>
            <w:r w:rsidRPr="00474424">
              <w:rPr>
                <w:rFonts w:cs="Arial"/>
                <w:color w:val="000000"/>
                <w:sz w:val="16"/>
                <w:szCs w:val="16"/>
              </w:rPr>
              <w:t>69%</w:t>
            </w:r>
          </w:p>
        </w:tc>
        <w:tc>
          <w:tcPr>
            <w:tcW w:w="562" w:type="dxa"/>
          </w:tcPr>
          <w:p w14:paraId="1FCF61F8" w14:textId="77777777" w:rsidR="0059790B" w:rsidRPr="00474424" w:rsidRDefault="0059790B" w:rsidP="0059790B">
            <w:pPr>
              <w:jc w:val="center"/>
              <w:rPr>
                <w:rFonts w:cs="Arial"/>
                <w:b/>
                <w:sz w:val="16"/>
                <w:szCs w:val="16"/>
              </w:rPr>
            </w:pPr>
            <w:r w:rsidRPr="00474424">
              <w:rPr>
                <w:rFonts w:cs="Arial"/>
                <w:color w:val="000000"/>
                <w:sz w:val="16"/>
                <w:szCs w:val="16"/>
              </w:rPr>
              <w:t>62%</w:t>
            </w:r>
          </w:p>
        </w:tc>
        <w:tc>
          <w:tcPr>
            <w:tcW w:w="880" w:type="dxa"/>
          </w:tcPr>
          <w:p w14:paraId="71EE2954" w14:textId="77777777" w:rsidR="0059790B" w:rsidRPr="00474424" w:rsidRDefault="0059790B" w:rsidP="0059790B">
            <w:pPr>
              <w:jc w:val="center"/>
              <w:rPr>
                <w:rFonts w:cs="Arial"/>
                <w:b/>
                <w:sz w:val="16"/>
                <w:szCs w:val="16"/>
              </w:rPr>
            </w:pPr>
            <w:r w:rsidRPr="00474424">
              <w:rPr>
                <w:rFonts w:cs="Arial"/>
                <w:color w:val="000000"/>
                <w:sz w:val="16"/>
                <w:szCs w:val="16"/>
              </w:rPr>
              <w:t>14%</w:t>
            </w:r>
          </w:p>
        </w:tc>
        <w:tc>
          <w:tcPr>
            <w:tcW w:w="562" w:type="dxa"/>
          </w:tcPr>
          <w:p w14:paraId="58B46B3C" w14:textId="77777777" w:rsidR="0059790B" w:rsidRPr="00474424" w:rsidRDefault="0059790B" w:rsidP="0059790B">
            <w:pPr>
              <w:jc w:val="center"/>
              <w:rPr>
                <w:rFonts w:cs="Arial"/>
                <w:b/>
                <w:sz w:val="16"/>
                <w:szCs w:val="16"/>
              </w:rPr>
            </w:pPr>
            <w:r w:rsidRPr="00474424">
              <w:rPr>
                <w:rFonts w:cs="Arial"/>
                <w:color w:val="000000"/>
                <w:sz w:val="16"/>
                <w:szCs w:val="16"/>
              </w:rPr>
              <w:t>3%</w:t>
            </w:r>
          </w:p>
        </w:tc>
        <w:tc>
          <w:tcPr>
            <w:tcW w:w="880" w:type="dxa"/>
          </w:tcPr>
          <w:p w14:paraId="1C82B00B" w14:textId="77777777" w:rsidR="0059790B" w:rsidRPr="00474424" w:rsidRDefault="0059790B" w:rsidP="0059790B">
            <w:pPr>
              <w:jc w:val="center"/>
              <w:rPr>
                <w:rFonts w:cs="Arial"/>
                <w:b/>
                <w:sz w:val="16"/>
                <w:szCs w:val="16"/>
              </w:rPr>
            </w:pPr>
            <w:r w:rsidRPr="00474424">
              <w:rPr>
                <w:rFonts w:cs="Arial"/>
                <w:color w:val="000000"/>
                <w:sz w:val="16"/>
                <w:szCs w:val="16"/>
              </w:rPr>
              <w:t>207</w:t>
            </w:r>
          </w:p>
        </w:tc>
        <w:tc>
          <w:tcPr>
            <w:tcW w:w="624" w:type="dxa"/>
          </w:tcPr>
          <w:p w14:paraId="5CA86844" w14:textId="77777777" w:rsidR="0059790B" w:rsidRPr="00474424" w:rsidRDefault="0059790B" w:rsidP="0059790B">
            <w:pPr>
              <w:jc w:val="center"/>
              <w:rPr>
                <w:rFonts w:cs="Arial"/>
                <w:b/>
                <w:sz w:val="16"/>
                <w:szCs w:val="16"/>
              </w:rPr>
            </w:pPr>
            <w:r w:rsidRPr="00474424">
              <w:rPr>
                <w:rFonts w:cs="Arial"/>
                <w:color w:val="000000"/>
                <w:sz w:val="16"/>
                <w:szCs w:val="16"/>
              </w:rPr>
              <w:t>158</w:t>
            </w:r>
          </w:p>
        </w:tc>
        <w:tc>
          <w:tcPr>
            <w:tcW w:w="880" w:type="dxa"/>
          </w:tcPr>
          <w:p w14:paraId="43B4E37A" w14:textId="77777777" w:rsidR="0059790B" w:rsidRPr="00474424" w:rsidRDefault="0059790B" w:rsidP="0059790B">
            <w:pPr>
              <w:jc w:val="center"/>
              <w:rPr>
                <w:rFonts w:cs="Arial"/>
                <w:b/>
                <w:sz w:val="16"/>
                <w:szCs w:val="16"/>
              </w:rPr>
            </w:pPr>
            <w:r w:rsidRPr="00474424">
              <w:rPr>
                <w:rFonts w:cs="Arial"/>
                <w:color w:val="000000"/>
                <w:sz w:val="16"/>
                <w:szCs w:val="16"/>
              </w:rPr>
              <w:t>69%</w:t>
            </w:r>
          </w:p>
        </w:tc>
        <w:tc>
          <w:tcPr>
            <w:tcW w:w="562" w:type="dxa"/>
          </w:tcPr>
          <w:p w14:paraId="0D8792F2" w14:textId="77777777" w:rsidR="0059790B" w:rsidRPr="00474424" w:rsidRDefault="0059790B" w:rsidP="0059790B">
            <w:pPr>
              <w:jc w:val="center"/>
              <w:rPr>
                <w:rFonts w:cs="Arial"/>
                <w:b/>
                <w:sz w:val="16"/>
                <w:szCs w:val="16"/>
              </w:rPr>
            </w:pPr>
            <w:r w:rsidRPr="00474424">
              <w:rPr>
                <w:rFonts w:cs="Arial"/>
                <w:color w:val="000000"/>
                <w:sz w:val="16"/>
                <w:szCs w:val="16"/>
              </w:rPr>
              <w:t>51%</w:t>
            </w:r>
          </w:p>
        </w:tc>
        <w:tc>
          <w:tcPr>
            <w:tcW w:w="880" w:type="dxa"/>
          </w:tcPr>
          <w:p w14:paraId="251CF64D" w14:textId="77777777" w:rsidR="0059790B" w:rsidRPr="00474424" w:rsidRDefault="0059790B" w:rsidP="0059790B">
            <w:pPr>
              <w:jc w:val="center"/>
              <w:rPr>
                <w:rFonts w:cs="Arial"/>
                <w:b/>
                <w:sz w:val="16"/>
                <w:szCs w:val="16"/>
              </w:rPr>
            </w:pPr>
            <w:r w:rsidRPr="00474424">
              <w:rPr>
                <w:rFonts w:cs="Arial"/>
                <w:color w:val="000000"/>
                <w:sz w:val="16"/>
                <w:szCs w:val="16"/>
              </w:rPr>
              <w:t>12%</w:t>
            </w:r>
          </w:p>
        </w:tc>
        <w:tc>
          <w:tcPr>
            <w:tcW w:w="562" w:type="dxa"/>
          </w:tcPr>
          <w:p w14:paraId="6321BE23" w14:textId="77777777" w:rsidR="0059790B" w:rsidRPr="00474424" w:rsidRDefault="0059790B" w:rsidP="0059790B">
            <w:pPr>
              <w:jc w:val="center"/>
              <w:rPr>
                <w:rFonts w:cs="Arial"/>
                <w:b/>
                <w:sz w:val="16"/>
                <w:szCs w:val="16"/>
              </w:rPr>
            </w:pPr>
            <w:r w:rsidRPr="00474424">
              <w:rPr>
                <w:rFonts w:cs="Arial"/>
                <w:color w:val="000000"/>
                <w:sz w:val="16"/>
                <w:szCs w:val="16"/>
              </w:rPr>
              <w:t>8%</w:t>
            </w:r>
          </w:p>
        </w:tc>
      </w:tr>
      <w:tr w:rsidR="0059790B" w:rsidRPr="00474424" w14:paraId="0A0799D5" w14:textId="77777777" w:rsidTr="0059790B">
        <w:trPr>
          <w:trHeight w:hRule="exact" w:val="680"/>
        </w:trPr>
        <w:tc>
          <w:tcPr>
            <w:tcW w:w="1055" w:type="dxa"/>
          </w:tcPr>
          <w:p w14:paraId="2622048C" w14:textId="77777777" w:rsidR="0059790B" w:rsidRPr="00A320AC" w:rsidRDefault="0059790B" w:rsidP="0059790B">
            <w:pPr>
              <w:jc w:val="center"/>
              <w:rPr>
                <w:rFonts w:cs="Arial"/>
                <w:b/>
                <w:sz w:val="16"/>
                <w:szCs w:val="16"/>
              </w:rPr>
            </w:pPr>
            <w:r w:rsidRPr="00A320AC">
              <w:rPr>
                <w:rFonts w:cs="Arial"/>
                <w:b/>
                <w:sz w:val="16"/>
                <w:szCs w:val="16"/>
              </w:rPr>
              <w:t>Splits for part-time students</w:t>
            </w:r>
          </w:p>
        </w:tc>
        <w:tc>
          <w:tcPr>
            <w:tcW w:w="880" w:type="dxa"/>
          </w:tcPr>
          <w:p w14:paraId="02152ABB" w14:textId="77777777" w:rsidR="0059790B" w:rsidRPr="00474424" w:rsidRDefault="0059790B" w:rsidP="0059790B">
            <w:pPr>
              <w:jc w:val="center"/>
              <w:rPr>
                <w:rFonts w:cs="Arial"/>
                <w:b/>
                <w:sz w:val="16"/>
                <w:szCs w:val="16"/>
              </w:rPr>
            </w:pPr>
            <w:r w:rsidRPr="00474424">
              <w:rPr>
                <w:rFonts w:cs="Arial"/>
                <w:color w:val="000000"/>
                <w:sz w:val="16"/>
                <w:szCs w:val="16"/>
              </w:rPr>
              <w:t>4,095</w:t>
            </w:r>
          </w:p>
        </w:tc>
        <w:tc>
          <w:tcPr>
            <w:tcW w:w="624" w:type="dxa"/>
          </w:tcPr>
          <w:p w14:paraId="0115006F" w14:textId="77777777" w:rsidR="0059790B" w:rsidRPr="00474424" w:rsidRDefault="0059790B" w:rsidP="0059790B">
            <w:pPr>
              <w:jc w:val="center"/>
              <w:rPr>
                <w:rFonts w:cs="Arial"/>
                <w:b/>
                <w:sz w:val="16"/>
                <w:szCs w:val="16"/>
              </w:rPr>
            </w:pPr>
            <w:r w:rsidRPr="00474424">
              <w:rPr>
                <w:rFonts w:cs="Arial"/>
                <w:color w:val="000000"/>
                <w:sz w:val="16"/>
                <w:szCs w:val="16"/>
              </w:rPr>
              <w:t>3,289</w:t>
            </w:r>
          </w:p>
        </w:tc>
        <w:tc>
          <w:tcPr>
            <w:tcW w:w="880" w:type="dxa"/>
          </w:tcPr>
          <w:p w14:paraId="1DBE5428" w14:textId="77777777" w:rsidR="0059790B" w:rsidRPr="00474424" w:rsidRDefault="0059790B" w:rsidP="0059790B">
            <w:pPr>
              <w:jc w:val="center"/>
              <w:rPr>
                <w:rFonts w:cs="Arial"/>
                <w:b/>
                <w:sz w:val="16"/>
                <w:szCs w:val="16"/>
              </w:rPr>
            </w:pPr>
            <w:r w:rsidRPr="00474424">
              <w:rPr>
                <w:rFonts w:cs="Arial"/>
                <w:color w:val="000000"/>
                <w:sz w:val="16"/>
                <w:szCs w:val="16"/>
              </w:rPr>
              <w:t>43%</w:t>
            </w:r>
          </w:p>
        </w:tc>
        <w:tc>
          <w:tcPr>
            <w:tcW w:w="562" w:type="dxa"/>
          </w:tcPr>
          <w:p w14:paraId="29AF44FD" w14:textId="77777777" w:rsidR="0059790B" w:rsidRPr="00474424" w:rsidRDefault="0059790B" w:rsidP="0059790B">
            <w:pPr>
              <w:jc w:val="center"/>
              <w:rPr>
                <w:rFonts w:cs="Arial"/>
                <w:b/>
                <w:sz w:val="16"/>
                <w:szCs w:val="16"/>
              </w:rPr>
            </w:pPr>
            <w:r w:rsidRPr="00474424">
              <w:rPr>
                <w:rFonts w:cs="Arial"/>
                <w:color w:val="000000"/>
                <w:sz w:val="16"/>
                <w:szCs w:val="16"/>
              </w:rPr>
              <w:t>30%</w:t>
            </w:r>
          </w:p>
        </w:tc>
        <w:tc>
          <w:tcPr>
            <w:tcW w:w="880" w:type="dxa"/>
          </w:tcPr>
          <w:p w14:paraId="43F66907" w14:textId="77777777" w:rsidR="0059790B" w:rsidRPr="00474424" w:rsidRDefault="0059790B" w:rsidP="0059790B">
            <w:pPr>
              <w:jc w:val="center"/>
              <w:rPr>
                <w:rFonts w:cs="Arial"/>
                <w:b/>
                <w:sz w:val="16"/>
                <w:szCs w:val="16"/>
              </w:rPr>
            </w:pPr>
            <w:r w:rsidRPr="00474424">
              <w:rPr>
                <w:rFonts w:cs="Arial"/>
                <w:color w:val="000000"/>
                <w:sz w:val="16"/>
                <w:szCs w:val="16"/>
              </w:rPr>
              <w:t>7%</w:t>
            </w:r>
          </w:p>
        </w:tc>
        <w:tc>
          <w:tcPr>
            <w:tcW w:w="562" w:type="dxa"/>
          </w:tcPr>
          <w:p w14:paraId="5F27FBD5" w14:textId="77777777" w:rsidR="0059790B" w:rsidRPr="00474424" w:rsidRDefault="0059790B" w:rsidP="0059790B">
            <w:pPr>
              <w:jc w:val="center"/>
              <w:rPr>
                <w:rFonts w:cs="Arial"/>
                <w:b/>
                <w:sz w:val="16"/>
                <w:szCs w:val="16"/>
              </w:rPr>
            </w:pPr>
            <w:r w:rsidRPr="00474424">
              <w:rPr>
                <w:rFonts w:cs="Arial"/>
                <w:color w:val="000000"/>
                <w:sz w:val="16"/>
                <w:szCs w:val="16"/>
              </w:rPr>
              <w:t>3%</w:t>
            </w:r>
          </w:p>
        </w:tc>
        <w:tc>
          <w:tcPr>
            <w:tcW w:w="880" w:type="dxa"/>
          </w:tcPr>
          <w:p w14:paraId="1BF50B13" w14:textId="77777777" w:rsidR="0059790B" w:rsidRPr="00474424" w:rsidRDefault="0059790B" w:rsidP="0059790B">
            <w:pPr>
              <w:jc w:val="center"/>
              <w:rPr>
                <w:rFonts w:cs="Arial"/>
                <w:b/>
                <w:sz w:val="16"/>
                <w:szCs w:val="16"/>
              </w:rPr>
            </w:pPr>
            <w:r w:rsidRPr="00474424">
              <w:rPr>
                <w:rFonts w:cs="Arial"/>
                <w:color w:val="000000"/>
                <w:sz w:val="16"/>
                <w:szCs w:val="16"/>
              </w:rPr>
              <w:t>1,404</w:t>
            </w:r>
          </w:p>
        </w:tc>
        <w:tc>
          <w:tcPr>
            <w:tcW w:w="624" w:type="dxa"/>
          </w:tcPr>
          <w:p w14:paraId="22B69293" w14:textId="77777777" w:rsidR="0059790B" w:rsidRPr="00474424" w:rsidRDefault="0059790B" w:rsidP="0059790B">
            <w:pPr>
              <w:jc w:val="center"/>
              <w:rPr>
                <w:rFonts w:cs="Arial"/>
                <w:b/>
                <w:sz w:val="16"/>
                <w:szCs w:val="16"/>
              </w:rPr>
            </w:pPr>
            <w:r w:rsidRPr="00474424">
              <w:rPr>
                <w:rFonts w:cs="Arial"/>
                <w:color w:val="000000"/>
                <w:sz w:val="16"/>
                <w:szCs w:val="16"/>
              </w:rPr>
              <w:t>1,235</w:t>
            </w:r>
          </w:p>
        </w:tc>
        <w:tc>
          <w:tcPr>
            <w:tcW w:w="880" w:type="dxa"/>
          </w:tcPr>
          <w:p w14:paraId="5121CD7E" w14:textId="77777777" w:rsidR="0059790B" w:rsidRPr="00474424" w:rsidRDefault="0059790B" w:rsidP="0059790B">
            <w:pPr>
              <w:jc w:val="center"/>
              <w:rPr>
                <w:rFonts w:cs="Arial"/>
                <w:b/>
                <w:sz w:val="16"/>
                <w:szCs w:val="16"/>
              </w:rPr>
            </w:pPr>
            <w:r w:rsidRPr="00474424">
              <w:rPr>
                <w:rFonts w:cs="Arial"/>
                <w:color w:val="000000"/>
                <w:sz w:val="16"/>
                <w:szCs w:val="16"/>
              </w:rPr>
              <w:t>50%</w:t>
            </w:r>
          </w:p>
        </w:tc>
        <w:tc>
          <w:tcPr>
            <w:tcW w:w="562" w:type="dxa"/>
          </w:tcPr>
          <w:p w14:paraId="18D54E8A" w14:textId="77777777" w:rsidR="0059790B" w:rsidRPr="00474424" w:rsidRDefault="0059790B" w:rsidP="0059790B">
            <w:pPr>
              <w:jc w:val="center"/>
              <w:rPr>
                <w:rFonts w:cs="Arial"/>
                <w:b/>
                <w:sz w:val="16"/>
                <w:szCs w:val="16"/>
              </w:rPr>
            </w:pPr>
            <w:r w:rsidRPr="00474424">
              <w:rPr>
                <w:rFonts w:cs="Arial"/>
                <w:color w:val="000000"/>
                <w:sz w:val="16"/>
                <w:szCs w:val="16"/>
              </w:rPr>
              <w:t>40%</w:t>
            </w:r>
          </w:p>
        </w:tc>
        <w:tc>
          <w:tcPr>
            <w:tcW w:w="880" w:type="dxa"/>
          </w:tcPr>
          <w:p w14:paraId="4A32CFF6" w14:textId="77777777" w:rsidR="0059790B" w:rsidRPr="00474424" w:rsidRDefault="0059790B" w:rsidP="0059790B">
            <w:pPr>
              <w:jc w:val="center"/>
              <w:rPr>
                <w:rFonts w:cs="Arial"/>
                <w:b/>
                <w:sz w:val="16"/>
                <w:szCs w:val="16"/>
              </w:rPr>
            </w:pPr>
            <w:r w:rsidRPr="00474424">
              <w:rPr>
                <w:rFonts w:cs="Arial"/>
                <w:color w:val="000000"/>
                <w:sz w:val="16"/>
                <w:szCs w:val="16"/>
              </w:rPr>
              <w:t>8%</w:t>
            </w:r>
          </w:p>
        </w:tc>
        <w:tc>
          <w:tcPr>
            <w:tcW w:w="562" w:type="dxa"/>
          </w:tcPr>
          <w:p w14:paraId="1A60E351" w14:textId="77777777" w:rsidR="0059790B" w:rsidRPr="00474424" w:rsidRDefault="0059790B" w:rsidP="0059790B">
            <w:pPr>
              <w:jc w:val="center"/>
              <w:rPr>
                <w:rFonts w:cs="Arial"/>
                <w:b/>
                <w:sz w:val="16"/>
                <w:szCs w:val="16"/>
              </w:rPr>
            </w:pPr>
            <w:r w:rsidRPr="00474424">
              <w:rPr>
                <w:rFonts w:cs="Arial"/>
                <w:color w:val="000000"/>
                <w:sz w:val="16"/>
                <w:szCs w:val="16"/>
              </w:rPr>
              <w:t>3%</w:t>
            </w:r>
          </w:p>
        </w:tc>
        <w:tc>
          <w:tcPr>
            <w:tcW w:w="880" w:type="dxa"/>
          </w:tcPr>
          <w:p w14:paraId="11FD50D4" w14:textId="77777777" w:rsidR="0059790B" w:rsidRPr="00474424" w:rsidRDefault="0059790B" w:rsidP="0059790B">
            <w:pPr>
              <w:jc w:val="center"/>
              <w:rPr>
                <w:rFonts w:cs="Arial"/>
                <w:b/>
                <w:sz w:val="16"/>
                <w:szCs w:val="16"/>
              </w:rPr>
            </w:pPr>
            <w:r w:rsidRPr="00474424">
              <w:rPr>
                <w:rFonts w:cs="Arial"/>
                <w:color w:val="000000"/>
                <w:sz w:val="16"/>
                <w:szCs w:val="16"/>
              </w:rPr>
              <w:t>2,691</w:t>
            </w:r>
          </w:p>
        </w:tc>
        <w:tc>
          <w:tcPr>
            <w:tcW w:w="624" w:type="dxa"/>
          </w:tcPr>
          <w:p w14:paraId="3E12838C" w14:textId="77777777" w:rsidR="0059790B" w:rsidRPr="00474424" w:rsidRDefault="0059790B" w:rsidP="0059790B">
            <w:pPr>
              <w:jc w:val="center"/>
              <w:rPr>
                <w:rFonts w:cs="Arial"/>
                <w:b/>
                <w:sz w:val="16"/>
                <w:szCs w:val="16"/>
              </w:rPr>
            </w:pPr>
            <w:r w:rsidRPr="00474424">
              <w:rPr>
                <w:rFonts w:cs="Arial"/>
                <w:color w:val="000000"/>
                <w:sz w:val="16"/>
                <w:szCs w:val="16"/>
              </w:rPr>
              <w:t>2,054</w:t>
            </w:r>
          </w:p>
        </w:tc>
        <w:tc>
          <w:tcPr>
            <w:tcW w:w="880" w:type="dxa"/>
          </w:tcPr>
          <w:p w14:paraId="674D63FB" w14:textId="77777777" w:rsidR="0059790B" w:rsidRPr="00474424" w:rsidRDefault="0059790B" w:rsidP="0059790B">
            <w:pPr>
              <w:jc w:val="center"/>
              <w:rPr>
                <w:rFonts w:cs="Arial"/>
                <w:b/>
                <w:sz w:val="16"/>
                <w:szCs w:val="16"/>
              </w:rPr>
            </w:pPr>
            <w:r w:rsidRPr="00474424">
              <w:rPr>
                <w:rFonts w:cs="Arial"/>
                <w:color w:val="000000"/>
                <w:sz w:val="16"/>
                <w:szCs w:val="16"/>
              </w:rPr>
              <w:t>39%</w:t>
            </w:r>
          </w:p>
        </w:tc>
        <w:tc>
          <w:tcPr>
            <w:tcW w:w="562" w:type="dxa"/>
          </w:tcPr>
          <w:p w14:paraId="1F017106" w14:textId="77777777" w:rsidR="0059790B" w:rsidRPr="00474424" w:rsidRDefault="0059790B" w:rsidP="0059790B">
            <w:pPr>
              <w:jc w:val="center"/>
              <w:rPr>
                <w:rFonts w:cs="Arial"/>
                <w:b/>
                <w:sz w:val="16"/>
                <w:szCs w:val="16"/>
              </w:rPr>
            </w:pPr>
            <w:r w:rsidRPr="00474424">
              <w:rPr>
                <w:rFonts w:cs="Arial"/>
                <w:color w:val="000000"/>
                <w:sz w:val="16"/>
                <w:szCs w:val="16"/>
              </w:rPr>
              <w:t>24%</w:t>
            </w:r>
          </w:p>
        </w:tc>
        <w:tc>
          <w:tcPr>
            <w:tcW w:w="880" w:type="dxa"/>
          </w:tcPr>
          <w:p w14:paraId="1559A8AE" w14:textId="77777777" w:rsidR="0059790B" w:rsidRPr="00474424" w:rsidRDefault="0059790B" w:rsidP="0059790B">
            <w:pPr>
              <w:jc w:val="center"/>
              <w:rPr>
                <w:rFonts w:cs="Arial"/>
                <w:b/>
                <w:sz w:val="16"/>
                <w:szCs w:val="16"/>
              </w:rPr>
            </w:pPr>
            <w:r w:rsidRPr="00474424">
              <w:rPr>
                <w:rFonts w:cs="Arial"/>
                <w:color w:val="000000"/>
                <w:sz w:val="16"/>
                <w:szCs w:val="16"/>
              </w:rPr>
              <w:t>6%</w:t>
            </w:r>
          </w:p>
        </w:tc>
        <w:tc>
          <w:tcPr>
            <w:tcW w:w="562" w:type="dxa"/>
          </w:tcPr>
          <w:p w14:paraId="2BA8E936" w14:textId="77777777" w:rsidR="0059790B" w:rsidRPr="00474424" w:rsidRDefault="0059790B" w:rsidP="0059790B">
            <w:pPr>
              <w:jc w:val="center"/>
              <w:rPr>
                <w:rFonts w:cs="Arial"/>
                <w:b/>
                <w:sz w:val="16"/>
                <w:szCs w:val="16"/>
              </w:rPr>
            </w:pPr>
            <w:r w:rsidRPr="00474424">
              <w:rPr>
                <w:rFonts w:cs="Arial"/>
                <w:color w:val="000000"/>
                <w:sz w:val="16"/>
                <w:szCs w:val="16"/>
              </w:rPr>
              <w:t>4%</w:t>
            </w:r>
          </w:p>
        </w:tc>
      </w:tr>
      <w:tr w:rsidR="0059790B" w:rsidRPr="00C62592" w14:paraId="3C89ACD1" w14:textId="77777777" w:rsidTr="0059790B">
        <w:trPr>
          <w:trHeight w:hRule="exact" w:val="680"/>
        </w:trPr>
        <w:tc>
          <w:tcPr>
            <w:tcW w:w="14219" w:type="dxa"/>
            <w:gridSpan w:val="19"/>
          </w:tcPr>
          <w:p w14:paraId="60A5325B" w14:textId="77777777" w:rsidR="0059790B" w:rsidRPr="00A320AC" w:rsidRDefault="0059790B" w:rsidP="0059790B">
            <w:pPr>
              <w:jc w:val="center"/>
              <w:rPr>
                <w:rFonts w:cs="Arial"/>
                <w:b/>
                <w:sz w:val="16"/>
                <w:szCs w:val="16"/>
              </w:rPr>
            </w:pPr>
            <w:r w:rsidRPr="00A320AC">
              <w:rPr>
                <w:rFonts w:cs="Arial"/>
                <w:b/>
                <w:sz w:val="16"/>
                <w:szCs w:val="16"/>
              </w:rPr>
              <w:t>Non-continuation</w:t>
            </w:r>
          </w:p>
        </w:tc>
      </w:tr>
      <w:tr w:rsidR="0059790B" w:rsidRPr="00C62592" w14:paraId="256E191F" w14:textId="77777777" w:rsidTr="0059790B">
        <w:trPr>
          <w:trHeight w:hRule="exact" w:val="680"/>
        </w:trPr>
        <w:tc>
          <w:tcPr>
            <w:tcW w:w="1055" w:type="dxa"/>
          </w:tcPr>
          <w:p w14:paraId="08B7AD03" w14:textId="77777777" w:rsidR="0059790B" w:rsidRPr="00A320AC" w:rsidRDefault="0059790B" w:rsidP="0059790B">
            <w:pPr>
              <w:jc w:val="center"/>
              <w:rPr>
                <w:rFonts w:cs="Arial"/>
                <w:b/>
                <w:sz w:val="16"/>
                <w:szCs w:val="16"/>
              </w:rPr>
            </w:pPr>
            <w:r w:rsidRPr="00A320AC">
              <w:rPr>
                <w:rFonts w:cs="Arial"/>
                <w:b/>
                <w:sz w:val="16"/>
                <w:szCs w:val="16"/>
              </w:rPr>
              <w:t>Full-time students</w:t>
            </w:r>
          </w:p>
        </w:tc>
        <w:tc>
          <w:tcPr>
            <w:tcW w:w="880" w:type="dxa"/>
            <w:shd w:val="clear" w:color="auto" w:fill="D9D9D9" w:themeFill="background1" w:themeFillShade="D9"/>
          </w:tcPr>
          <w:p w14:paraId="097512D3" w14:textId="77777777" w:rsidR="0059790B" w:rsidRPr="00A320AC" w:rsidRDefault="0059790B" w:rsidP="0059790B">
            <w:pPr>
              <w:jc w:val="right"/>
              <w:rPr>
                <w:rFonts w:cs="Arial"/>
                <w:b/>
                <w:sz w:val="16"/>
                <w:szCs w:val="16"/>
              </w:rPr>
            </w:pPr>
          </w:p>
        </w:tc>
        <w:tc>
          <w:tcPr>
            <w:tcW w:w="624" w:type="dxa"/>
            <w:shd w:val="clear" w:color="auto" w:fill="D9D9D9" w:themeFill="background1" w:themeFillShade="D9"/>
          </w:tcPr>
          <w:p w14:paraId="6B5FEE1C" w14:textId="77777777" w:rsidR="0059790B" w:rsidRPr="00A320AC" w:rsidRDefault="0059790B" w:rsidP="0059790B">
            <w:pPr>
              <w:jc w:val="right"/>
              <w:rPr>
                <w:rFonts w:cs="Arial"/>
                <w:b/>
                <w:sz w:val="16"/>
                <w:szCs w:val="16"/>
              </w:rPr>
            </w:pPr>
          </w:p>
        </w:tc>
        <w:tc>
          <w:tcPr>
            <w:tcW w:w="880" w:type="dxa"/>
            <w:shd w:val="clear" w:color="auto" w:fill="D9D9D9" w:themeFill="background1" w:themeFillShade="D9"/>
          </w:tcPr>
          <w:p w14:paraId="5A3E909F" w14:textId="77777777" w:rsidR="0059790B" w:rsidRPr="00A320AC" w:rsidRDefault="0059790B" w:rsidP="0059790B">
            <w:pPr>
              <w:jc w:val="right"/>
              <w:rPr>
                <w:rFonts w:cs="Arial"/>
                <w:b/>
                <w:sz w:val="16"/>
                <w:szCs w:val="16"/>
              </w:rPr>
            </w:pPr>
          </w:p>
        </w:tc>
        <w:tc>
          <w:tcPr>
            <w:tcW w:w="562" w:type="dxa"/>
            <w:shd w:val="clear" w:color="auto" w:fill="D9D9D9" w:themeFill="background1" w:themeFillShade="D9"/>
          </w:tcPr>
          <w:p w14:paraId="2D3F05B2" w14:textId="77777777" w:rsidR="0059790B" w:rsidRPr="00A320AC" w:rsidRDefault="0059790B" w:rsidP="0059790B">
            <w:pPr>
              <w:jc w:val="right"/>
              <w:rPr>
                <w:rFonts w:cs="Arial"/>
                <w:b/>
                <w:sz w:val="16"/>
                <w:szCs w:val="16"/>
              </w:rPr>
            </w:pPr>
          </w:p>
        </w:tc>
        <w:tc>
          <w:tcPr>
            <w:tcW w:w="880" w:type="dxa"/>
            <w:shd w:val="clear" w:color="auto" w:fill="D9D9D9" w:themeFill="background1" w:themeFillShade="D9"/>
          </w:tcPr>
          <w:p w14:paraId="65CA40A6" w14:textId="77777777" w:rsidR="0059790B" w:rsidRPr="00A320AC" w:rsidRDefault="0059790B" w:rsidP="0059790B">
            <w:pPr>
              <w:jc w:val="right"/>
              <w:rPr>
                <w:rFonts w:cs="Arial"/>
                <w:b/>
                <w:sz w:val="16"/>
                <w:szCs w:val="16"/>
              </w:rPr>
            </w:pPr>
          </w:p>
        </w:tc>
        <w:tc>
          <w:tcPr>
            <w:tcW w:w="562" w:type="dxa"/>
            <w:shd w:val="clear" w:color="auto" w:fill="D9D9D9" w:themeFill="background1" w:themeFillShade="D9"/>
          </w:tcPr>
          <w:p w14:paraId="1B1F08FB" w14:textId="77777777" w:rsidR="0059790B" w:rsidRPr="00A320AC" w:rsidRDefault="0059790B" w:rsidP="0059790B">
            <w:pPr>
              <w:jc w:val="right"/>
              <w:rPr>
                <w:rFonts w:cs="Arial"/>
                <w:b/>
                <w:sz w:val="16"/>
                <w:szCs w:val="16"/>
              </w:rPr>
            </w:pPr>
          </w:p>
        </w:tc>
        <w:tc>
          <w:tcPr>
            <w:tcW w:w="880" w:type="dxa"/>
          </w:tcPr>
          <w:p w14:paraId="10A85583" w14:textId="77777777" w:rsidR="0059790B" w:rsidRPr="00474424" w:rsidRDefault="0059790B" w:rsidP="0059790B">
            <w:pPr>
              <w:jc w:val="center"/>
              <w:rPr>
                <w:rFonts w:cs="Arial"/>
                <w:b/>
                <w:sz w:val="16"/>
                <w:szCs w:val="16"/>
              </w:rPr>
            </w:pPr>
            <w:r w:rsidRPr="00474424">
              <w:rPr>
                <w:rFonts w:cs="Arial"/>
                <w:color w:val="000000"/>
                <w:sz w:val="16"/>
                <w:szCs w:val="16"/>
              </w:rPr>
              <w:t>135</w:t>
            </w:r>
          </w:p>
        </w:tc>
        <w:tc>
          <w:tcPr>
            <w:tcW w:w="624" w:type="dxa"/>
          </w:tcPr>
          <w:p w14:paraId="24E52B47" w14:textId="77777777" w:rsidR="0059790B" w:rsidRPr="00474424" w:rsidRDefault="0059790B" w:rsidP="0059790B">
            <w:pPr>
              <w:jc w:val="center"/>
              <w:rPr>
                <w:rFonts w:cs="Arial"/>
                <w:b/>
                <w:sz w:val="16"/>
                <w:szCs w:val="16"/>
              </w:rPr>
            </w:pPr>
            <w:r w:rsidRPr="00474424">
              <w:rPr>
                <w:rFonts w:cs="Arial"/>
                <w:color w:val="000000"/>
                <w:sz w:val="16"/>
                <w:szCs w:val="16"/>
              </w:rPr>
              <w:t>128</w:t>
            </w:r>
          </w:p>
        </w:tc>
        <w:tc>
          <w:tcPr>
            <w:tcW w:w="880" w:type="dxa"/>
          </w:tcPr>
          <w:p w14:paraId="06BA0E79" w14:textId="77777777" w:rsidR="0059790B" w:rsidRPr="00474424" w:rsidRDefault="0059790B" w:rsidP="0059790B">
            <w:pPr>
              <w:jc w:val="center"/>
              <w:rPr>
                <w:rFonts w:cs="Arial"/>
                <w:b/>
                <w:sz w:val="16"/>
                <w:szCs w:val="16"/>
              </w:rPr>
            </w:pPr>
            <w:r w:rsidRPr="00474424">
              <w:rPr>
                <w:rFonts w:cs="Arial"/>
                <w:color w:val="000000"/>
                <w:sz w:val="16"/>
                <w:szCs w:val="16"/>
              </w:rPr>
              <w:t>97%</w:t>
            </w:r>
          </w:p>
        </w:tc>
        <w:tc>
          <w:tcPr>
            <w:tcW w:w="562" w:type="dxa"/>
          </w:tcPr>
          <w:p w14:paraId="2AC9FCF8" w14:textId="77777777" w:rsidR="0059790B" w:rsidRPr="00474424" w:rsidRDefault="0059790B" w:rsidP="0059790B">
            <w:pPr>
              <w:jc w:val="center"/>
              <w:rPr>
                <w:rFonts w:cs="Arial"/>
                <w:b/>
                <w:sz w:val="16"/>
                <w:szCs w:val="16"/>
              </w:rPr>
            </w:pPr>
            <w:r w:rsidRPr="00474424">
              <w:rPr>
                <w:rFonts w:cs="Arial"/>
                <w:color w:val="000000"/>
                <w:sz w:val="16"/>
                <w:szCs w:val="16"/>
              </w:rPr>
              <w:t>98%</w:t>
            </w:r>
          </w:p>
        </w:tc>
        <w:tc>
          <w:tcPr>
            <w:tcW w:w="880" w:type="dxa"/>
          </w:tcPr>
          <w:p w14:paraId="21FA74BC" w14:textId="77777777" w:rsidR="0059790B" w:rsidRPr="00474424" w:rsidRDefault="0059790B" w:rsidP="0059790B">
            <w:pPr>
              <w:jc w:val="center"/>
              <w:rPr>
                <w:rFonts w:cs="Arial"/>
                <w:b/>
                <w:sz w:val="16"/>
                <w:szCs w:val="16"/>
              </w:rPr>
            </w:pPr>
            <w:r w:rsidRPr="00474424">
              <w:rPr>
                <w:rFonts w:cs="Arial"/>
                <w:color w:val="000000"/>
                <w:sz w:val="16"/>
                <w:szCs w:val="16"/>
              </w:rPr>
              <w:t>19%</w:t>
            </w:r>
          </w:p>
        </w:tc>
        <w:tc>
          <w:tcPr>
            <w:tcW w:w="562" w:type="dxa"/>
          </w:tcPr>
          <w:p w14:paraId="205D2472" w14:textId="77777777" w:rsidR="0059790B" w:rsidRPr="00474424" w:rsidRDefault="0059790B" w:rsidP="0059790B">
            <w:pPr>
              <w:jc w:val="center"/>
              <w:rPr>
                <w:rFonts w:cs="Arial"/>
                <w:b/>
                <w:sz w:val="16"/>
                <w:szCs w:val="16"/>
              </w:rPr>
            </w:pPr>
            <w:r w:rsidRPr="00474424">
              <w:rPr>
                <w:rFonts w:cs="Arial"/>
                <w:color w:val="000000"/>
                <w:sz w:val="16"/>
                <w:szCs w:val="16"/>
              </w:rPr>
              <w:t>20%</w:t>
            </w:r>
          </w:p>
        </w:tc>
        <w:tc>
          <w:tcPr>
            <w:tcW w:w="880" w:type="dxa"/>
            <w:shd w:val="clear" w:color="auto" w:fill="D9D9D9" w:themeFill="background1" w:themeFillShade="D9"/>
          </w:tcPr>
          <w:p w14:paraId="304BDC37" w14:textId="77777777" w:rsidR="0059790B" w:rsidRPr="00A320AC" w:rsidRDefault="0059790B" w:rsidP="0059790B">
            <w:pPr>
              <w:jc w:val="right"/>
              <w:rPr>
                <w:rFonts w:cs="Arial"/>
                <w:b/>
                <w:sz w:val="16"/>
                <w:szCs w:val="16"/>
              </w:rPr>
            </w:pPr>
          </w:p>
        </w:tc>
        <w:tc>
          <w:tcPr>
            <w:tcW w:w="624" w:type="dxa"/>
            <w:shd w:val="clear" w:color="auto" w:fill="D9D9D9" w:themeFill="background1" w:themeFillShade="D9"/>
          </w:tcPr>
          <w:p w14:paraId="694C09A9" w14:textId="77777777" w:rsidR="0059790B" w:rsidRPr="00A320AC" w:rsidRDefault="0059790B" w:rsidP="0059790B">
            <w:pPr>
              <w:jc w:val="right"/>
              <w:rPr>
                <w:rFonts w:cs="Arial"/>
                <w:b/>
                <w:sz w:val="16"/>
                <w:szCs w:val="16"/>
              </w:rPr>
            </w:pPr>
          </w:p>
        </w:tc>
        <w:tc>
          <w:tcPr>
            <w:tcW w:w="880" w:type="dxa"/>
            <w:shd w:val="clear" w:color="auto" w:fill="D9D9D9" w:themeFill="background1" w:themeFillShade="D9"/>
          </w:tcPr>
          <w:p w14:paraId="251B96E0" w14:textId="77777777" w:rsidR="0059790B" w:rsidRPr="00A320AC" w:rsidRDefault="0059790B" w:rsidP="0059790B">
            <w:pPr>
              <w:jc w:val="right"/>
              <w:rPr>
                <w:rFonts w:cs="Arial"/>
                <w:b/>
                <w:sz w:val="16"/>
                <w:szCs w:val="16"/>
              </w:rPr>
            </w:pPr>
          </w:p>
        </w:tc>
        <w:tc>
          <w:tcPr>
            <w:tcW w:w="562" w:type="dxa"/>
            <w:shd w:val="clear" w:color="auto" w:fill="D9D9D9" w:themeFill="background1" w:themeFillShade="D9"/>
          </w:tcPr>
          <w:p w14:paraId="2E77DA3B" w14:textId="77777777" w:rsidR="0059790B" w:rsidRPr="00A320AC" w:rsidRDefault="0059790B" w:rsidP="0059790B">
            <w:pPr>
              <w:jc w:val="right"/>
              <w:rPr>
                <w:rFonts w:cs="Arial"/>
                <w:b/>
                <w:sz w:val="16"/>
                <w:szCs w:val="16"/>
              </w:rPr>
            </w:pPr>
          </w:p>
        </w:tc>
        <w:tc>
          <w:tcPr>
            <w:tcW w:w="880" w:type="dxa"/>
            <w:shd w:val="clear" w:color="auto" w:fill="D9D9D9" w:themeFill="background1" w:themeFillShade="D9"/>
          </w:tcPr>
          <w:p w14:paraId="46FBCE84" w14:textId="77777777" w:rsidR="0059790B" w:rsidRPr="00A320AC" w:rsidRDefault="0059790B" w:rsidP="0059790B">
            <w:pPr>
              <w:jc w:val="right"/>
              <w:rPr>
                <w:rFonts w:cs="Arial"/>
                <w:b/>
                <w:sz w:val="16"/>
                <w:szCs w:val="16"/>
              </w:rPr>
            </w:pPr>
          </w:p>
        </w:tc>
        <w:tc>
          <w:tcPr>
            <w:tcW w:w="562" w:type="dxa"/>
            <w:shd w:val="clear" w:color="auto" w:fill="D9D9D9" w:themeFill="background1" w:themeFillShade="D9"/>
          </w:tcPr>
          <w:p w14:paraId="452E89ED" w14:textId="77777777" w:rsidR="0059790B" w:rsidRPr="00A320AC" w:rsidRDefault="0059790B" w:rsidP="0059790B">
            <w:pPr>
              <w:jc w:val="right"/>
              <w:rPr>
                <w:rFonts w:cs="Arial"/>
                <w:b/>
                <w:sz w:val="16"/>
                <w:szCs w:val="16"/>
              </w:rPr>
            </w:pPr>
          </w:p>
        </w:tc>
      </w:tr>
      <w:tr w:rsidR="0059790B" w:rsidRPr="00C62592" w14:paraId="6239A9DD" w14:textId="77777777" w:rsidTr="0059790B">
        <w:trPr>
          <w:trHeight w:hRule="exact" w:val="680"/>
        </w:trPr>
        <w:tc>
          <w:tcPr>
            <w:tcW w:w="1055" w:type="dxa"/>
          </w:tcPr>
          <w:p w14:paraId="0BC693CE" w14:textId="77777777" w:rsidR="0059790B" w:rsidRPr="00A320AC" w:rsidRDefault="0059790B" w:rsidP="0059790B">
            <w:pPr>
              <w:jc w:val="center"/>
              <w:rPr>
                <w:rFonts w:cs="Arial"/>
                <w:b/>
                <w:sz w:val="16"/>
                <w:szCs w:val="16"/>
              </w:rPr>
            </w:pPr>
            <w:r w:rsidRPr="00A320AC">
              <w:rPr>
                <w:rFonts w:cs="Arial"/>
                <w:b/>
                <w:sz w:val="16"/>
                <w:szCs w:val="16"/>
              </w:rPr>
              <w:t>Splits for full-time students</w:t>
            </w:r>
          </w:p>
        </w:tc>
        <w:tc>
          <w:tcPr>
            <w:tcW w:w="880" w:type="dxa"/>
            <w:shd w:val="clear" w:color="auto" w:fill="D9D9D9" w:themeFill="background1" w:themeFillShade="D9"/>
          </w:tcPr>
          <w:p w14:paraId="5C20FBA2" w14:textId="77777777" w:rsidR="0059790B" w:rsidRPr="00A320AC" w:rsidRDefault="0059790B" w:rsidP="0059790B">
            <w:pPr>
              <w:jc w:val="right"/>
              <w:rPr>
                <w:rFonts w:cs="Arial"/>
                <w:b/>
                <w:sz w:val="16"/>
                <w:szCs w:val="16"/>
              </w:rPr>
            </w:pPr>
          </w:p>
        </w:tc>
        <w:tc>
          <w:tcPr>
            <w:tcW w:w="624" w:type="dxa"/>
            <w:shd w:val="clear" w:color="auto" w:fill="D9D9D9" w:themeFill="background1" w:themeFillShade="D9"/>
          </w:tcPr>
          <w:p w14:paraId="78625FB9" w14:textId="77777777" w:rsidR="0059790B" w:rsidRPr="00A320AC" w:rsidRDefault="0059790B" w:rsidP="0059790B">
            <w:pPr>
              <w:jc w:val="right"/>
              <w:rPr>
                <w:rFonts w:cs="Arial"/>
                <w:b/>
                <w:sz w:val="16"/>
                <w:szCs w:val="16"/>
              </w:rPr>
            </w:pPr>
          </w:p>
        </w:tc>
        <w:tc>
          <w:tcPr>
            <w:tcW w:w="880" w:type="dxa"/>
            <w:shd w:val="clear" w:color="auto" w:fill="D9D9D9" w:themeFill="background1" w:themeFillShade="D9"/>
          </w:tcPr>
          <w:p w14:paraId="70FF2F4B" w14:textId="77777777" w:rsidR="0059790B" w:rsidRPr="00A320AC" w:rsidRDefault="0059790B" w:rsidP="0059790B">
            <w:pPr>
              <w:jc w:val="right"/>
              <w:rPr>
                <w:rFonts w:cs="Arial"/>
                <w:b/>
                <w:sz w:val="16"/>
                <w:szCs w:val="16"/>
              </w:rPr>
            </w:pPr>
          </w:p>
        </w:tc>
        <w:tc>
          <w:tcPr>
            <w:tcW w:w="562" w:type="dxa"/>
            <w:shd w:val="clear" w:color="auto" w:fill="D9D9D9" w:themeFill="background1" w:themeFillShade="D9"/>
          </w:tcPr>
          <w:p w14:paraId="08C65074" w14:textId="77777777" w:rsidR="0059790B" w:rsidRPr="00A320AC" w:rsidRDefault="0059790B" w:rsidP="0059790B">
            <w:pPr>
              <w:jc w:val="right"/>
              <w:rPr>
                <w:rFonts w:cs="Arial"/>
                <w:b/>
                <w:sz w:val="16"/>
                <w:szCs w:val="16"/>
              </w:rPr>
            </w:pPr>
          </w:p>
        </w:tc>
        <w:tc>
          <w:tcPr>
            <w:tcW w:w="880" w:type="dxa"/>
            <w:shd w:val="clear" w:color="auto" w:fill="D9D9D9" w:themeFill="background1" w:themeFillShade="D9"/>
          </w:tcPr>
          <w:p w14:paraId="3B091D86" w14:textId="77777777" w:rsidR="0059790B" w:rsidRPr="00A320AC" w:rsidRDefault="0059790B" w:rsidP="0059790B">
            <w:pPr>
              <w:jc w:val="right"/>
              <w:rPr>
                <w:rFonts w:cs="Arial"/>
                <w:b/>
                <w:sz w:val="16"/>
                <w:szCs w:val="16"/>
              </w:rPr>
            </w:pPr>
          </w:p>
        </w:tc>
        <w:tc>
          <w:tcPr>
            <w:tcW w:w="562" w:type="dxa"/>
            <w:shd w:val="clear" w:color="auto" w:fill="D9D9D9" w:themeFill="background1" w:themeFillShade="D9"/>
          </w:tcPr>
          <w:p w14:paraId="67BE7E09" w14:textId="77777777" w:rsidR="0059790B" w:rsidRPr="00A320AC" w:rsidRDefault="0059790B" w:rsidP="0059790B">
            <w:pPr>
              <w:jc w:val="right"/>
              <w:rPr>
                <w:rFonts w:cs="Arial"/>
                <w:b/>
                <w:sz w:val="16"/>
                <w:szCs w:val="16"/>
              </w:rPr>
            </w:pPr>
          </w:p>
        </w:tc>
        <w:tc>
          <w:tcPr>
            <w:tcW w:w="880" w:type="dxa"/>
          </w:tcPr>
          <w:p w14:paraId="11F60FBD" w14:textId="77777777" w:rsidR="0059790B" w:rsidRPr="00474424" w:rsidRDefault="0059790B" w:rsidP="0059790B">
            <w:pPr>
              <w:jc w:val="center"/>
              <w:rPr>
                <w:rFonts w:cs="Arial"/>
                <w:b/>
                <w:sz w:val="16"/>
                <w:szCs w:val="16"/>
              </w:rPr>
            </w:pPr>
            <w:r w:rsidRPr="00474424">
              <w:rPr>
                <w:rFonts w:cs="Arial"/>
                <w:color w:val="000000"/>
                <w:sz w:val="16"/>
                <w:szCs w:val="16"/>
              </w:rPr>
              <w:t>1,350</w:t>
            </w:r>
          </w:p>
        </w:tc>
        <w:tc>
          <w:tcPr>
            <w:tcW w:w="624" w:type="dxa"/>
          </w:tcPr>
          <w:p w14:paraId="27C691CA" w14:textId="77777777" w:rsidR="0059790B" w:rsidRPr="00474424" w:rsidRDefault="0059790B" w:rsidP="0059790B">
            <w:pPr>
              <w:jc w:val="center"/>
              <w:rPr>
                <w:rFonts w:cs="Arial"/>
                <w:b/>
                <w:sz w:val="16"/>
                <w:szCs w:val="16"/>
              </w:rPr>
            </w:pPr>
            <w:r w:rsidRPr="00474424">
              <w:rPr>
                <w:rFonts w:cs="Arial"/>
                <w:color w:val="000000"/>
                <w:sz w:val="16"/>
                <w:szCs w:val="16"/>
              </w:rPr>
              <w:t>1,280</w:t>
            </w:r>
          </w:p>
        </w:tc>
        <w:tc>
          <w:tcPr>
            <w:tcW w:w="880" w:type="dxa"/>
          </w:tcPr>
          <w:p w14:paraId="07D3BAD8" w14:textId="77777777" w:rsidR="0059790B" w:rsidRPr="00474424" w:rsidRDefault="0059790B" w:rsidP="0059790B">
            <w:pPr>
              <w:jc w:val="center"/>
              <w:rPr>
                <w:rFonts w:cs="Arial"/>
                <w:b/>
                <w:sz w:val="16"/>
                <w:szCs w:val="16"/>
              </w:rPr>
            </w:pPr>
            <w:r w:rsidRPr="00474424">
              <w:rPr>
                <w:rFonts w:cs="Arial"/>
                <w:color w:val="000000"/>
                <w:sz w:val="16"/>
                <w:szCs w:val="16"/>
              </w:rPr>
              <w:t>93%</w:t>
            </w:r>
          </w:p>
        </w:tc>
        <w:tc>
          <w:tcPr>
            <w:tcW w:w="562" w:type="dxa"/>
          </w:tcPr>
          <w:p w14:paraId="60B39661" w14:textId="77777777" w:rsidR="0059790B" w:rsidRPr="00474424" w:rsidRDefault="0059790B" w:rsidP="0059790B">
            <w:pPr>
              <w:jc w:val="center"/>
              <w:rPr>
                <w:rFonts w:cs="Arial"/>
                <w:b/>
                <w:sz w:val="16"/>
                <w:szCs w:val="16"/>
              </w:rPr>
            </w:pPr>
            <w:r w:rsidRPr="00474424">
              <w:rPr>
                <w:rFonts w:cs="Arial"/>
                <w:color w:val="000000"/>
                <w:sz w:val="16"/>
                <w:szCs w:val="16"/>
              </w:rPr>
              <w:t>93%</w:t>
            </w:r>
          </w:p>
        </w:tc>
        <w:tc>
          <w:tcPr>
            <w:tcW w:w="880" w:type="dxa"/>
          </w:tcPr>
          <w:p w14:paraId="649D03FE" w14:textId="77777777" w:rsidR="0059790B" w:rsidRPr="00474424" w:rsidRDefault="0059790B" w:rsidP="0059790B">
            <w:pPr>
              <w:jc w:val="center"/>
              <w:rPr>
                <w:rFonts w:cs="Arial"/>
                <w:b/>
                <w:sz w:val="16"/>
                <w:szCs w:val="16"/>
              </w:rPr>
            </w:pPr>
            <w:r w:rsidRPr="00474424">
              <w:rPr>
                <w:rFonts w:cs="Arial"/>
                <w:color w:val="000000"/>
                <w:sz w:val="16"/>
                <w:szCs w:val="16"/>
              </w:rPr>
              <w:t>22%</w:t>
            </w:r>
          </w:p>
        </w:tc>
        <w:tc>
          <w:tcPr>
            <w:tcW w:w="562" w:type="dxa"/>
          </w:tcPr>
          <w:p w14:paraId="76AF11AB" w14:textId="77777777" w:rsidR="0059790B" w:rsidRPr="00474424" w:rsidRDefault="0059790B" w:rsidP="0059790B">
            <w:pPr>
              <w:jc w:val="center"/>
              <w:rPr>
                <w:rFonts w:cs="Arial"/>
                <w:b/>
                <w:sz w:val="16"/>
                <w:szCs w:val="16"/>
              </w:rPr>
            </w:pPr>
            <w:r w:rsidRPr="00474424">
              <w:rPr>
                <w:rFonts w:cs="Arial"/>
                <w:color w:val="000000"/>
                <w:sz w:val="16"/>
                <w:szCs w:val="16"/>
              </w:rPr>
              <w:t>19%</w:t>
            </w:r>
          </w:p>
        </w:tc>
        <w:tc>
          <w:tcPr>
            <w:tcW w:w="880" w:type="dxa"/>
            <w:shd w:val="clear" w:color="auto" w:fill="D9D9D9" w:themeFill="background1" w:themeFillShade="D9"/>
          </w:tcPr>
          <w:p w14:paraId="3545CAA1" w14:textId="77777777" w:rsidR="0059790B" w:rsidRPr="00A320AC" w:rsidRDefault="0059790B" w:rsidP="0059790B">
            <w:pPr>
              <w:jc w:val="right"/>
              <w:rPr>
                <w:rFonts w:cs="Arial"/>
                <w:b/>
                <w:sz w:val="16"/>
                <w:szCs w:val="16"/>
              </w:rPr>
            </w:pPr>
          </w:p>
        </w:tc>
        <w:tc>
          <w:tcPr>
            <w:tcW w:w="624" w:type="dxa"/>
            <w:shd w:val="clear" w:color="auto" w:fill="D9D9D9" w:themeFill="background1" w:themeFillShade="D9"/>
          </w:tcPr>
          <w:p w14:paraId="517B3F8E" w14:textId="77777777" w:rsidR="0059790B" w:rsidRPr="00A320AC" w:rsidRDefault="0059790B" w:rsidP="0059790B">
            <w:pPr>
              <w:jc w:val="right"/>
              <w:rPr>
                <w:rFonts w:cs="Arial"/>
                <w:b/>
                <w:sz w:val="16"/>
                <w:szCs w:val="16"/>
              </w:rPr>
            </w:pPr>
          </w:p>
        </w:tc>
        <w:tc>
          <w:tcPr>
            <w:tcW w:w="880" w:type="dxa"/>
            <w:shd w:val="clear" w:color="auto" w:fill="D9D9D9" w:themeFill="background1" w:themeFillShade="D9"/>
          </w:tcPr>
          <w:p w14:paraId="004205DA" w14:textId="77777777" w:rsidR="0059790B" w:rsidRPr="00A320AC" w:rsidRDefault="0059790B" w:rsidP="0059790B">
            <w:pPr>
              <w:jc w:val="right"/>
              <w:rPr>
                <w:rFonts w:cs="Arial"/>
                <w:b/>
                <w:sz w:val="16"/>
                <w:szCs w:val="16"/>
              </w:rPr>
            </w:pPr>
          </w:p>
        </w:tc>
        <w:tc>
          <w:tcPr>
            <w:tcW w:w="562" w:type="dxa"/>
            <w:shd w:val="clear" w:color="auto" w:fill="D9D9D9" w:themeFill="background1" w:themeFillShade="D9"/>
          </w:tcPr>
          <w:p w14:paraId="7FE738CF" w14:textId="77777777" w:rsidR="0059790B" w:rsidRPr="00A320AC" w:rsidRDefault="0059790B" w:rsidP="0059790B">
            <w:pPr>
              <w:jc w:val="right"/>
              <w:rPr>
                <w:rFonts w:cs="Arial"/>
                <w:b/>
                <w:sz w:val="16"/>
                <w:szCs w:val="16"/>
              </w:rPr>
            </w:pPr>
          </w:p>
        </w:tc>
        <w:tc>
          <w:tcPr>
            <w:tcW w:w="880" w:type="dxa"/>
            <w:shd w:val="clear" w:color="auto" w:fill="D9D9D9" w:themeFill="background1" w:themeFillShade="D9"/>
          </w:tcPr>
          <w:p w14:paraId="647B5B61" w14:textId="77777777" w:rsidR="0059790B" w:rsidRPr="00A320AC" w:rsidRDefault="0059790B" w:rsidP="0059790B">
            <w:pPr>
              <w:jc w:val="right"/>
              <w:rPr>
                <w:rFonts w:cs="Arial"/>
                <w:b/>
                <w:sz w:val="16"/>
                <w:szCs w:val="16"/>
              </w:rPr>
            </w:pPr>
          </w:p>
        </w:tc>
        <w:tc>
          <w:tcPr>
            <w:tcW w:w="562" w:type="dxa"/>
            <w:shd w:val="clear" w:color="auto" w:fill="D9D9D9" w:themeFill="background1" w:themeFillShade="D9"/>
          </w:tcPr>
          <w:p w14:paraId="6B6D7BF7" w14:textId="77777777" w:rsidR="0059790B" w:rsidRPr="00A320AC" w:rsidRDefault="0059790B" w:rsidP="0059790B">
            <w:pPr>
              <w:jc w:val="right"/>
              <w:rPr>
                <w:rFonts w:cs="Arial"/>
                <w:b/>
                <w:sz w:val="16"/>
                <w:szCs w:val="16"/>
              </w:rPr>
            </w:pPr>
          </w:p>
        </w:tc>
      </w:tr>
      <w:tr w:rsidR="0059790B" w:rsidRPr="00C62592" w14:paraId="470DD26B" w14:textId="77777777" w:rsidTr="0059790B">
        <w:trPr>
          <w:trHeight w:hRule="exact" w:val="680"/>
        </w:trPr>
        <w:tc>
          <w:tcPr>
            <w:tcW w:w="1055" w:type="dxa"/>
          </w:tcPr>
          <w:p w14:paraId="59367C4B" w14:textId="77777777" w:rsidR="0059790B" w:rsidRPr="00A320AC" w:rsidRDefault="0059790B" w:rsidP="0059790B">
            <w:pPr>
              <w:jc w:val="center"/>
              <w:rPr>
                <w:rFonts w:cs="Arial"/>
                <w:b/>
                <w:sz w:val="16"/>
                <w:szCs w:val="16"/>
              </w:rPr>
            </w:pPr>
            <w:r w:rsidRPr="00A320AC">
              <w:rPr>
                <w:rFonts w:cs="Arial"/>
                <w:b/>
                <w:sz w:val="16"/>
                <w:szCs w:val="16"/>
              </w:rPr>
              <w:t>Part-time students</w:t>
            </w:r>
          </w:p>
        </w:tc>
        <w:tc>
          <w:tcPr>
            <w:tcW w:w="880" w:type="dxa"/>
            <w:shd w:val="clear" w:color="auto" w:fill="D9D9D9" w:themeFill="background1" w:themeFillShade="D9"/>
          </w:tcPr>
          <w:p w14:paraId="1A4B3080" w14:textId="77777777" w:rsidR="0059790B" w:rsidRPr="00A320AC" w:rsidRDefault="0059790B" w:rsidP="0059790B">
            <w:pPr>
              <w:jc w:val="right"/>
              <w:rPr>
                <w:rFonts w:cs="Arial"/>
                <w:b/>
                <w:sz w:val="16"/>
                <w:szCs w:val="16"/>
              </w:rPr>
            </w:pPr>
          </w:p>
        </w:tc>
        <w:tc>
          <w:tcPr>
            <w:tcW w:w="624" w:type="dxa"/>
            <w:shd w:val="clear" w:color="auto" w:fill="D9D9D9" w:themeFill="background1" w:themeFillShade="D9"/>
          </w:tcPr>
          <w:p w14:paraId="51905D84" w14:textId="77777777" w:rsidR="0059790B" w:rsidRPr="00A320AC" w:rsidRDefault="0059790B" w:rsidP="0059790B">
            <w:pPr>
              <w:jc w:val="right"/>
              <w:rPr>
                <w:rFonts w:cs="Arial"/>
                <w:b/>
                <w:sz w:val="16"/>
                <w:szCs w:val="16"/>
              </w:rPr>
            </w:pPr>
          </w:p>
        </w:tc>
        <w:tc>
          <w:tcPr>
            <w:tcW w:w="880" w:type="dxa"/>
            <w:shd w:val="clear" w:color="auto" w:fill="D9D9D9" w:themeFill="background1" w:themeFillShade="D9"/>
          </w:tcPr>
          <w:p w14:paraId="2A606194" w14:textId="77777777" w:rsidR="0059790B" w:rsidRPr="00A320AC" w:rsidRDefault="0059790B" w:rsidP="0059790B">
            <w:pPr>
              <w:jc w:val="right"/>
              <w:rPr>
                <w:rFonts w:cs="Arial"/>
                <w:b/>
                <w:sz w:val="16"/>
                <w:szCs w:val="16"/>
              </w:rPr>
            </w:pPr>
          </w:p>
        </w:tc>
        <w:tc>
          <w:tcPr>
            <w:tcW w:w="562" w:type="dxa"/>
            <w:shd w:val="clear" w:color="auto" w:fill="D9D9D9" w:themeFill="background1" w:themeFillShade="D9"/>
          </w:tcPr>
          <w:p w14:paraId="4E8C2F53" w14:textId="77777777" w:rsidR="0059790B" w:rsidRPr="00A320AC" w:rsidRDefault="0059790B" w:rsidP="0059790B">
            <w:pPr>
              <w:jc w:val="right"/>
              <w:rPr>
                <w:rFonts w:cs="Arial"/>
                <w:b/>
                <w:sz w:val="16"/>
                <w:szCs w:val="16"/>
              </w:rPr>
            </w:pPr>
          </w:p>
        </w:tc>
        <w:tc>
          <w:tcPr>
            <w:tcW w:w="880" w:type="dxa"/>
            <w:shd w:val="clear" w:color="auto" w:fill="D9D9D9" w:themeFill="background1" w:themeFillShade="D9"/>
          </w:tcPr>
          <w:p w14:paraId="730064B5" w14:textId="77777777" w:rsidR="0059790B" w:rsidRPr="00A320AC" w:rsidRDefault="0059790B" w:rsidP="0059790B">
            <w:pPr>
              <w:jc w:val="right"/>
              <w:rPr>
                <w:rFonts w:cs="Arial"/>
                <w:b/>
                <w:sz w:val="16"/>
                <w:szCs w:val="16"/>
              </w:rPr>
            </w:pPr>
          </w:p>
        </w:tc>
        <w:tc>
          <w:tcPr>
            <w:tcW w:w="562" w:type="dxa"/>
            <w:shd w:val="clear" w:color="auto" w:fill="D9D9D9" w:themeFill="background1" w:themeFillShade="D9"/>
          </w:tcPr>
          <w:p w14:paraId="7124609F" w14:textId="77777777" w:rsidR="0059790B" w:rsidRPr="00A320AC" w:rsidRDefault="0059790B" w:rsidP="0059790B">
            <w:pPr>
              <w:jc w:val="right"/>
              <w:rPr>
                <w:rFonts w:cs="Arial"/>
                <w:b/>
                <w:sz w:val="16"/>
                <w:szCs w:val="16"/>
              </w:rPr>
            </w:pPr>
          </w:p>
        </w:tc>
        <w:tc>
          <w:tcPr>
            <w:tcW w:w="880" w:type="dxa"/>
          </w:tcPr>
          <w:p w14:paraId="1B9BB11F" w14:textId="77777777" w:rsidR="0059790B" w:rsidRPr="00474424" w:rsidRDefault="0059790B" w:rsidP="0059790B">
            <w:pPr>
              <w:jc w:val="center"/>
              <w:rPr>
                <w:rFonts w:cs="Arial"/>
                <w:b/>
                <w:sz w:val="16"/>
                <w:szCs w:val="16"/>
              </w:rPr>
            </w:pPr>
            <w:r w:rsidRPr="00474424">
              <w:rPr>
                <w:rFonts w:cs="Arial"/>
                <w:color w:val="000000"/>
                <w:sz w:val="16"/>
                <w:szCs w:val="16"/>
              </w:rPr>
              <w:t>130</w:t>
            </w:r>
          </w:p>
        </w:tc>
        <w:tc>
          <w:tcPr>
            <w:tcW w:w="624" w:type="dxa"/>
          </w:tcPr>
          <w:p w14:paraId="3EE6A164" w14:textId="77777777" w:rsidR="0059790B" w:rsidRPr="00474424" w:rsidRDefault="0059790B" w:rsidP="0059790B">
            <w:pPr>
              <w:jc w:val="center"/>
              <w:rPr>
                <w:rFonts w:cs="Arial"/>
                <w:b/>
                <w:sz w:val="16"/>
                <w:szCs w:val="16"/>
              </w:rPr>
            </w:pPr>
            <w:r w:rsidRPr="00474424">
              <w:rPr>
                <w:rFonts w:cs="Arial"/>
                <w:color w:val="000000"/>
                <w:sz w:val="16"/>
                <w:szCs w:val="16"/>
              </w:rPr>
              <w:t>130</w:t>
            </w:r>
          </w:p>
        </w:tc>
        <w:tc>
          <w:tcPr>
            <w:tcW w:w="880" w:type="dxa"/>
          </w:tcPr>
          <w:p w14:paraId="30CA5CD6" w14:textId="77777777" w:rsidR="0059790B" w:rsidRPr="00474424" w:rsidRDefault="0059790B" w:rsidP="0059790B">
            <w:pPr>
              <w:jc w:val="center"/>
              <w:rPr>
                <w:rFonts w:cs="Arial"/>
                <w:b/>
                <w:sz w:val="16"/>
                <w:szCs w:val="16"/>
              </w:rPr>
            </w:pPr>
            <w:r w:rsidRPr="00474424">
              <w:rPr>
                <w:rFonts w:cs="Arial"/>
                <w:color w:val="000000"/>
                <w:sz w:val="16"/>
                <w:szCs w:val="16"/>
              </w:rPr>
              <w:t>73%</w:t>
            </w:r>
          </w:p>
        </w:tc>
        <w:tc>
          <w:tcPr>
            <w:tcW w:w="562" w:type="dxa"/>
          </w:tcPr>
          <w:p w14:paraId="5E58399C" w14:textId="77777777" w:rsidR="0059790B" w:rsidRPr="00474424" w:rsidRDefault="0059790B" w:rsidP="0059790B">
            <w:pPr>
              <w:jc w:val="center"/>
              <w:rPr>
                <w:rFonts w:cs="Arial"/>
                <w:b/>
                <w:sz w:val="16"/>
                <w:szCs w:val="16"/>
              </w:rPr>
            </w:pPr>
            <w:r w:rsidRPr="00474424">
              <w:rPr>
                <w:rFonts w:cs="Arial"/>
                <w:color w:val="000000"/>
                <w:sz w:val="16"/>
                <w:szCs w:val="16"/>
              </w:rPr>
              <w:t>65%</w:t>
            </w:r>
          </w:p>
        </w:tc>
        <w:tc>
          <w:tcPr>
            <w:tcW w:w="880" w:type="dxa"/>
          </w:tcPr>
          <w:p w14:paraId="79A6F487" w14:textId="77777777" w:rsidR="0059790B" w:rsidRPr="00474424" w:rsidRDefault="0059790B" w:rsidP="0059790B">
            <w:pPr>
              <w:jc w:val="center"/>
              <w:rPr>
                <w:rFonts w:cs="Arial"/>
                <w:b/>
                <w:sz w:val="16"/>
                <w:szCs w:val="16"/>
              </w:rPr>
            </w:pPr>
            <w:r w:rsidRPr="00474424">
              <w:rPr>
                <w:rFonts w:cs="Arial"/>
                <w:color w:val="000000"/>
                <w:sz w:val="16"/>
                <w:szCs w:val="16"/>
              </w:rPr>
              <w:t>43%</w:t>
            </w:r>
          </w:p>
        </w:tc>
        <w:tc>
          <w:tcPr>
            <w:tcW w:w="562" w:type="dxa"/>
          </w:tcPr>
          <w:p w14:paraId="14FFDD9A" w14:textId="77777777" w:rsidR="0059790B" w:rsidRPr="00474424" w:rsidRDefault="0059790B" w:rsidP="0059790B">
            <w:pPr>
              <w:jc w:val="center"/>
              <w:rPr>
                <w:rFonts w:cs="Arial"/>
                <w:b/>
                <w:sz w:val="16"/>
                <w:szCs w:val="16"/>
              </w:rPr>
            </w:pPr>
            <w:r w:rsidRPr="00474424">
              <w:rPr>
                <w:rFonts w:cs="Arial"/>
                <w:color w:val="000000"/>
                <w:sz w:val="16"/>
                <w:szCs w:val="16"/>
              </w:rPr>
              <w:t>32%</w:t>
            </w:r>
          </w:p>
        </w:tc>
        <w:tc>
          <w:tcPr>
            <w:tcW w:w="880" w:type="dxa"/>
            <w:shd w:val="clear" w:color="auto" w:fill="D9D9D9" w:themeFill="background1" w:themeFillShade="D9"/>
          </w:tcPr>
          <w:p w14:paraId="36E5087B" w14:textId="77777777" w:rsidR="0059790B" w:rsidRPr="00A320AC" w:rsidRDefault="0059790B" w:rsidP="0059790B">
            <w:pPr>
              <w:jc w:val="right"/>
              <w:rPr>
                <w:rFonts w:cs="Arial"/>
                <w:b/>
                <w:sz w:val="16"/>
                <w:szCs w:val="16"/>
              </w:rPr>
            </w:pPr>
          </w:p>
        </w:tc>
        <w:tc>
          <w:tcPr>
            <w:tcW w:w="624" w:type="dxa"/>
            <w:shd w:val="clear" w:color="auto" w:fill="D9D9D9" w:themeFill="background1" w:themeFillShade="D9"/>
          </w:tcPr>
          <w:p w14:paraId="0B831E9E" w14:textId="77777777" w:rsidR="0059790B" w:rsidRPr="00A320AC" w:rsidRDefault="0059790B" w:rsidP="0059790B">
            <w:pPr>
              <w:jc w:val="right"/>
              <w:rPr>
                <w:rFonts w:cs="Arial"/>
                <w:b/>
                <w:sz w:val="16"/>
                <w:szCs w:val="16"/>
              </w:rPr>
            </w:pPr>
          </w:p>
        </w:tc>
        <w:tc>
          <w:tcPr>
            <w:tcW w:w="880" w:type="dxa"/>
            <w:shd w:val="clear" w:color="auto" w:fill="D9D9D9" w:themeFill="background1" w:themeFillShade="D9"/>
          </w:tcPr>
          <w:p w14:paraId="403A5543" w14:textId="77777777" w:rsidR="0059790B" w:rsidRPr="00A320AC" w:rsidRDefault="0059790B" w:rsidP="0059790B">
            <w:pPr>
              <w:jc w:val="right"/>
              <w:rPr>
                <w:rFonts w:cs="Arial"/>
                <w:b/>
                <w:sz w:val="16"/>
                <w:szCs w:val="16"/>
              </w:rPr>
            </w:pPr>
          </w:p>
        </w:tc>
        <w:tc>
          <w:tcPr>
            <w:tcW w:w="562" w:type="dxa"/>
            <w:shd w:val="clear" w:color="auto" w:fill="D9D9D9" w:themeFill="background1" w:themeFillShade="D9"/>
          </w:tcPr>
          <w:p w14:paraId="18E5B838" w14:textId="77777777" w:rsidR="0059790B" w:rsidRPr="00A320AC" w:rsidRDefault="0059790B" w:rsidP="0059790B">
            <w:pPr>
              <w:jc w:val="right"/>
              <w:rPr>
                <w:rFonts w:cs="Arial"/>
                <w:b/>
                <w:sz w:val="16"/>
                <w:szCs w:val="16"/>
              </w:rPr>
            </w:pPr>
          </w:p>
        </w:tc>
        <w:tc>
          <w:tcPr>
            <w:tcW w:w="880" w:type="dxa"/>
            <w:shd w:val="clear" w:color="auto" w:fill="D9D9D9" w:themeFill="background1" w:themeFillShade="D9"/>
          </w:tcPr>
          <w:p w14:paraId="3FD8FDC2" w14:textId="77777777" w:rsidR="0059790B" w:rsidRPr="00A320AC" w:rsidRDefault="0059790B" w:rsidP="0059790B">
            <w:pPr>
              <w:jc w:val="right"/>
              <w:rPr>
                <w:rFonts w:cs="Arial"/>
                <w:b/>
                <w:sz w:val="16"/>
                <w:szCs w:val="16"/>
              </w:rPr>
            </w:pPr>
          </w:p>
        </w:tc>
        <w:tc>
          <w:tcPr>
            <w:tcW w:w="562" w:type="dxa"/>
            <w:shd w:val="clear" w:color="auto" w:fill="D9D9D9" w:themeFill="background1" w:themeFillShade="D9"/>
          </w:tcPr>
          <w:p w14:paraId="028BC4E9" w14:textId="77777777" w:rsidR="0059790B" w:rsidRPr="00A320AC" w:rsidRDefault="0059790B" w:rsidP="0059790B">
            <w:pPr>
              <w:jc w:val="right"/>
              <w:rPr>
                <w:rFonts w:cs="Arial"/>
                <w:b/>
                <w:sz w:val="16"/>
                <w:szCs w:val="16"/>
              </w:rPr>
            </w:pPr>
          </w:p>
        </w:tc>
      </w:tr>
      <w:tr w:rsidR="0059790B" w:rsidRPr="00C62592" w14:paraId="2BD91C25" w14:textId="77777777" w:rsidTr="0059790B">
        <w:trPr>
          <w:trHeight w:hRule="exact" w:val="680"/>
        </w:trPr>
        <w:tc>
          <w:tcPr>
            <w:tcW w:w="1055" w:type="dxa"/>
          </w:tcPr>
          <w:p w14:paraId="784E406A" w14:textId="77777777" w:rsidR="0059790B" w:rsidRPr="00A320AC" w:rsidRDefault="0059790B" w:rsidP="0059790B">
            <w:pPr>
              <w:jc w:val="center"/>
              <w:rPr>
                <w:rFonts w:cs="Arial"/>
                <w:b/>
                <w:sz w:val="16"/>
                <w:szCs w:val="16"/>
              </w:rPr>
            </w:pPr>
            <w:r w:rsidRPr="00A320AC">
              <w:rPr>
                <w:rFonts w:cs="Arial"/>
                <w:b/>
                <w:sz w:val="16"/>
                <w:szCs w:val="16"/>
              </w:rPr>
              <w:t>Splits for part-time students</w:t>
            </w:r>
          </w:p>
        </w:tc>
        <w:tc>
          <w:tcPr>
            <w:tcW w:w="880" w:type="dxa"/>
            <w:shd w:val="clear" w:color="auto" w:fill="D9D9D9" w:themeFill="background1" w:themeFillShade="D9"/>
          </w:tcPr>
          <w:p w14:paraId="6D0A28C7" w14:textId="77777777" w:rsidR="0059790B" w:rsidRPr="00A320AC" w:rsidRDefault="0059790B" w:rsidP="0059790B">
            <w:pPr>
              <w:jc w:val="right"/>
              <w:rPr>
                <w:rFonts w:cs="Arial"/>
                <w:b/>
                <w:sz w:val="16"/>
                <w:szCs w:val="16"/>
              </w:rPr>
            </w:pPr>
          </w:p>
        </w:tc>
        <w:tc>
          <w:tcPr>
            <w:tcW w:w="624" w:type="dxa"/>
            <w:shd w:val="clear" w:color="auto" w:fill="D9D9D9" w:themeFill="background1" w:themeFillShade="D9"/>
          </w:tcPr>
          <w:p w14:paraId="39CB4750" w14:textId="77777777" w:rsidR="0059790B" w:rsidRPr="00A320AC" w:rsidRDefault="0059790B" w:rsidP="0059790B">
            <w:pPr>
              <w:jc w:val="right"/>
              <w:rPr>
                <w:rFonts w:cs="Arial"/>
                <w:b/>
                <w:sz w:val="16"/>
                <w:szCs w:val="16"/>
              </w:rPr>
            </w:pPr>
          </w:p>
        </w:tc>
        <w:tc>
          <w:tcPr>
            <w:tcW w:w="880" w:type="dxa"/>
            <w:shd w:val="clear" w:color="auto" w:fill="D9D9D9" w:themeFill="background1" w:themeFillShade="D9"/>
          </w:tcPr>
          <w:p w14:paraId="467BACFE" w14:textId="77777777" w:rsidR="0059790B" w:rsidRPr="00A320AC" w:rsidRDefault="0059790B" w:rsidP="0059790B">
            <w:pPr>
              <w:jc w:val="right"/>
              <w:rPr>
                <w:rFonts w:cs="Arial"/>
                <w:b/>
                <w:sz w:val="16"/>
                <w:szCs w:val="16"/>
              </w:rPr>
            </w:pPr>
          </w:p>
        </w:tc>
        <w:tc>
          <w:tcPr>
            <w:tcW w:w="562" w:type="dxa"/>
            <w:shd w:val="clear" w:color="auto" w:fill="D9D9D9" w:themeFill="background1" w:themeFillShade="D9"/>
          </w:tcPr>
          <w:p w14:paraId="11A85974" w14:textId="77777777" w:rsidR="0059790B" w:rsidRPr="00A320AC" w:rsidRDefault="0059790B" w:rsidP="0059790B">
            <w:pPr>
              <w:jc w:val="right"/>
              <w:rPr>
                <w:rFonts w:cs="Arial"/>
                <w:b/>
                <w:sz w:val="16"/>
                <w:szCs w:val="16"/>
              </w:rPr>
            </w:pPr>
          </w:p>
        </w:tc>
        <w:tc>
          <w:tcPr>
            <w:tcW w:w="880" w:type="dxa"/>
            <w:shd w:val="clear" w:color="auto" w:fill="D9D9D9" w:themeFill="background1" w:themeFillShade="D9"/>
          </w:tcPr>
          <w:p w14:paraId="027C6E11" w14:textId="77777777" w:rsidR="0059790B" w:rsidRPr="00A320AC" w:rsidRDefault="0059790B" w:rsidP="0059790B">
            <w:pPr>
              <w:jc w:val="right"/>
              <w:rPr>
                <w:rFonts w:cs="Arial"/>
                <w:b/>
                <w:sz w:val="16"/>
                <w:szCs w:val="16"/>
              </w:rPr>
            </w:pPr>
          </w:p>
        </w:tc>
        <w:tc>
          <w:tcPr>
            <w:tcW w:w="562" w:type="dxa"/>
            <w:shd w:val="clear" w:color="auto" w:fill="D9D9D9" w:themeFill="background1" w:themeFillShade="D9"/>
          </w:tcPr>
          <w:p w14:paraId="7A973B1E" w14:textId="77777777" w:rsidR="0059790B" w:rsidRPr="00A320AC" w:rsidRDefault="0059790B" w:rsidP="0059790B">
            <w:pPr>
              <w:jc w:val="right"/>
              <w:rPr>
                <w:rFonts w:cs="Arial"/>
                <w:b/>
                <w:sz w:val="16"/>
                <w:szCs w:val="16"/>
              </w:rPr>
            </w:pPr>
          </w:p>
        </w:tc>
        <w:tc>
          <w:tcPr>
            <w:tcW w:w="880" w:type="dxa"/>
          </w:tcPr>
          <w:p w14:paraId="16C3EFE7" w14:textId="77777777" w:rsidR="0059790B" w:rsidRPr="00474424" w:rsidRDefault="0059790B" w:rsidP="0059790B">
            <w:pPr>
              <w:jc w:val="center"/>
              <w:rPr>
                <w:rFonts w:cs="Arial"/>
                <w:b/>
                <w:sz w:val="16"/>
                <w:szCs w:val="16"/>
              </w:rPr>
            </w:pPr>
            <w:r w:rsidRPr="00474424">
              <w:rPr>
                <w:rFonts w:cs="Arial"/>
                <w:color w:val="000000"/>
                <w:sz w:val="16"/>
                <w:szCs w:val="16"/>
              </w:rPr>
              <w:t>1,040</w:t>
            </w:r>
          </w:p>
        </w:tc>
        <w:tc>
          <w:tcPr>
            <w:tcW w:w="624" w:type="dxa"/>
          </w:tcPr>
          <w:p w14:paraId="75D74103" w14:textId="77777777" w:rsidR="0059790B" w:rsidRPr="00474424" w:rsidRDefault="0059790B" w:rsidP="0059790B">
            <w:pPr>
              <w:jc w:val="center"/>
              <w:rPr>
                <w:rFonts w:cs="Arial"/>
                <w:b/>
                <w:sz w:val="16"/>
                <w:szCs w:val="16"/>
              </w:rPr>
            </w:pPr>
            <w:r w:rsidRPr="00474424">
              <w:rPr>
                <w:rFonts w:cs="Arial"/>
                <w:color w:val="000000"/>
                <w:sz w:val="16"/>
                <w:szCs w:val="16"/>
              </w:rPr>
              <w:t>1,040</w:t>
            </w:r>
          </w:p>
        </w:tc>
        <w:tc>
          <w:tcPr>
            <w:tcW w:w="880" w:type="dxa"/>
          </w:tcPr>
          <w:p w14:paraId="5DE616F6" w14:textId="77777777" w:rsidR="0059790B" w:rsidRPr="00474424" w:rsidRDefault="0059790B" w:rsidP="0059790B">
            <w:pPr>
              <w:jc w:val="center"/>
              <w:rPr>
                <w:rFonts w:cs="Arial"/>
                <w:b/>
                <w:sz w:val="16"/>
                <w:szCs w:val="16"/>
              </w:rPr>
            </w:pPr>
            <w:r w:rsidRPr="00474424">
              <w:rPr>
                <w:rFonts w:cs="Arial"/>
                <w:color w:val="000000"/>
                <w:sz w:val="16"/>
                <w:szCs w:val="16"/>
              </w:rPr>
              <w:t>62%</w:t>
            </w:r>
          </w:p>
        </w:tc>
        <w:tc>
          <w:tcPr>
            <w:tcW w:w="562" w:type="dxa"/>
          </w:tcPr>
          <w:p w14:paraId="5F0BB368" w14:textId="77777777" w:rsidR="0059790B" w:rsidRPr="00474424" w:rsidRDefault="0059790B" w:rsidP="0059790B">
            <w:pPr>
              <w:jc w:val="center"/>
              <w:rPr>
                <w:rFonts w:cs="Arial"/>
                <w:b/>
                <w:sz w:val="16"/>
                <w:szCs w:val="16"/>
              </w:rPr>
            </w:pPr>
            <w:r w:rsidRPr="00474424">
              <w:rPr>
                <w:rFonts w:cs="Arial"/>
                <w:color w:val="000000"/>
                <w:sz w:val="16"/>
                <w:szCs w:val="16"/>
              </w:rPr>
              <w:t>50%</w:t>
            </w:r>
          </w:p>
        </w:tc>
        <w:tc>
          <w:tcPr>
            <w:tcW w:w="880" w:type="dxa"/>
          </w:tcPr>
          <w:p w14:paraId="5EEE8707" w14:textId="77777777" w:rsidR="0059790B" w:rsidRPr="00474424" w:rsidRDefault="0059790B" w:rsidP="0059790B">
            <w:pPr>
              <w:jc w:val="center"/>
              <w:rPr>
                <w:rFonts w:cs="Arial"/>
                <w:b/>
                <w:sz w:val="16"/>
                <w:szCs w:val="16"/>
              </w:rPr>
            </w:pPr>
            <w:r w:rsidRPr="00474424">
              <w:rPr>
                <w:rFonts w:cs="Arial"/>
                <w:color w:val="000000"/>
                <w:sz w:val="16"/>
                <w:szCs w:val="16"/>
              </w:rPr>
              <w:t>31%</w:t>
            </w:r>
          </w:p>
        </w:tc>
        <w:tc>
          <w:tcPr>
            <w:tcW w:w="562" w:type="dxa"/>
          </w:tcPr>
          <w:p w14:paraId="7FBF071C" w14:textId="77777777" w:rsidR="0059790B" w:rsidRPr="00474424" w:rsidRDefault="0059790B" w:rsidP="0059790B">
            <w:pPr>
              <w:jc w:val="center"/>
              <w:rPr>
                <w:rFonts w:cs="Arial"/>
                <w:b/>
                <w:sz w:val="16"/>
                <w:szCs w:val="16"/>
              </w:rPr>
            </w:pPr>
            <w:r w:rsidRPr="00474424">
              <w:rPr>
                <w:rFonts w:cs="Arial"/>
                <w:color w:val="000000"/>
                <w:sz w:val="16"/>
                <w:szCs w:val="16"/>
              </w:rPr>
              <w:t>23%</w:t>
            </w:r>
          </w:p>
        </w:tc>
        <w:tc>
          <w:tcPr>
            <w:tcW w:w="880" w:type="dxa"/>
            <w:shd w:val="clear" w:color="auto" w:fill="D9D9D9" w:themeFill="background1" w:themeFillShade="D9"/>
          </w:tcPr>
          <w:p w14:paraId="5E80A8C4" w14:textId="77777777" w:rsidR="0059790B" w:rsidRPr="00A320AC" w:rsidRDefault="0059790B" w:rsidP="0059790B">
            <w:pPr>
              <w:jc w:val="right"/>
              <w:rPr>
                <w:rFonts w:cs="Arial"/>
                <w:b/>
                <w:sz w:val="16"/>
                <w:szCs w:val="16"/>
              </w:rPr>
            </w:pPr>
          </w:p>
        </w:tc>
        <w:tc>
          <w:tcPr>
            <w:tcW w:w="624" w:type="dxa"/>
            <w:shd w:val="clear" w:color="auto" w:fill="D9D9D9" w:themeFill="background1" w:themeFillShade="D9"/>
          </w:tcPr>
          <w:p w14:paraId="08D7611D" w14:textId="77777777" w:rsidR="0059790B" w:rsidRPr="00A320AC" w:rsidRDefault="0059790B" w:rsidP="0059790B">
            <w:pPr>
              <w:jc w:val="right"/>
              <w:rPr>
                <w:rFonts w:cs="Arial"/>
                <w:b/>
                <w:sz w:val="16"/>
                <w:szCs w:val="16"/>
              </w:rPr>
            </w:pPr>
          </w:p>
        </w:tc>
        <w:tc>
          <w:tcPr>
            <w:tcW w:w="880" w:type="dxa"/>
            <w:shd w:val="clear" w:color="auto" w:fill="D9D9D9" w:themeFill="background1" w:themeFillShade="D9"/>
          </w:tcPr>
          <w:p w14:paraId="49B55D51" w14:textId="77777777" w:rsidR="0059790B" w:rsidRPr="00A320AC" w:rsidRDefault="0059790B" w:rsidP="0059790B">
            <w:pPr>
              <w:jc w:val="right"/>
              <w:rPr>
                <w:rFonts w:cs="Arial"/>
                <w:b/>
                <w:sz w:val="16"/>
                <w:szCs w:val="16"/>
              </w:rPr>
            </w:pPr>
          </w:p>
        </w:tc>
        <w:tc>
          <w:tcPr>
            <w:tcW w:w="562" w:type="dxa"/>
            <w:shd w:val="clear" w:color="auto" w:fill="D9D9D9" w:themeFill="background1" w:themeFillShade="D9"/>
          </w:tcPr>
          <w:p w14:paraId="4DC9C6B7" w14:textId="77777777" w:rsidR="0059790B" w:rsidRPr="00A320AC" w:rsidRDefault="0059790B" w:rsidP="0059790B">
            <w:pPr>
              <w:jc w:val="right"/>
              <w:rPr>
                <w:rFonts w:cs="Arial"/>
                <w:b/>
                <w:sz w:val="16"/>
                <w:szCs w:val="16"/>
              </w:rPr>
            </w:pPr>
          </w:p>
        </w:tc>
        <w:tc>
          <w:tcPr>
            <w:tcW w:w="880" w:type="dxa"/>
            <w:shd w:val="clear" w:color="auto" w:fill="D9D9D9" w:themeFill="background1" w:themeFillShade="D9"/>
          </w:tcPr>
          <w:p w14:paraId="50D92F99" w14:textId="77777777" w:rsidR="0059790B" w:rsidRPr="00A320AC" w:rsidRDefault="0059790B" w:rsidP="0059790B">
            <w:pPr>
              <w:jc w:val="right"/>
              <w:rPr>
                <w:rFonts w:cs="Arial"/>
                <w:b/>
                <w:sz w:val="16"/>
                <w:szCs w:val="16"/>
              </w:rPr>
            </w:pPr>
          </w:p>
        </w:tc>
        <w:tc>
          <w:tcPr>
            <w:tcW w:w="562" w:type="dxa"/>
            <w:shd w:val="clear" w:color="auto" w:fill="D9D9D9" w:themeFill="background1" w:themeFillShade="D9"/>
          </w:tcPr>
          <w:p w14:paraId="3703E79C" w14:textId="77777777" w:rsidR="0059790B" w:rsidRPr="00A320AC" w:rsidRDefault="0059790B" w:rsidP="0059790B">
            <w:pPr>
              <w:jc w:val="right"/>
              <w:rPr>
                <w:rFonts w:cs="Arial"/>
                <w:b/>
                <w:sz w:val="16"/>
                <w:szCs w:val="16"/>
              </w:rPr>
            </w:pPr>
          </w:p>
        </w:tc>
      </w:tr>
      <w:tr w:rsidR="0059790B" w:rsidRPr="00C62592" w14:paraId="47600365" w14:textId="77777777" w:rsidTr="0059790B">
        <w:trPr>
          <w:trHeight w:hRule="exact" w:val="680"/>
        </w:trPr>
        <w:tc>
          <w:tcPr>
            <w:tcW w:w="14219" w:type="dxa"/>
            <w:gridSpan w:val="19"/>
          </w:tcPr>
          <w:p w14:paraId="4319946D" w14:textId="2F7FC936" w:rsidR="0059790B" w:rsidRPr="00A320AC" w:rsidRDefault="0059790B" w:rsidP="0059790B">
            <w:pPr>
              <w:jc w:val="center"/>
              <w:rPr>
                <w:rFonts w:cs="Arial"/>
                <w:b/>
                <w:sz w:val="16"/>
                <w:szCs w:val="16"/>
              </w:rPr>
            </w:pPr>
            <w:r w:rsidRPr="00A320AC">
              <w:rPr>
                <w:rFonts w:cs="Arial"/>
                <w:b/>
                <w:sz w:val="16"/>
                <w:szCs w:val="16"/>
              </w:rPr>
              <w:lastRenderedPageBreak/>
              <w:t>Employment or further study</w:t>
            </w:r>
          </w:p>
        </w:tc>
      </w:tr>
      <w:tr w:rsidR="0059790B" w:rsidRPr="0083798D" w14:paraId="6CFB1CAD" w14:textId="77777777" w:rsidTr="0059790B">
        <w:trPr>
          <w:trHeight w:hRule="exact" w:val="680"/>
        </w:trPr>
        <w:tc>
          <w:tcPr>
            <w:tcW w:w="1055" w:type="dxa"/>
          </w:tcPr>
          <w:p w14:paraId="496F25D0" w14:textId="77777777" w:rsidR="0059790B" w:rsidRPr="00A320AC" w:rsidRDefault="0059790B" w:rsidP="0059790B">
            <w:pPr>
              <w:jc w:val="center"/>
              <w:rPr>
                <w:rFonts w:cs="Arial"/>
                <w:b/>
                <w:sz w:val="16"/>
                <w:szCs w:val="16"/>
              </w:rPr>
            </w:pPr>
            <w:r w:rsidRPr="00A320AC">
              <w:rPr>
                <w:rFonts w:cs="Arial"/>
                <w:b/>
                <w:sz w:val="16"/>
                <w:szCs w:val="16"/>
              </w:rPr>
              <w:t>Full-time students</w:t>
            </w:r>
          </w:p>
        </w:tc>
        <w:tc>
          <w:tcPr>
            <w:tcW w:w="880" w:type="dxa"/>
          </w:tcPr>
          <w:p w14:paraId="480A7A86" w14:textId="77777777" w:rsidR="0059790B" w:rsidRPr="0083798D" w:rsidRDefault="0059790B" w:rsidP="0059790B">
            <w:pPr>
              <w:jc w:val="center"/>
              <w:rPr>
                <w:rFonts w:cs="Arial"/>
                <w:b/>
                <w:sz w:val="16"/>
                <w:szCs w:val="16"/>
              </w:rPr>
            </w:pPr>
            <w:r w:rsidRPr="0083798D">
              <w:rPr>
                <w:rFonts w:cs="Arial"/>
                <w:color w:val="000000"/>
                <w:sz w:val="16"/>
                <w:szCs w:val="16"/>
              </w:rPr>
              <w:t>368</w:t>
            </w:r>
          </w:p>
        </w:tc>
        <w:tc>
          <w:tcPr>
            <w:tcW w:w="624" w:type="dxa"/>
          </w:tcPr>
          <w:p w14:paraId="550B37FA" w14:textId="77777777" w:rsidR="0059790B" w:rsidRPr="0083798D" w:rsidRDefault="0059790B" w:rsidP="0059790B">
            <w:pPr>
              <w:jc w:val="center"/>
              <w:rPr>
                <w:rFonts w:cs="Arial"/>
                <w:b/>
                <w:sz w:val="16"/>
                <w:szCs w:val="16"/>
              </w:rPr>
            </w:pPr>
            <w:r w:rsidRPr="0083798D">
              <w:rPr>
                <w:rFonts w:cs="Arial"/>
                <w:color w:val="000000"/>
                <w:sz w:val="16"/>
                <w:szCs w:val="16"/>
              </w:rPr>
              <w:t>339</w:t>
            </w:r>
          </w:p>
        </w:tc>
        <w:tc>
          <w:tcPr>
            <w:tcW w:w="880" w:type="dxa"/>
          </w:tcPr>
          <w:p w14:paraId="2A6F4EBC" w14:textId="77777777" w:rsidR="0059790B" w:rsidRPr="0083798D" w:rsidRDefault="0059790B" w:rsidP="0059790B">
            <w:pPr>
              <w:jc w:val="center"/>
              <w:rPr>
                <w:rFonts w:cs="Arial"/>
                <w:b/>
                <w:sz w:val="16"/>
                <w:szCs w:val="16"/>
              </w:rPr>
            </w:pPr>
            <w:r w:rsidRPr="0083798D">
              <w:rPr>
                <w:rFonts w:cs="Arial"/>
                <w:color w:val="000000"/>
                <w:sz w:val="16"/>
                <w:szCs w:val="16"/>
              </w:rPr>
              <w:t>89%</w:t>
            </w:r>
          </w:p>
        </w:tc>
        <w:tc>
          <w:tcPr>
            <w:tcW w:w="562" w:type="dxa"/>
          </w:tcPr>
          <w:p w14:paraId="0B2C3EC4" w14:textId="77777777" w:rsidR="0059790B" w:rsidRPr="0083798D" w:rsidRDefault="0059790B" w:rsidP="0059790B">
            <w:pPr>
              <w:jc w:val="center"/>
              <w:rPr>
                <w:rFonts w:cs="Arial"/>
                <w:b/>
                <w:sz w:val="16"/>
                <w:szCs w:val="16"/>
              </w:rPr>
            </w:pPr>
            <w:r w:rsidRPr="0083798D">
              <w:rPr>
                <w:rFonts w:cs="Arial"/>
                <w:color w:val="000000"/>
                <w:sz w:val="16"/>
                <w:szCs w:val="16"/>
              </w:rPr>
              <w:t>77%</w:t>
            </w:r>
          </w:p>
        </w:tc>
        <w:tc>
          <w:tcPr>
            <w:tcW w:w="880" w:type="dxa"/>
          </w:tcPr>
          <w:p w14:paraId="3B70AF15" w14:textId="77777777" w:rsidR="0059790B" w:rsidRPr="0083798D" w:rsidRDefault="0059790B" w:rsidP="0059790B">
            <w:pPr>
              <w:jc w:val="center"/>
              <w:rPr>
                <w:rFonts w:cs="Arial"/>
                <w:b/>
                <w:sz w:val="16"/>
                <w:szCs w:val="16"/>
              </w:rPr>
            </w:pPr>
            <w:r w:rsidRPr="0083798D">
              <w:rPr>
                <w:rFonts w:cs="Arial"/>
                <w:color w:val="000000"/>
                <w:sz w:val="16"/>
                <w:szCs w:val="16"/>
              </w:rPr>
              <w:t>26%</w:t>
            </w:r>
          </w:p>
        </w:tc>
        <w:tc>
          <w:tcPr>
            <w:tcW w:w="562" w:type="dxa"/>
          </w:tcPr>
          <w:p w14:paraId="6CF99636" w14:textId="77777777" w:rsidR="0059790B" w:rsidRPr="0083798D" w:rsidRDefault="0059790B" w:rsidP="0059790B">
            <w:pPr>
              <w:jc w:val="center"/>
              <w:rPr>
                <w:rFonts w:cs="Arial"/>
                <w:b/>
                <w:sz w:val="16"/>
                <w:szCs w:val="16"/>
              </w:rPr>
            </w:pPr>
            <w:r w:rsidRPr="0083798D">
              <w:rPr>
                <w:rFonts w:cs="Arial"/>
                <w:color w:val="000000"/>
                <w:sz w:val="16"/>
                <w:szCs w:val="16"/>
              </w:rPr>
              <w:t>14%</w:t>
            </w:r>
          </w:p>
        </w:tc>
        <w:tc>
          <w:tcPr>
            <w:tcW w:w="880" w:type="dxa"/>
          </w:tcPr>
          <w:p w14:paraId="3E0490CD" w14:textId="77777777" w:rsidR="0059790B" w:rsidRPr="0083798D" w:rsidRDefault="0059790B" w:rsidP="0059790B">
            <w:pPr>
              <w:jc w:val="center"/>
              <w:rPr>
                <w:rFonts w:cs="Arial"/>
                <w:b/>
                <w:sz w:val="16"/>
                <w:szCs w:val="16"/>
              </w:rPr>
            </w:pPr>
            <w:r w:rsidRPr="0083798D">
              <w:rPr>
                <w:rFonts w:cs="Arial"/>
                <w:color w:val="000000"/>
                <w:sz w:val="16"/>
                <w:szCs w:val="16"/>
              </w:rPr>
              <w:t>126</w:t>
            </w:r>
          </w:p>
        </w:tc>
        <w:tc>
          <w:tcPr>
            <w:tcW w:w="624" w:type="dxa"/>
          </w:tcPr>
          <w:p w14:paraId="5033D3A0" w14:textId="77777777" w:rsidR="0059790B" w:rsidRPr="0083798D" w:rsidRDefault="0059790B" w:rsidP="0059790B">
            <w:pPr>
              <w:jc w:val="center"/>
              <w:rPr>
                <w:rFonts w:cs="Arial"/>
                <w:b/>
                <w:sz w:val="16"/>
                <w:szCs w:val="16"/>
              </w:rPr>
            </w:pPr>
            <w:r w:rsidRPr="0083798D">
              <w:rPr>
                <w:rFonts w:cs="Arial"/>
                <w:color w:val="000000"/>
                <w:sz w:val="16"/>
                <w:szCs w:val="16"/>
              </w:rPr>
              <w:t>124</w:t>
            </w:r>
          </w:p>
        </w:tc>
        <w:tc>
          <w:tcPr>
            <w:tcW w:w="880" w:type="dxa"/>
          </w:tcPr>
          <w:p w14:paraId="6F4A8214" w14:textId="77777777" w:rsidR="0059790B" w:rsidRPr="0083798D" w:rsidRDefault="0059790B" w:rsidP="0059790B">
            <w:pPr>
              <w:jc w:val="center"/>
              <w:rPr>
                <w:rFonts w:cs="Arial"/>
                <w:b/>
                <w:sz w:val="16"/>
                <w:szCs w:val="16"/>
              </w:rPr>
            </w:pPr>
            <w:r w:rsidRPr="0083798D">
              <w:rPr>
                <w:rFonts w:cs="Arial"/>
                <w:color w:val="000000"/>
                <w:sz w:val="16"/>
                <w:szCs w:val="16"/>
              </w:rPr>
              <w:t>98%</w:t>
            </w:r>
          </w:p>
        </w:tc>
        <w:tc>
          <w:tcPr>
            <w:tcW w:w="562" w:type="dxa"/>
          </w:tcPr>
          <w:p w14:paraId="186D3B1E" w14:textId="77777777" w:rsidR="0059790B" w:rsidRPr="0083798D" w:rsidRDefault="0059790B" w:rsidP="0059790B">
            <w:pPr>
              <w:jc w:val="center"/>
              <w:rPr>
                <w:rFonts w:cs="Arial"/>
                <w:b/>
                <w:sz w:val="16"/>
                <w:szCs w:val="16"/>
              </w:rPr>
            </w:pPr>
            <w:r w:rsidRPr="0083798D">
              <w:rPr>
                <w:rFonts w:cs="Arial"/>
                <w:color w:val="000000"/>
                <w:sz w:val="16"/>
                <w:szCs w:val="16"/>
              </w:rPr>
              <w:t>98%</w:t>
            </w:r>
          </w:p>
        </w:tc>
        <w:tc>
          <w:tcPr>
            <w:tcW w:w="880" w:type="dxa"/>
          </w:tcPr>
          <w:p w14:paraId="3181BF7F" w14:textId="77777777" w:rsidR="0059790B" w:rsidRPr="0083798D" w:rsidRDefault="0059790B" w:rsidP="0059790B">
            <w:pPr>
              <w:jc w:val="center"/>
              <w:rPr>
                <w:rFonts w:cs="Arial"/>
                <w:b/>
                <w:sz w:val="16"/>
                <w:szCs w:val="16"/>
              </w:rPr>
            </w:pPr>
            <w:r w:rsidRPr="0083798D">
              <w:rPr>
                <w:rFonts w:cs="Arial"/>
                <w:color w:val="000000"/>
                <w:sz w:val="16"/>
                <w:szCs w:val="16"/>
              </w:rPr>
              <w:t>37%</w:t>
            </w:r>
          </w:p>
        </w:tc>
        <w:tc>
          <w:tcPr>
            <w:tcW w:w="562" w:type="dxa"/>
          </w:tcPr>
          <w:p w14:paraId="599C3D8E" w14:textId="77777777" w:rsidR="0059790B" w:rsidRPr="0083798D" w:rsidRDefault="0059790B" w:rsidP="0059790B">
            <w:pPr>
              <w:jc w:val="center"/>
              <w:rPr>
                <w:rFonts w:cs="Arial"/>
                <w:b/>
                <w:sz w:val="16"/>
                <w:szCs w:val="16"/>
              </w:rPr>
            </w:pPr>
            <w:r w:rsidRPr="0083798D">
              <w:rPr>
                <w:rFonts w:cs="Arial"/>
                <w:color w:val="000000"/>
                <w:sz w:val="16"/>
                <w:szCs w:val="16"/>
              </w:rPr>
              <w:t>28%</w:t>
            </w:r>
          </w:p>
        </w:tc>
        <w:tc>
          <w:tcPr>
            <w:tcW w:w="880" w:type="dxa"/>
          </w:tcPr>
          <w:p w14:paraId="59F2694B" w14:textId="77777777" w:rsidR="0059790B" w:rsidRPr="0083798D" w:rsidRDefault="0059790B" w:rsidP="0059790B">
            <w:pPr>
              <w:jc w:val="center"/>
              <w:rPr>
                <w:rFonts w:cs="Arial"/>
                <w:b/>
                <w:sz w:val="16"/>
                <w:szCs w:val="16"/>
              </w:rPr>
            </w:pPr>
            <w:r w:rsidRPr="0083798D">
              <w:rPr>
                <w:rFonts w:cs="Arial"/>
                <w:color w:val="000000"/>
                <w:sz w:val="16"/>
                <w:szCs w:val="16"/>
              </w:rPr>
              <w:t>242</w:t>
            </w:r>
          </w:p>
        </w:tc>
        <w:tc>
          <w:tcPr>
            <w:tcW w:w="624" w:type="dxa"/>
          </w:tcPr>
          <w:p w14:paraId="43BE53FD" w14:textId="77777777" w:rsidR="0059790B" w:rsidRPr="0083798D" w:rsidRDefault="0059790B" w:rsidP="0059790B">
            <w:pPr>
              <w:jc w:val="center"/>
              <w:rPr>
                <w:rFonts w:cs="Arial"/>
                <w:b/>
                <w:sz w:val="16"/>
                <w:szCs w:val="16"/>
              </w:rPr>
            </w:pPr>
            <w:r w:rsidRPr="0083798D">
              <w:rPr>
                <w:rFonts w:cs="Arial"/>
                <w:color w:val="000000"/>
                <w:sz w:val="16"/>
                <w:szCs w:val="16"/>
              </w:rPr>
              <w:t>215</w:t>
            </w:r>
          </w:p>
        </w:tc>
        <w:tc>
          <w:tcPr>
            <w:tcW w:w="880" w:type="dxa"/>
          </w:tcPr>
          <w:p w14:paraId="77A8E068" w14:textId="77777777" w:rsidR="0059790B" w:rsidRPr="0083798D" w:rsidRDefault="0059790B" w:rsidP="0059790B">
            <w:pPr>
              <w:jc w:val="center"/>
              <w:rPr>
                <w:rFonts w:cs="Arial"/>
                <w:b/>
                <w:sz w:val="16"/>
                <w:szCs w:val="16"/>
              </w:rPr>
            </w:pPr>
            <w:r w:rsidRPr="0083798D">
              <w:rPr>
                <w:rFonts w:cs="Arial"/>
                <w:color w:val="000000"/>
                <w:sz w:val="16"/>
                <w:szCs w:val="16"/>
              </w:rPr>
              <w:t>84%</w:t>
            </w:r>
          </w:p>
        </w:tc>
        <w:tc>
          <w:tcPr>
            <w:tcW w:w="562" w:type="dxa"/>
          </w:tcPr>
          <w:p w14:paraId="24B5EB45" w14:textId="77777777" w:rsidR="0059790B" w:rsidRPr="0083798D" w:rsidRDefault="0059790B" w:rsidP="0059790B">
            <w:pPr>
              <w:jc w:val="center"/>
              <w:rPr>
                <w:rFonts w:cs="Arial"/>
                <w:b/>
                <w:sz w:val="16"/>
                <w:szCs w:val="16"/>
              </w:rPr>
            </w:pPr>
            <w:r w:rsidRPr="0083798D">
              <w:rPr>
                <w:rFonts w:cs="Arial"/>
                <w:color w:val="000000"/>
                <w:sz w:val="16"/>
                <w:szCs w:val="16"/>
              </w:rPr>
              <w:t>65%</w:t>
            </w:r>
          </w:p>
        </w:tc>
        <w:tc>
          <w:tcPr>
            <w:tcW w:w="880" w:type="dxa"/>
          </w:tcPr>
          <w:p w14:paraId="720F88B6" w14:textId="77777777" w:rsidR="0059790B" w:rsidRPr="0083798D" w:rsidRDefault="0059790B" w:rsidP="0059790B">
            <w:pPr>
              <w:jc w:val="center"/>
              <w:rPr>
                <w:rFonts w:cs="Arial"/>
                <w:b/>
                <w:sz w:val="16"/>
                <w:szCs w:val="16"/>
              </w:rPr>
            </w:pPr>
            <w:r w:rsidRPr="0083798D">
              <w:rPr>
                <w:rFonts w:cs="Arial"/>
                <w:color w:val="000000"/>
                <w:sz w:val="16"/>
                <w:szCs w:val="16"/>
              </w:rPr>
              <w:t>20%</w:t>
            </w:r>
          </w:p>
        </w:tc>
        <w:tc>
          <w:tcPr>
            <w:tcW w:w="562" w:type="dxa"/>
          </w:tcPr>
          <w:p w14:paraId="58FC955E" w14:textId="77777777" w:rsidR="0059790B" w:rsidRPr="0083798D" w:rsidRDefault="0059790B" w:rsidP="0059790B">
            <w:pPr>
              <w:jc w:val="center"/>
              <w:rPr>
                <w:rFonts w:cs="Arial"/>
                <w:b/>
                <w:sz w:val="16"/>
                <w:szCs w:val="16"/>
              </w:rPr>
            </w:pPr>
            <w:r w:rsidRPr="0083798D">
              <w:rPr>
                <w:rFonts w:cs="Arial"/>
                <w:color w:val="000000"/>
                <w:sz w:val="16"/>
                <w:szCs w:val="16"/>
              </w:rPr>
              <w:t>6%</w:t>
            </w:r>
          </w:p>
        </w:tc>
      </w:tr>
      <w:tr w:rsidR="0059790B" w:rsidRPr="0083798D" w14:paraId="1B469634" w14:textId="77777777" w:rsidTr="0059790B">
        <w:trPr>
          <w:trHeight w:hRule="exact" w:val="680"/>
        </w:trPr>
        <w:tc>
          <w:tcPr>
            <w:tcW w:w="1055" w:type="dxa"/>
          </w:tcPr>
          <w:p w14:paraId="7887F767" w14:textId="77777777" w:rsidR="0059790B" w:rsidRPr="00A320AC" w:rsidRDefault="0059790B" w:rsidP="0059790B">
            <w:pPr>
              <w:jc w:val="center"/>
              <w:rPr>
                <w:rFonts w:cs="Arial"/>
                <w:b/>
                <w:sz w:val="16"/>
                <w:szCs w:val="16"/>
              </w:rPr>
            </w:pPr>
            <w:r w:rsidRPr="00A320AC">
              <w:rPr>
                <w:rFonts w:cs="Arial"/>
                <w:b/>
                <w:sz w:val="16"/>
                <w:szCs w:val="16"/>
              </w:rPr>
              <w:t>Splits for full-time students</w:t>
            </w:r>
          </w:p>
        </w:tc>
        <w:tc>
          <w:tcPr>
            <w:tcW w:w="880" w:type="dxa"/>
          </w:tcPr>
          <w:p w14:paraId="132B339D" w14:textId="77777777" w:rsidR="0059790B" w:rsidRPr="0083798D" w:rsidRDefault="0059790B" w:rsidP="0059790B">
            <w:pPr>
              <w:jc w:val="center"/>
              <w:rPr>
                <w:rFonts w:cs="Arial"/>
                <w:b/>
                <w:sz w:val="16"/>
                <w:szCs w:val="16"/>
              </w:rPr>
            </w:pPr>
            <w:r w:rsidRPr="0083798D">
              <w:rPr>
                <w:rFonts w:cs="Arial"/>
                <w:color w:val="000000"/>
                <w:sz w:val="16"/>
                <w:szCs w:val="16"/>
              </w:rPr>
              <w:t>3,680</w:t>
            </w:r>
          </w:p>
        </w:tc>
        <w:tc>
          <w:tcPr>
            <w:tcW w:w="624" w:type="dxa"/>
          </w:tcPr>
          <w:p w14:paraId="7B67D7FC" w14:textId="77777777" w:rsidR="0059790B" w:rsidRPr="0083798D" w:rsidRDefault="0059790B" w:rsidP="0059790B">
            <w:pPr>
              <w:jc w:val="center"/>
              <w:rPr>
                <w:rFonts w:cs="Arial"/>
                <w:b/>
                <w:sz w:val="16"/>
                <w:szCs w:val="16"/>
              </w:rPr>
            </w:pPr>
            <w:r w:rsidRPr="0083798D">
              <w:rPr>
                <w:rFonts w:cs="Arial"/>
                <w:color w:val="000000"/>
                <w:sz w:val="16"/>
                <w:szCs w:val="16"/>
              </w:rPr>
              <w:t>3,390</w:t>
            </w:r>
          </w:p>
        </w:tc>
        <w:tc>
          <w:tcPr>
            <w:tcW w:w="880" w:type="dxa"/>
          </w:tcPr>
          <w:p w14:paraId="59D5E976" w14:textId="77777777" w:rsidR="0059790B" w:rsidRPr="0083798D" w:rsidRDefault="0059790B" w:rsidP="0059790B">
            <w:pPr>
              <w:jc w:val="center"/>
              <w:rPr>
                <w:rFonts w:cs="Arial"/>
                <w:b/>
                <w:sz w:val="16"/>
                <w:szCs w:val="16"/>
              </w:rPr>
            </w:pPr>
            <w:r w:rsidRPr="0083798D">
              <w:rPr>
                <w:rFonts w:cs="Arial"/>
                <w:color w:val="000000"/>
                <w:sz w:val="16"/>
                <w:szCs w:val="16"/>
              </w:rPr>
              <w:t>74%</w:t>
            </w:r>
          </w:p>
        </w:tc>
        <w:tc>
          <w:tcPr>
            <w:tcW w:w="562" w:type="dxa"/>
          </w:tcPr>
          <w:p w14:paraId="7E6A4B13" w14:textId="77777777" w:rsidR="0059790B" w:rsidRPr="0083798D" w:rsidRDefault="0059790B" w:rsidP="0059790B">
            <w:pPr>
              <w:jc w:val="center"/>
              <w:rPr>
                <w:rFonts w:cs="Arial"/>
                <w:b/>
                <w:sz w:val="16"/>
                <w:szCs w:val="16"/>
              </w:rPr>
            </w:pPr>
            <w:r w:rsidRPr="0083798D">
              <w:rPr>
                <w:rFonts w:cs="Arial"/>
                <w:color w:val="000000"/>
                <w:sz w:val="16"/>
                <w:szCs w:val="16"/>
              </w:rPr>
              <w:t>62%</w:t>
            </w:r>
          </w:p>
        </w:tc>
        <w:tc>
          <w:tcPr>
            <w:tcW w:w="880" w:type="dxa"/>
          </w:tcPr>
          <w:p w14:paraId="4ECF17BB" w14:textId="77777777" w:rsidR="0059790B" w:rsidRPr="0083798D" w:rsidRDefault="0059790B" w:rsidP="0059790B">
            <w:pPr>
              <w:jc w:val="center"/>
              <w:rPr>
                <w:rFonts w:cs="Arial"/>
                <w:b/>
                <w:sz w:val="16"/>
                <w:szCs w:val="16"/>
              </w:rPr>
            </w:pPr>
            <w:r w:rsidRPr="0083798D">
              <w:rPr>
                <w:rFonts w:cs="Arial"/>
                <w:color w:val="000000"/>
                <w:sz w:val="16"/>
                <w:szCs w:val="16"/>
              </w:rPr>
              <w:t>20%</w:t>
            </w:r>
          </w:p>
        </w:tc>
        <w:tc>
          <w:tcPr>
            <w:tcW w:w="562" w:type="dxa"/>
          </w:tcPr>
          <w:p w14:paraId="79CE3646" w14:textId="77777777" w:rsidR="0059790B" w:rsidRPr="0083798D" w:rsidRDefault="0059790B" w:rsidP="0059790B">
            <w:pPr>
              <w:jc w:val="center"/>
              <w:rPr>
                <w:rFonts w:cs="Arial"/>
                <w:b/>
                <w:sz w:val="16"/>
                <w:szCs w:val="16"/>
              </w:rPr>
            </w:pPr>
            <w:r w:rsidRPr="0083798D">
              <w:rPr>
                <w:rFonts w:cs="Arial"/>
                <w:color w:val="000000"/>
                <w:sz w:val="16"/>
                <w:szCs w:val="16"/>
              </w:rPr>
              <w:t>12%</w:t>
            </w:r>
          </w:p>
        </w:tc>
        <w:tc>
          <w:tcPr>
            <w:tcW w:w="880" w:type="dxa"/>
          </w:tcPr>
          <w:p w14:paraId="7705175C" w14:textId="77777777" w:rsidR="0059790B" w:rsidRPr="0083798D" w:rsidRDefault="0059790B" w:rsidP="0059790B">
            <w:pPr>
              <w:jc w:val="center"/>
              <w:rPr>
                <w:rFonts w:cs="Arial"/>
                <w:b/>
                <w:sz w:val="16"/>
                <w:szCs w:val="16"/>
              </w:rPr>
            </w:pPr>
            <w:r w:rsidRPr="0083798D">
              <w:rPr>
                <w:rFonts w:cs="Arial"/>
                <w:color w:val="000000"/>
                <w:sz w:val="16"/>
                <w:szCs w:val="16"/>
              </w:rPr>
              <w:t>1,260</w:t>
            </w:r>
          </w:p>
        </w:tc>
        <w:tc>
          <w:tcPr>
            <w:tcW w:w="624" w:type="dxa"/>
          </w:tcPr>
          <w:p w14:paraId="195E0F0C" w14:textId="77777777" w:rsidR="0059790B" w:rsidRPr="0083798D" w:rsidRDefault="0059790B" w:rsidP="0059790B">
            <w:pPr>
              <w:jc w:val="center"/>
              <w:rPr>
                <w:rFonts w:cs="Arial"/>
                <w:b/>
                <w:sz w:val="16"/>
                <w:szCs w:val="16"/>
              </w:rPr>
            </w:pPr>
            <w:r w:rsidRPr="0083798D">
              <w:rPr>
                <w:rFonts w:cs="Arial"/>
                <w:color w:val="000000"/>
                <w:sz w:val="16"/>
                <w:szCs w:val="16"/>
              </w:rPr>
              <w:t>1,240</w:t>
            </w:r>
          </w:p>
        </w:tc>
        <w:tc>
          <w:tcPr>
            <w:tcW w:w="880" w:type="dxa"/>
          </w:tcPr>
          <w:p w14:paraId="4874051E" w14:textId="77777777" w:rsidR="0059790B" w:rsidRPr="0083798D" w:rsidRDefault="0059790B" w:rsidP="0059790B">
            <w:pPr>
              <w:jc w:val="center"/>
              <w:rPr>
                <w:rFonts w:cs="Arial"/>
                <w:b/>
                <w:sz w:val="16"/>
                <w:szCs w:val="16"/>
              </w:rPr>
            </w:pPr>
            <w:r w:rsidRPr="0083798D">
              <w:rPr>
                <w:rFonts w:cs="Arial"/>
                <w:color w:val="000000"/>
                <w:sz w:val="16"/>
                <w:szCs w:val="16"/>
              </w:rPr>
              <w:t>94%</w:t>
            </w:r>
          </w:p>
        </w:tc>
        <w:tc>
          <w:tcPr>
            <w:tcW w:w="562" w:type="dxa"/>
          </w:tcPr>
          <w:p w14:paraId="25F52DDC" w14:textId="77777777" w:rsidR="0059790B" w:rsidRPr="0083798D" w:rsidRDefault="0059790B" w:rsidP="0059790B">
            <w:pPr>
              <w:jc w:val="center"/>
              <w:rPr>
                <w:rFonts w:cs="Arial"/>
                <w:b/>
                <w:sz w:val="16"/>
                <w:szCs w:val="16"/>
              </w:rPr>
            </w:pPr>
            <w:r w:rsidRPr="0083798D">
              <w:rPr>
                <w:rFonts w:cs="Arial"/>
                <w:color w:val="000000"/>
                <w:sz w:val="16"/>
                <w:szCs w:val="16"/>
              </w:rPr>
              <w:t>91%</w:t>
            </w:r>
          </w:p>
        </w:tc>
        <w:tc>
          <w:tcPr>
            <w:tcW w:w="880" w:type="dxa"/>
          </w:tcPr>
          <w:p w14:paraId="49ED2238" w14:textId="77777777" w:rsidR="0059790B" w:rsidRPr="0083798D" w:rsidRDefault="0059790B" w:rsidP="0059790B">
            <w:pPr>
              <w:jc w:val="center"/>
              <w:rPr>
                <w:rFonts w:cs="Arial"/>
                <w:b/>
                <w:sz w:val="16"/>
                <w:szCs w:val="16"/>
              </w:rPr>
            </w:pPr>
            <w:r w:rsidRPr="0083798D">
              <w:rPr>
                <w:rFonts w:cs="Arial"/>
                <w:color w:val="000000"/>
                <w:sz w:val="16"/>
                <w:szCs w:val="16"/>
              </w:rPr>
              <w:t>33%</w:t>
            </w:r>
          </w:p>
        </w:tc>
        <w:tc>
          <w:tcPr>
            <w:tcW w:w="562" w:type="dxa"/>
          </w:tcPr>
          <w:p w14:paraId="29469B42" w14:textId="77777777" w:rsidR="0059790B" w:rsidRPr="0083798D" w:rsidRDefault="0059790B" w:rsidP="0059790B">
            <w:pPr>
              <w:jc w:val="center"/>
              <w:rPr>
                <w:rFonts w:cs="Arial"/>
                <w:b/>
                <w:sz w:val="16"/>
                <w:szCs w:val="16"/>
              </w:rPr>
            </w:pPr>
            <w:r w:rsidRPr="0083798D">
              <w:rPr>
                <w:rFonts w:cs="Arial"/>
                <w:color w:val="000000"/>
                <w:sz w:val="16"/>
                <w:szCs w:val="16"/>
              </w:rPr>
              <w:t>24%</w:t>
            </w:r>
          </w:p>
        </w:tc>
        <w:tc>
          <w:tcPr>
            <w:tcW w:w="880" w:type="dxa"/>
          </w:tcPr>
          <w:p w14:paraId="14BEEF72" w14:textId="77777777" w:rsidR="0059790B" w:rsidRPr="0083798D" w:rsidRDefault="0059790B" w:rsidP="0059790B">
            <w:pPr>
              <w:jc w:val="center"/>
              <w:rPr>
                <w:rFonts w:cs="Arial"/>
                <w:b/>
                <w:sz w:val="16"/>
                <w:szCs w:val="16"/>
              </w:rPr>
            </w:pPr>
            <w:r w:rsidRPr="0083798D">
              <w:rPr>
                <w:rFonts w:cs="Arial"/>
                <w:color w:val="000000"/>
                <w:sz w:val="16"/>
                <w:szCs w:val="16"/>
              </w:rPr>
              <w:t>2,420</w:t>
            </w:r>
          </w:p>
        </w:tc>
        <w:tc>
          <w:tcPr>
            <w:tcW w:w="624" w:type="dxa"/>
          </w:tcPr>
          <w:p w14:paraId="7BF4B24A" w14:textId="77777777" w:rsidR="0059790B" w:rsidRPr="0083798D" w:rsidRDefault="0059790B" w:rsidP="0059790B">
            <w:pPr>
              <w:jc w:val="center"/>
              <w:rPr>
                <w:rFonts w:cs="Arial"/>
                <w:b/>
                <w:sz w:val="16"/>
                <w:szCs w:val="16"/>
              </w:rPr>
            </w:pPr>
            <w:r w:rsidRPr="0083798D">
              <w:rPr>
                <w:rFonts w:cs="Arial"/>
                <w:color w:val="000000"/>
                <w:sz w:val="16"/>
                <w:szCs w:val="16"/>
              </w:rPr>
              <w:t>2,150</w:t>
            </w:r>
          </w:p>
        </w:tc>
        <w:tc>
          <w:tcPr>
            <w:tcW w:w="880" w:type="dxa"/>
          </w:tcPr>
          <w:p w14:paraId="7568C4D4" w14:textId="77777777" w:rsidR="0059790B" w:rsidRPr="0083798D" w:rsidRDefault="0059790B" w:rsidP="0059790B">
            <w:pPr>
              <w:jc w:val="center"/>
              <w:rPr>
                <w:rFonts w:cs="Arial"/>
                <w:b/>
                <w:sz w:val="16"/>
                <w:szCs w:val="16"/>
              </w:rPr>
            </w:pPr>
            <w:r w:rsidRPr="0083798D">
              <w:rPr>
                <w:rFonts w:cs="Arial"/>
                <w:color w:val="000000"/>
                <w:sz w:val="16"/>
                <w:szCs w:val="16"/>
              </w:rPr>
              <w:t>64%</w:t>
            </w:r>
          </w:p>
        </w:tc>
        <w:tc>
          <w:tcPr>
            <w:tcW w:w="562" w:type="dxa"/>
          </w:tcPr>
          <w:p w14:paraId="4F53F446" w14:textId="77777777" w:rsidR="0059790B" w:rsidRPr="0083798D" w:rsidRDefault="0059790B" w:rsidP="0059790B">
            <w:pPr>
              <w:jc w:val="center"/>
              <w:rPr>
                <w:rFonts w:cs="Arial"/>
                <w:b/>
                <w:sz w:val="16"/>
                <w:szCs w:val="16"/>
              </w:rPr>
            </w:pPr>
            <w:r w:rsidRPr="0083798D">
              <w:rPr>
                <w:rFonts w:cs="Arial"/>
                <w:color w:val="000000"/>
                <w:sz w:val="16"/>
                <w:szCs w:val="16"/>
              </w:rPr>
              <w:t>45%</w:t>
            </w:r>
          </w:p>
        </w:tc>
        <w:tc>
          <w:tcPr>
            <w:tcW w:w="880" w:type="dxa"/>
          </w:tcPr>
          <w:p w14:paraId="62CEF3A0" w14:textId="77777777" w:rsidR="0059790B" w:rsidRPr="0083798D" w:rsidRDefault="0059790B" w:rsidP="0059790B">
            <w:pPr>
              <w:jc w:val="center"/>
              <w:rPr>
                <w:rFonts w:cs="Arial"/>
                <w:b/>
                <w:sz w:val="16"/>
                <w:szCs w:val="16"/>
              </w:rPr>
            </w:pPr>
            <w:r w:rsidRPr="0083798D">
              <w:rPr>
                <w:rFonts w:cs="Arial"/>
                <w:color w:val="000000"/>
                <w:sz w:val="16"/>
                <w:szCs w:val="16"/>
              </w:rPr>
              <w:t>13%</w:t>
            </w:r>
          </w:p>
        </w:tc>
        <w:tc>
          <w:tcPr>
            <w:tcW w:w="562" w:type="dxa"/>
          </w:tcPr>
          <w:p w14:paraId="386524EE" w14:textId="77777777" w:rsidR="0059790B" w:rsidRPr="0083798D" w:rsidRDefault="0059790B" w:rsidP="0059790B">
            <w:pPr>
              <w:jc w:val="center"/>
              <w:rPr>
                <w:rFonts w:cs="Arial"/>
                <w:b/>
                <w:sz w:val="16"/>
                <w:szCs w:val="16"/>
              </w:rPr>
            </w:pPr>
            <w:r w:rsidRPr="0083798D">
              <w:rPr>
                <w:rFonts w:cs="Arial"/>
                <w:color w:val="000000"/>
                <w:sz w:val="16"/>
                <w:szCs w:val="16"/>
              </w:rPr>
              <w:t>5%</w:t>
            </w:r>
          </w:p>
        </w:tc>
      </w:tr>
      <w:tr w:rsidR="0059790B" w:rsidRPr="0083798D" w14:paraId="6B8BAF6B" w14:textId="77777777" w:rsidTr="0059790B">
        <w:trPr>
          <w:trHeight w:hRule="exact" w:val="680"/>
        </w:trPr>
        <w:tc>
          <w:tcPr>
            <w:tcW w:w="1055" w:type="dxa"/>
          </w:tcPr>
          <w:p w14:paraId="7DFD1743" w14:textId="77777777" w:rsidR="0059790B" w:rsidRPr="00A320AC" w:rsidRDefault="0059790B" w:rsidP="0059790B">
            <w:pPr>
              <w:jc w:val="center"/>
              <w:rPr>
                <w:rFonts w:cs="Arial"/>
                <w:b/>
                <w:sz w:val="16"/>
                <w:szCs w:val="16"/>
              </w:rPr>
            </w:pPr>
            <w:r w:rsidRPr="00A320AC">
              <w:rPr>
                <w:rFonts w:cs="Arial"/>
                <w:b/>
                <w:sz w:val="16"/>
                <w:szCs w:val="16"/>
              </w:rPr>
              <w:t>Part-time students</w:t>
            </w:r>
          </w:p>
        </w:tc>
        <w:tc>
          <w:tcPr>
            <w:tcW w:w="880" w:type="dxa"/>
          </w:tcPr>
          <w:p w14:paraId="71726564" w14:textId="77777777" w:rsidR="0059790B" w:rsidRPr="0083798D" w:rsidRDefault="0059790B" w:rsidP="0059790B">
            <w:pPr>
              <w:jc w:val="center"/>
              <w:rPr>
                <w:rFonts w:cs="Arial"/>
                <w:b/>
                <w:sz w:val="16"/>
                <w:szCs w:val="16"/>
              </w:rPr>
            </w:pPr>
            <w:r w:rsidRPr="0083798D">
              <w:rPr>
                <w:rFonts w:cs="Arial"/>
                <w:color w:val="000000"/>
                <w:sz w:val="16"/>
                <w:szCs w:val="16"/>
              </w:rPr>
              <w:t>381</w:t>
            </w:r>
          </w:p>
        </w:tc>
        <w:tc>
          <w:tcPr>
            <w:tcW w:w="624" w:type="dxa"/>
          </w:tcPr>
          <w:p w14:paraId="4CA89780" w14:textId="77777777" w:rsidR="0059790B" w:rsidRPr="0083798D" w:rsidRDefault="0059790B" w:rsidP="0059790B">
            <w:pPr>
              <w:jc w:val="center"/>
              <w:rPr>
                <w:rFonts w:cs="Arial"/>
                <w:b/>
                <w:sz w:val="16"/>
                <w:szCs w:val="16"/>
              </w:rPr>
            </w:pPr>
            <w:r w:rsidRPr="0083798D">
              <w:rPr>
                <w:rFonts w:cs="Arial"/>
                <w:color w:val="000000"/>
                <w:sz w:val="16"/>
                <w:szCs w:val="16"/>
              </w:rPr>
              <w:t>330</w:t>
            </w:r>
          </w:p>
        </w:tc>
        <w:tc>
          <w:tcPr>
            <w:tcW w:w="880" w:type="dxa"/>
          </w:tcPr>
          <w:p w14:paraId="7AC8F22C" w14:textId="77777777" w:rsidR="0059790B" w:rsidRPr="0083798D" w:rsidRDefault="0059790B" w:rsidP="0059790B">
            <w:pPr>
              <w:jc w:val="center"/>
              <w:rPr>
                <w:rFonts w:cs="Arial"/>
                <w:b/>
                <w:sz w:val="16"/>
                <w:szCs w:val="16"/>
              </w:rPr>
            </w:pPr>
            <w:r w:rsidRPr="0083798D">
              <w:rPr>
                <w:rFonts w:cs="Arial"/>
                <w:color w:val="000000"/>
                <w:sz w:val="16"/>
                <w:szCs w:val="16"/>
              </w:rPr>
              <w:t>87%</w:t>
            </w:r>
          </w:p>
        </w:tc>
        <w:tc>
          <w:tcPr>
            <w:tcW w:w="562" w:type="dxa"/>
          </w:tcPr>
          <w:p w14:paraId="09FF78AD" w14:textId="77777777" w:rsidR="0059790B" w:rsidRPr="0083798D" w:rsidRDefault="0059790B" w:rsidP="0059790B">
            <w:pPr>
              <w:jc w:val="center"/>
              <w:rPr>
                <w:rFonts w:cs="Arial"/>
                <w:b/>
                <w:sz w:val="16"/>
                <w:szCs w:val="16"/>
              </w:rPr>
            </w:pPr>
            <w:r w:rsidRPr="0083798D">
              <w:rPr>
                <w:rFonts w:cs="Arial"/>
                <w:color w:val="000000"/>
                <w:sz w:val="16"/>
                <w:szCs w:val="16"/>
              </w:rPr>
              <w:t>75%</w:t>
            </w:r>
          </w:p>
        </w:tc>
        <w:tc>
          <w:tcPr>
            <w:tcW w:w="880" w:type="dxa"/>
          </w:tcPr>
          <w:p w14:paraId="28C52D89" w14:textId="77777777" w:rsidR="0059790B" w:rsidRPr="0083798D" w:rsidRDefault="0059790B" w:rsidP="0059790B">
            <w:pPr>
              <w:jc w:val="center"/>
              <w:rPr>
                <w:rFonts w:cs="Arial"/>
                <w:b/>
                <w:sz w:val="16"/>
                <w:szCs w:val="16"/>
              </w:rPr>
            </w:pPr>
            <w:r w:rsidRPr="0083798D">
              <w:rPr>
                <w:rFonts w:cs="Arial"/>
                <w:color w:val="000000"/>
                <w:sz w:val="16"/>
                <w:szCs w:val="16"/>
              </w:rPr>
              <w:t>15%</w:t>
            </w:r>
          </w:p>
        </w:tc>
        <w:tc>
          <w:tcPr>
            <w:tcW w:w="562" w:type="dxa"/>
          </w:tcPr>
          <w:p w14:paraId="2F70AC73" w14:textId="77777777" w:rsidR="0059790B" w:rsidRPr="0083798D" w:rsidRDefault="0059790B" w:rsidP="0059790B">
            <w:pPr>
              <w:jc w:val="center"/>
              <w:rPr>
                <w:rFonts w:cs="Arial"/>
                <w:b/>
                <w:sz w:val="16"/>
                <w:szCs w:val="16"/>
              </w:rPr>
            </w:pPr>
            <w:r w:rsidRPr="0083798D">
              <w:rPr>
                <w:rFonts w:cs="Arial"/>
                <w:color w:val="000000"/>
                <w:sz w:val="16"/>
                <w:szCs w:val="16"/>
              </w:rPr>
              <w:t>11%</w:t>
            </w:r>
          </w:p>
        </w:tc>
        <w:tc>
          <w:tcPr>
            <w:tcW w:w="880" w:type="dxa"/>
          </w:tcPr>
          <w:p w14:paraId="10947CCA" w14:textId="77777777" w:rsidR="0059790B" w:rsidRPr="0083798D" w:rsidRDefault="0059790B" w:rsidP="0059790B">
            <w:pPr>
              <w:jc w:val="center"/>
              <w:rPr>
                <w:rFonts w:cs="Arial"/>
                <w:b/>
                <w:sz w:val="16"/>
                <w:szCs w:val="16"/>
              </w:rPr>
            </w:pPr>
            <w:r w:rsidRPr="0083798D">
              <w:rPr>
                <w:rFonts w:cs="Arial"/>
                <w:color w:val="000000"/>
                <w:sz w:val="16"/>
                <w:szCs w:val="16"/>
              </w:rPr>
              <w:t>115</w:t>
            </w:r>
          </w:p>
        </w:tc>
        <w:tc>
          <w:tcPr>
            <w:tcW w:w="624" w:type="dxa"/>
          </w:tcPr>
          <w:p w14:paraId="2B841006" w14:textId="77777777" w:rsidR="0059790B" w:rsidRPr="0083798D" w:rsidRDefault="0059790B" w:rsidP="0059790B">
            <w:pPr>
              <w:jc w:val="center"/>
              <w:rPr>
                <w:rFonts w:cs="Arial"/>
                <w:b/>
                <w:sz w:val="16"/>
                <w:szCs w:val="16"/>
              </w:rPr>
            </w:pPr>
            <w:r w:rsidRPr="0083798D">
              <w:rPr>
                <w:rFonts w:cs="Arial"/>
                <w:color w:val="000000"/>
                <w:sz w:val="16"/>
                <w:szCs w:val="16"/>
              </w:rPr>
              <w:t>108</w:t>
            </w:r>
          </w:p>
        </w:tc>
        <w:tc>
          <w:tcPr>
            <w:tcW w:w="880" w:type="dxa"/>
          </w:tcPr>
          <w:p w14:paraId="04678A54" w14:textId="77777777" w:rsidR="0059790B" w:rsidRPr="0083798D" w:rsidRDefault="0059790B" w:rsidP="0059790B">
            <w:pPr>
              <w:jc w:val="center"/>
              <w:rPr>
                <w:rFonts w:cs="Arial"/>
                <w:b/>
                <w:sz w:val="16"/>
                <w:szCs w:val="16"/>
              </w:rPr>
            </w:pPr>
            <w:r w:rsidRPr="0083798D">
              <w:rPr>
                <w:rFonts w:cs="Arial"/>
                <w:color w:val="000000"/>
                <w:sz w:val="16"/>
                <w:szCs w:val="16"/>
              </w:rPr>
              <w:t>90%</w:t>
            </w:r>
          </w:p>
        </w:tc>
        <w:tc>
          <w:tcPr>
            <w:tcW w:w="562" w:type="dxa"/>
          </w:tcPr>
          <w:p w14:paraId="13326B52" w14:textId="77777777" w:rsidR="0059790B" w:rsidRPr="0083798D" w:rsidRDefault="0059790B" w:rsidP="0059790B">
            <w:pPr>
              <w:jc w:val="center"/>
              <w:rPr>
                <w:rFonts w:cs="Arial"/>
                <w:b/>
                <w:sz w:val="16"/>
                <w:szCs w:val="16"/>
              </w:rPr>
            </w:pPr>
            <w:r w:rsidRPr="0083798D">
              <w:rPr>
                <w:rFonts w:cs="Arial"/>
                <w:color w:val="000000"/>
                <w:sz w:val="16"/>
                <w:szCs w:val="16"/>
              </w:rPr>
              <w:t>85%</w:t>
            </w:r>
          </w:p>
        </w:tc>
        <w:tc>
          <w:tcPr>
            <w:tcW w:w="880" w:type="dxa"/>
          </w:tcPr>
          <w:p w14:paraId="104BE21D" w14:textId="77777777" w:rsidR="0059790B" w:rsidRPr="0083798D" w:rsidRDefault="0059790B" w:rsidP="0059790B">
            <w:pPr>
              <w:jc w:val="center"/>
              <w:rPr>
                <w:rFonts w:cs="Arial"/>
                <w:b/>
                <w:sz w:val="16"/>
                <w:szCs w:val="16"/>
              </w:rPr>
            </w:pPr>
            <w:r w:rsidRPr="0083798D">
              <w:rPr>
                <w:rFonts w:cs="Arial"/>
                <w:color w:val="000000"/>
                <w:sz w:val="16"/>
                <w:szCs w:val="16"/>
              </w:rPr>
              <w:t>37%</w:t>
            </w:r>
          </w:p>
        </w:tc>
        <w:tc>
          <w:tcPr>
            <w:tcW w:w="562" w:type="dxa"/>
          </w:tcPr>
          <w:p w14:paraId="4A2E244A" w14:textId="77777777" w:rsidR="0059790B" w:rsidRPr="0083798D" w:rsidRDefault="0059790B" w:rsidP="0059790B">
            <w:pPr>
              <w:jc w:val="center"/>
              <w:rPr>
                <w:rFonts w:cs="Arial"/>
                <w:b/>
                <w:sz w:val="16"/>
                <w:szCs w:val="16"/>
              </w:rPr>
            </w:pPr>
            <w:r w:rsidRPr="0083798D">
              <w:rPr>
                <w:rFonts w:cs="Arial"/>
                <w:color w:val="000000"/>
                <w:sz w:val="16"/>
                <w:szCs w:val="16"/>
              </w:rPr>
              <w:t>26%</w:t>
            </w:r>
          </w:p>
        </w:tc>
        <w:tc>
          <w:tcPr>
            <w:tcW w:w="880" w:type="dxa"/>
          </w:tcPr>
          <w:p w14:paraId="6732F5BC" w14:textId="77777777" w:rsidR="0059790B" w:rsidRPr="0083798D" w:rsidRDefault="0059790B" w:rsidP="0059790B">
            <w:pPr>
              <w:jc w:val="center"/>
              <w:rPr>
                <w:rFonts w:cs="Arial"/>
                <w:b/>
                <w:sz w:val="16"/>
                <w:szCs w:val="16"/>
              </w:rPr>
            </w:pPr>
            <w:r w:rsidRPr="0083798D">
              <w:rPr>
                <w:rFonts w:cs="Arial"/>
                <w:color w:val="000000"/>
                <w:sz w:val="16"/>
                <w:szCs w:val="16"/>
              </w:rPr>
              <w:t>266</w:t>
            </w:r>
          </w:p>
        </w:tc>
        <w:tc>
          <w:tcPr>
            <w:tcW w:w="624" w:type="dxa"/>
          </w:tcPr>
          <w:p w14:paraId="290A18BF" w14:textId="77777777" w:rsidR="0059790B" w:rsidRPr="0083798D" w:rsidRDefault="0059790B" w:rsidP="0059790B">
            <w:pPr>
              <w:jc w:val="center"/>
              <w:rPr>
                <w:rFonts w:cs="Arial"/>
                <w:b/>
                <w:sz w:val="16"/>
                <w:szCs w:val="16"/>
              </w:rPr>
            </w:pPr>
            <w:r w:rsidRPr="0083798D">
              <w:rPr>
                <w:rFonts w:cs="Arial"/>
                <w:color w:val="000000"/>
                <w:sz w:val="16"/>
                <w:szCs w:val="16"/>
              </w:rPr>
              <w:t>222</w:t>
            </w:r>
          </w:p>
        </w:tc>
        <w:tc>
          <w:tcPr>
            <w:tcW w:w="880" w:type="dxa"/>
          </w:tcPr>
          <w:p w14:paraId="03641D00" w14:textId="77777777" w:rsidR="0059790B" w:rsidRPr="0083798D" w:rsidRDefault="0059790B" w:rsidP="0059790B">
            <w:pPr>
              <w:jc w:val="center"/>
              <w:rPr>
                <w:rFonts w:cs="Arial"/>
                <w:b/>
                <w:sz w:val="16"/>
                <w:szCs w:val="16"/>
              </w:rPr>
            </w:pPr>
            <w:r w:rsidRPr="0083798D">
              <w:rPr>
                <w:rFonts w:cs="Arial"/>
                <w:color w:val="000000"/>
                <w:sz w:val="16"/>
                <w:szCs w:val="16"/>
              </w:rPr>
              <w:t>86%</w:t>
            </w:r>
          </w:p>
        </w:tc>
        <w:tc>
          <w:tcPr>
            <w:tcW w:w="562" w:type="dxa"/>
          </w:tcPr>
          <w:p w14:paraId="32B932A9" w14:textId="77777777" w:rsidR="0059790B" w:rsidRPr="0083798D" w:rsidRDefault="0059790B" w:rsidP="0059790B">
            <w:pPr>
              <w:jc w:val="center"/>
              <w:rPr>
                <w:rFonts w:cs="Arial"/>
                <w:b/>
                <w:sz w:val="16"/>
                <w:szCs w:val="16"/>
              </w:rPr>
            </w:pPr>
            <w:r w:rsidRPr="0083798D">
              <w:rPr>
                <w:rFonts w:cs="Arial"/>
                <w:color w:val="000000"/>
                <w:sz w:val="16"/>
                <w:szCs w:val="16"/>
              </w:rPr>
              <w:t>70%</w:t>
            </w:r>
          </w:p>
        </w:tc>
        <w:tc>
          <w:tcPr>
            <w:tcW w:w="880" w:type="dxa"/>
          </w:tcPr>
          <w:p w14:paraId="05D956F0" w14:textId="77777777" w:rsidR="0059790B" w:rsidRPr="0083798D" w:rsidRDefault="0059790B" w:rsidP="0059790B">
            <w:pPr>
              <w:jc w:val="center"/>
              <w:rPr>
                <w:rFonts w:cs="Arial"/>
                <w:b/>
                <w:sz w:val="16"/>
                <w:szCs w:val="16"/>
              </w:rPr>
            </w:pPr>
            <w:r w:rsidRPr="0083798D">
              <w:rPr>
                <w:rFonts w:cs="Arial"/>
                <w:color w:val="000000"/>
                <w:sz w:val="16"/>
                <w:szCs w:val="16"/>
              </w:rPr>
              <w:t>6%</w:t>
            </w:r>
          </w:p>
        </w:tc>
        <w:tc>
          <w:tcPr>
            <w:tcW w:w="562" w:type="dxa"/>
          </w:tcPr>
          <w:p w14:paraId="7DE8EAFC" w14:textId="77777777" w:rsidR="0059790B" w:rsidRPr="0083798D" w:rsidRDefault="0059790B" w:rsidP="0059790B">
            <w:pPr>
              <w:jc w:val="center"/>
              <w:rPr>
                <w:rFonts w:cs="Arial"/>
                <w:b/>
                <w:sz w:val="16"/>
                <w:szCs w:val="16"/>
              </w:rPr>
            </w:pPr>
            <w:r w:rsidRPr="0083798D">
              <w:rPr>
                <w:rFonts w:cs="Arial"/>
                <w:color w:val="000000"/>
                <w:sz w:val="16"/>
                <w:szCs w:val="16"/>
              </w:rPr>
              <w:t>3%</w:t>
            </w:r>
          </w:p>
        </w:tc>
      </w:tr>
      <w:tr w:rsidR="0059790B" w:rsidRPr="0083798D" w14:paraId="5A33ACDE" w14:textId="77777777" w:rsidTr="0059790B">
        <w:trPr>
          <w:trHeight w:hRule="exact" w:val="680"/>
        </w:trPr>
        <w:tc>
          <w:tcPr>
            <w:tcW w:w="1055" w:type="dxa"/>
          </w:tcPr>
          <w:p w14:paraId="68D58F09" w14:textId="77777777" w:rsidR="0059790B" w:rsidRPr="00A320AC" w:rsidRDefault="0059790B" w:rsidP="0059790B">
            <w:pPr>
              <w:jc w:val="center"/>
              <w:rPr>
                <w:rFonts w:cs="Arial"/>
                <w:b/>
                <w:sz w:val="16"/>
                <w:szCs w:val="16"/>
              </w:rPr>
            </w:pPr>
            <w:r w:rsidRPr="00A320AC">
              <w:rPr>
                <w:rFonts w:cs="Arial"/>
                <w:b/>
                <w:sz w:val="16"/>
                <w:szCs w:val="16"/>
              </w:rPr>
              <w:t>Splits for part-time students</w:t>
            </w:r>
          </w:p>
        </w:tc>
        <w:tc>
          <w:tcPr>
            <w:tcW w:w="880" w:type="dxa"/>
          </w:tcPr>
          <w:p w14:paraId="63DD2D26" w14:textId="77777777" w:rsidR="0059790B" w:rsidRPr="0083798D" w:rsidRDefault="0059790B" w:rsidP="0059790B">
            <w:pPr>
              <w:jc w:val="center"/>
              <w:rPr>
                <w:rFonts w:cs="Arial"/>
                <w:b/>
                <w:sz w:val="16"/>
                <w:szCs w:val="16"/>
              </w:rPr>
            </w:pPr>
            <w:r w:rsidRPr="0083798D">
              <w:rPr>
                <w:rFonts w:cs="Arial"/>
                <w:color w:val="000000"/>
                <w:sz w:val="16"/>
                <w:szCs w:val="16"/>
              </w:rPr>
              <w:t>3,810</w:t>
            </w:r>
          </w:p>
        </w:tc>
        <w:tc>
          <w:tcPr>
            <w:tcW w:w="624" w:type="dxa"/>
          </w:tcPr>
          <w:p w14:paraId="371A05B0" w14:textId="77777777" w:rsidR="0059790B" w:rsidRPr="0083798D" w:rsidRDefault="0059790B" w:rsidP="0059790B">
            <w:pPr>
              <w:jc w:val="center"/>
              <w:rPr>
                <w:rFonts w:cs="Arial"/>
                <w:b/>
                <w:sz w:val="16"/>
                <w:szCs w:val="16"/>
              </w:rPr>
            </w:pPr>
            <w:r w:rsidRPr="0083798D">
              <w:rPr>
                <w:rFonts w:cs="Arial"/>
                <w:color w:val="000000"/>
                <w:sz w:val="16"/>
                <w:szCs w:val="16"/>
              </w:rPr>
              <w:t>3,300</w:t>
            </w:r>
          </w:p>
        </w:tc>
        <w:tc>
          <w:tcPr>
            <w:tcW w:w="880" w:type="dxa"/>
          </w:tcPr>
          <w:p w14:paraId="7C590694" w14:textId="77777777" w:rsidR="0059790B" w:rsidRPr="0083798D" w:rsidRDefault="0059790B" w:rsidP="0059790B">
            <w:pPr>
              <w:jc w:val="center"/>
              <w:rPr>
                <w:rFonts w:cs="Arial"/>
                <w:b/>
                <w:sz w:val="16"/>
                <w:szCs w:val="16"/>
              </w:rPr>
            </w:pPr>
            <w:r w:rsidRPr="0083798D">
              <w:rPr>
                <w:rFonts w:cs="Arial"/>
                <w:color w:val="000000"/>
                <w:sz w:val="16"/>
                <w:szCs w:val="16"/>
              </w:rPr>
              <w:t>66%</w:t>
            </w:r>
          </w:p>
        </w:tc>
        <w:tc>
          <w:tcPr>
            <w:tcW w:w="562" w:type="dxa"/>
          </w:tcPr>
          <w:p w14:paraId="7E5E4D34" w14:textId="77777777" w:rsidR="0059790B" w:rsidRPr="0083798D" w:rsidRDefault="0059790B" w:rsidP="0059790B">
            <w:pPr>
              <w:jc w:val="center"/>
              <w:rPr>
                <w:rFonts w:cs="Arial"/>
                <w:b/>
                <w:sz w:val="16"/>
                <w:szCs w:val="16"/>
              </w:rPr>
            </w:pPr>
            <w:r w:rsidRPr="0083798D">
              <w:rPr>
                <w:rFonts w:cs="Arial"/>
                <w:color w:val="000000"/>
                <w:sz w:val="16"/>
                <w:szCs w:val="16"/>
              </w:rPr>
              <w:t>51%</w:t>
            </w:r>
          </w:p>
        </w:tc>
        <w:tc>
          <w:tcPr>
            <w:tcW w:w="880" w:type="dxa"/>
          </w:tcPr>
          <w:p w14:paraId="02C4C466" w14:textId="77777777" w:rsidR="0059790B" w:rsidRPr="0083798D" w:rsidRDefault="0059790B" w:rsidP="0059790B">
            <w:pPr>
              <w:jc w:val="center"/>
              <w:rPr>
                <w:rFonts w:cs="Arial"/>
                <w:b/>
                <w:sz w:val="16"/>
                <w:szCs w:val="16"/>
              </w:rPr>
            </w:pPr>
            <w:r w:rsidRPr="0083798D">
              <w:rPr>
                <w:rFonts w:cs="Arial"/>
                <w:color w:val="000000"/>
                <w:sz w:val="16"/>
                <w:szCs w:val="16"/>
              </w:rPr>
              <w:t>10%</w:t>
            </w:r>
          </w:p>
        </w:tc>
        <w:tc>
          <w:tcPr>
            <w:tcW w:w="562" w:type="dxa"/>
          </w:tcPr>
          <w:p w14:paraId="51AF1DF3" w14:textId="77777777" w:rsidR="0059790B" w:rsidRPr="0083798D" w:rsidRDefault="0059790B" w:rsidP="0059790B">
            <w:pPr>
              <w:jc w:val="center"/>
              <w:rPr>
                <w:rFonts w:cs="Arial"/>
                <w:b/>
                <w:sz w:val="16"/>
                <w:szCs w:val="16"/>
              </w:rPr>
            </w:pPr>
            <w:r w:rsidRPr="0083798D">
              <w:rPr>
                <w:rFonts w:cs="Arial"/>
                <w:color w:val="000000"/>
                <w:sz w:val="16"/>
                <w:szCs w:val="16"/>
              </w:rPr>
              <w:t>6%</w:t>
            </w:r>
          </w:p>
        </w:tc>
        <w:tc>
          <w:tcPr>
            <w:tcW w:w="880" w:type="dxa"/>
          </w:tcPr>
          <w:p w14:paraId="461CC327" w14:textId="77777777" w:rsidR="0059790B" w:rsidRPr="0083798D" w:rsidRDefault="0059790B" w:rsidP="0059790B">
            <w:pPr>
              <w:jc w:val="center"/>
              <w:rPr>
                <w:rFonts w:cs="Arial"/>
                <w:b/>
                <w:sz w:val="16"/>
                <w:szCs w:val="16"/>
              </w:rPr>
            </w:pPr>
            <w:r w:rsidRPr="0083798D">
              <w:rPr>
                <w:rFonts w:cs="Arial"/>
                <w:color w:val="000000"/>
                <w:sz w:val="16"/>
                <w:szCs w:val="16"/>
              </w:rPr>
              <w:t>1,150</w:t>
            </w:r>
          </w:p>
        </w:tc>
        <w:tc>
          <w:tcPr>
            <w:tcW w:w="624" w:type="dxa"/>
          </w:tcPr>
          <w:p w14:paraId="587791C6" w14:textId="77777777" w:rsidR="0059790B" w:rsidRPr="0083798D" w:rsidRDefault="0059790B" w:rsidP="0059790B">
            <w:pPr>
              <w:jc w:val="center"/>
              <w:rPr>
                <w:rFonts w:cs="Arial"/>
                <w:b/>
                <w:sz w:val="16"/>
                <w:szCs w:val="16"/>
              </w:rPr>
            </w:pPr>
            <w:r w:rsidRPr="0083798D">
              <w:rPr>
                <w:rFonts w:cs="Arial"/>
                <w:color w:val="000000"/>
                <w:sz w:val="16"/>
                <w:szCs w:val="16"/>
              </w:rPr>
              <w:t>1,080</w:t>
            </w:r>
          </w:p>
        </w:tc>
        <w:tc>
          <w:tcPr>
            <w:tcW w:w="880" w:type="dxa"/>
          </w:tcPr>
          <w:p w14:paraId="7E203444" w14:textId="77777777" w:rsidR="0059790B" w:rsidRPr="0083798D" w:rsidRDefault="0059790B" w:rsidP="0059790B">
            <w:pPr>
              <w:jc w:val="center"/>
              <w:rPr>
                <w:rFonts w:cs="Arial"/>
                <w:b/>
                <w:sz w:val="16"/>
                <w:szCs w:val="16"/>
              </w:rPr>
            </w:pPr>
            <w:r w:rsidRPr="0083798D">
              <w:rPr>
                <w:rFonts w:cs="Arial"/>
                <w:color w:val="000000"/>
                <w:sz w:val="16"/>
                <w:szCs w:val="16"/>
              </w:rPr>
              <w:t>80%</w:t>
            </w:r>
          </w:p>
        </w:tc>
        <w:tc>
          <w:tcPr>
            <w:tcW w:w="562" w:type="dxa"/>
          </w:tcPr>
          <w:p w14:paraId="3481FEA7" w14:textId="77777777" w:rsidR="0059790B" w:rsidRPr="0083798D" w:rsidRDefault="0059790B" w:rsidP="0059790B">
            <w:pPr>
              <w:jc w:val="center"/>
              <w:rPr>
                <w:rFonts w:cs="Arial"/>
                <w:b/>
                <w:sz w:val="16"/>
                <w:szCs w:val="16"/>
              </w:rPr>
            </w:pPr>
            <w:r w:rsidRPr="0083798D">
              <w:rPr>
                <w:rFonts w:cs="Arial"/>
                <w:color w:val="000000"/>
                <w:sz w:val="16"/>
                <w:szCs w:val="16"/>
              </w:rPr>
              <w:t>69%</w:t>
            </w:r>
          </w:p>
        </w:tc>
        <w:tc>
          <w:tcPr>
            <w:tcW w:w="880" w:type="dxa"/>
          </w:tcPr>
          <w:p w14:paraId="7A132082" w14:textId="77777777" w:rsidR="0059790B" w:rsidRPr="0083798D" w:rsidRDefault="0059790B" w:rsidP="0059790B">
            <w:pPr>
              <w:jc w:val="center"/>
              <w:rPr>
                <w:rFonts w:cs="Arial"/>
                <w:b/>
                <w:sz w:val="16"/>
                <w:szCs w:val="16"/>
              </w:rPr>
            </w:pPr>
            <w:r w:rsidRPr="0083798D">
              <w:rPr>
                <w:rFonts w:cs="Arial"/>
                <w:color w:val="000000"/>
                <w:sz w:val="16"/>
                <w:szCs w:val="16"/>
              </w:rPr>
              <w:t>25%</w:t>
            </w:r>
          </w:p>
        </w:tc>
        <w:tc>
          <w:tcPr>
            <w:tcW w:w="562" w:type="dxa"/>
          </w:tcPr>
          <w:p w14:paraId="4AD3253F" w14:textId="77777777" w:rsidR="0059790B" w:rsidRPr="0083798D" w:rsidRDefault="0059790B" w:rsidP="0059790B">
            <w:pPr>
              <w:jc w:val="center"/>
              <w:rPr>
                <w:rFonts w:cs="Arial"/>
                <w:b/>
                <w:sz w:val="16"/>
                <w:szCs w:val="16"/>
              </w:rPr>
            </w:pPr>
            <w:r w:rsidRPr="0083798D">
              <w:rPr>
                <w:rFonts w:cs="Arial"/>
                <w:color w:val="000000"/>
                <w:sz w:val="16"/>
                <w:szCs w:val="16"/>
              </w:rPr>
              <w:t>16%</w:t>
            </w:r>
          </w:p>
        </w:tc>
        <w:tc>
          <w:tcPr>
            <w:tcW w:w="880" w:type="dxa"/>
          </w:tcPr>
          <w:p w14:paraId="2148ABD8" w14:textId="77777777" w:rsidR="0059790B" w:rsidRPr="0083798D" w:rsidRDefault="0059790B" w:rsidP="0059790B">
            <w:pPr>
              <w:jc w:val="center"/>
              <w:rPr>
                <w:rFonts w:cs="Arial"/>
                <w:b/>
                <w:sz w:val="16"/>
                <w:szCs w:val="16"/>
              </w:rPr>
            </w:pPr>
            <w:r w:rsidRPr="0083798D">
              <w:rPr>
                <w:rFonts w:cs="Arial"/>
                <w:color w:val="000000"/>
                <w:sz w:val="16"/>
                <w:szCs w:val="16"/>
              </w:rPr>
              <w:t>2,660</w:t>
            </w:r>
          </w:p>
        </w:tc>
        <w:tc>
          <w:tcPr>
            <w:tcW w:w="624" w:type="dxa"/>
          </w:tcPr>
          <w:p w14:paraId="7BF53BA8" w14:textId="77777777" w:rsidR="0059790B" w:rsidRPr="0083798D" w:rsidRDefault="0059790B" w:rsidP="0059790B">
            <w:pPr>
              <w:jc w:val="center"/>
              <w:rPr>
                <w:rFonts w:cs="Arial"/>
                <w:b/>
                <w:sz w:val="16"/>
                <w:szCs w:val="16"/>
              </w:rPr>
            </w:pPr>
            <w:r w:rsidRPr="0083798D">
              <w:rPr>
                <w:rFonts w:cs="Arial"/>
                <w:color w:val="000000"/>
                <w:sz w:val="16"/>
                <w:szCs w:val="16"/>
              </w:rPr>
              <w:t>2,220</w:t>
            </w:r>
          </w:p>
        </w:tc>
        <w:tc>
          <w:tcPr>
            <w:tcW w:w="880" w:type="dxa"/>
          </w:tcPr>
          <w:p w14:paraId="09FE9319" w14:textId="77777777" w:rsidR="0059790B" w:rsidRPr="0083798D" w:rsidRDefault="0059790B" w:rsidP="0059790B">
            <w:pPr>
              <w:jc w:val="center"/>
              <w:rPr>
                <w:rFonts w:cs="Arial"/>
                <w:b/>
                <w:sz w:val="16"/>
                <w:szCs w:val="16"/>
              </w:rPr>
            </w:pPr>
            <w:r w:rsidRPr="0083798D">
              <w:rPr>
                <w:rFonts w:cs="Arial"/>
                <w:color w:val="000000"/>
                <w:sz w:val="16"/>
                <w:szCs w:val="16"/>
              </w:rPr>
              <w:t>60%</w:t>
            </w:r>
          </w:p>
        </w:tc>
        <w:tc>
          <w:tcPr>
            <w:tcW w:w="562" w:type="dxa"/>
          </w:tcPr>
          <w:p w14:paraId="065DCB53" w14:textId="77777777" w:rsidR="0059790B" w:rsidRPr="0083798D" w:rsidRDefault="0059790B" w:rsidP="0059790B">
            <w:pPr>
              <w:jc w:val="center"/>
              <w:rPr>
                <w:rFonts w:cs="Arial"/>
                <w:b/>
                <w:sz w:val="16"/>
                <w:szCs w:val="16"/>
              </w:rPr>
            </w:pPr>
            <w:r w:rsidRPr="0083798D">
              <w:rPr>
                <w:rFonts w:cs="Arial"/>
                <w:color w:val="000000"/>
                <w:sz w:val="16"/>
                <w:szCs w:val="16"/>
              </w:rPr>
              <w:t>43%</w:t>
            </w:r>
          </w:p>
        </w:tc>
        <w:tc>
          <w:tcPr>
            <w:tcW w:w="880" w:type="dxa"/>
          </w:tcPr>
          <w:p w14:paraId="574DED31" w14:textId="77777777" w:rsidR="0059790B" w:rsidRPr="0083798D" w:rsidRDefault="0059790B" w:rsidP="0059790B">
            <w:pPr>
              <w:jc w:val="center"/>
              <w:rPr>
                <w:rFonts w:cs="Arial"/>
                <w:b/>
                <w:sz w:val="16"/>
                <w:szCs w:val="16"/>
              </w:rPr>
            </w:pPr>
            <w:r w:rsidRPr="0083798D">
              <w:rPr>
                <w:rFonts w:cs="Arial"/>
                <w:color w:val="000000"/>
                <w:sz w:val="16"/>
                <w:szCs w:val="16"/>
              </w:rPr>
              <w:t>4%</w:t>
            </w:r>
          </w:p>
        </w:tc>
        <w:tc>
          <w:tcPr>
            <w:tcW w:w="562" w:type="dxa"/>
          </w:tcPr>
          <w:p w14:paraId="639159EC" w14:textId="77777777" w:rsidR="0059790B" w:rsidRPr="0083798D" w:rsidRDefault="0059790B" w:rsidP="0059790B">
            <w:pPr>
              <w:jc w:val="center"/>
              <w:rPr>
                <w:rFonts w:cs="Arial"/>
                <w:b/>
                <w:sz w:val="16"/>
                <w:szCs w:val="16"/>
              </w:rPr>
            </w:pPr>
            <w:r w:rsidRPr="0083798D">
              <w:rPr>
                <w:rFonts w:cs="Arial"/>
                <w:color w:val="000000"/>
                <w:sz w:val="16"/>
                <w:szCs w:val="16"/>
              </w:rPr>
              <w:t>2%</w:t>
            </w:r>
          </w:p>
        </w:tc>
      </w:tr>
      <w:tr w:rsidR="0059790B" w:rsidRPr="00C62592" w14:paraId="204FBA2B" w14:textId="77777777" w:rsidTr="0059790B">
        <w:trPr>
          <w:trHeight w:hRule="exact" w:val="680"/>
        </w:trPr>
        <w:tc>
          <w:tcPr>
            <w:tcW w:w="14219" w:type="dxa"/>
            <w:gridSpan w:val="19"/>
          </w:tcPr>
          <w:p w14:paraId="0B7B9D57" w14:textId="77777777" w:rsidR="0059790B" w:rsidRPr="00A320AC" w:rsidRDefault="0059790B" w:rsidP="0059790B">
            <w:pPr>
              <w:jc w:val="center"/>
              <w:rPr>
                <w:rFonts w:cs="Arial"/>
                <w:b/>
                <w:sz w:val="16"/>
                <w:szCs w:val="16"/>
              </w:rPr>
            </w:pPr>
            <w:r w:rsidRPr="00A320AC">
              <w:rPr>
                <w:rFonts w:cs="Arial"/>
                <w:b/>
                <w:sz w:val="16"/>
                <w:szCs w:val="16"/>
              </w:rPr>
              <w:t>Highly skilled jobs or further study</w:t>
            </w:r>
          </w:p>
        </w:tc>
      </w:tr>
      <w:tr w:rsidR="0059790B" w:rsidRPr="00C62592" w14:paraId="020C9646" w14:textId="77777777" w:rsidTr="0059790B">
        <w:trPr>
          <w:trHeight w:hRule="exact" w:val="680"/>
        </w:trPr>
        <w:tc>
          <w:tcPr>
            <w:tcW w:w="1055" w:type="dxa"/>
          </w:tcPr>
          <w:p w14:paraId="2DA5D9DD" w14:textId="77777777" w:rsidR="0059790B" w:rsidRPr="00A320AC" w:rsidRDefault="0059790B" w:rsidP="0059790B">
            <w:pPr>
              <w:jc w:val="center"/>
              <w:rPr>
                <w:rFonts w:cs="Arial"/>
                <w:b/>
                <w:sz w:val="16"/>
                <w:szCs w:val="16"/>
              </w:rPr>
            </w:pPr>
            <w:r w:rsidRPr="00A320AC">
              <w:rPr>
                <w:rFonts w:cs="Arial"/>
                <w:b/>
                <w:sz w:val="16"/>
                <w:szCs w:val="16"/>
              </w:rPr>
              <w:t>Full-time students</w:t>
            </w:r>
          </w:p>
        </w:tc>
        <w:tc>
          <w:tcPr>
            <w:tcW w:w="880" w:type="dxa"/>
          </w:tcPr>
          <w:p w14:paraId="4EA3CFBF" w14:textId="77777777" w:rsidR="0059790B" w:rsidRPr="0083798D" w:rsidRDefault="0059790B" w:rsidP="0059790B">
            <w:pPr>
              <w:jc w:val="center"/>
              <w:rPr>
                <w:rFonts w:cs="Arial"/>
                <w:b/>
                <w:sz w:val="16"/>
                <w:szCs w:val="16"/>
              </w:rPr>
            </w:pPr>
            <w:r w:rsidRPr="0083798D">
              <w:rPr>
                <w:rFonts w:cs="Arial"/>
                <w:color w:val="000000"/>
                <w:sz w:val="16"/>
                <w:szCs w:val="16"/>
              </w:rPr>
              <w:t>368</w:t>
            </w:r>
          </w:p>
        </w:tc>
        <w:tc>
          <w:tcPr>
            <w:tcW w:w="624" w:type="dxa"/>
          </w:tcPr>
          <w:p w14:paraId="7D65B1C4" w14:textId="77777777" w:rsidR="0059790B" w:rsidRPr="0083798D" w:rsidRDefault="0059790B" w:rsidP="0059790B">
            <w:pPr>
              <w:jc w:val="center"/>
              <w:rPr>
                <w:rFonts w:cs="Arial"/>
                <w:b/>
                <w:sz w:val="16"/>
                <w:szCs w:val="16"/>
              </w:rPr>
            </w:pPr>
            <w:r w:rsidRPr="0083798D">
              <w:rPr>
                <w:rFonts w:cs="Arial"/>
                <w:color w:val="000000"/>
                <w:sz w:val="16"/>
                <w:szCs w:val="16"/>
              </w:rPr>
              <w:t>339</w:t>
            </w:r>
          </w:p>
        </w:tc>
        <w:tc>
          <w:tcPr>
            <w:tcW w:w="880" w:type="dxa"/>
          </w:tcPr>
          <w:p w14:paraId="4161B52C" w14:textId="77777777" w:rsidR="0059790B" w:rsidRPr="0083798D" w:rsidRDefault="0059790B" w:rsidP="0059790B">
            <w:pPr>
              <w:jc w:val="center"/>
              <w:rPr>
                <w:rFonts w:cs="Arial"/>
                <w:b/>
                <w:sz w:val="16"/>
                <w:szCs w:val="16"/>
              </w:rPr>
            </w:pPr>
            <w:r w:rsidRPr="0083798D">
              <w:rPr>
                <w:rFonts w:cs="Arial"/>
                <w:color w:val="000000"/>
                <w:sz w:val="16"/>
                <w:szCs w:val="16"/>
              </w:rPr>
              <w:t>89%</w:t>
            </w:r>
          </w:p>
        </w:tc>
        <w:tc>
          <w:tcPr>
            <w:tcW w:w="562" w:type="dxa"/>
          </w:tcPr>
          <w:p w14:paraId="5C703452" w14:textId="77777777" w:rsidR="0059790B" w:rsidRPr="0083798D" w:rsidRDefault="0059790B" w:rsidP="0059790B">
            <w:pPr>
              <w:jc w:val="center"/>
              <w:rPr>
                <w:rFonts w:cs="Arial"/>
                <w:b/>
                <w:sz w:val="16"/>
                <w:szCs w:val="16"/>
              </w:rPr>
            </w:pPr>
            <w:r w:rsidRPr="0083798D">
              <w:rPr>
                <w:rFonts w:cs="Arial"/>
                <w:color w:val="000000"/>
                <w:sz w:val="16"/>
                <w:szCs w:val="16"/>
              </w:rPr>
              <w:t>77%</w:t>
            </w:r>
          </w:p>
        </w:tc>
        <w:tc>
          <w:tcPr>
            <w:tcW w:w="880" w:type="dxa"/>
          </w:tcPr>
          <w:p w14:paraId="579417BD" w14:textId="77777777" w:rsidR="0059790B" w:rsidRPr="0083798D" w:rsidRDefault="0059790B" w:rsidP="0059790B">
            <w:pPr>
              <w:jc w:val="center"/>
              <w:rPr>
                <w:rFonts w:cs="Arial"/>
                <w:b/>
                <w:sz w:val="16"/>
                <w:szCs w:val="16"/>
              </w:rPr>
            </w:pPr>
            <w:r w:rsidRPr="0083798D">
              <w:rPr>
                <w:rFonts w:cs="Arial"/>
                <w:color w:val="000000"/>
                <w:sz w:val="16"/>
                <w:szCs w:val="16"/>
              </w:rPr>
              <w:t>45%</w:t>
            </w:r>
          </w:p>
        </w:tc>
        <w:tc>
          <w:tcPr>
            <w:tcW w:w="562" w:type="dxa"/>
          </w:tcPr>
          <w:p w14:paraId="675F815A" w14:textId="77777777" w:rsidR="0059790B" w:rsidRPr="0083798D" w:rsidRDefault="0059790B" w:rsidP="0059790B">
            <w:pPr>
              <w:jc w:val="center"/>
              <w:rPr>
                <w:rFonts w:cs="Arial"/>
                <w:b/>
                <w:sz w:val="16"/>
                <w:szCs w:val="16"/>
              </w:rPr>
            </w:pPr>
            <w:r w:rsidRPr="0083798D">
              <w:rPr>
                <w:rFonts w:cs="Arial"/>
                <w:color w:val="000000"/>
                <w:sz w:val="16"/>
                <w:szCs w:val="16"/>
              </w:rPr>
              <w:t>36%</w:t>
            </w:r>
          </w:p>
        </w:tc>
        <w:tc>
          <w:tcPr>
            <w:tcW w:w="880" w:type="dxa"/>
          </w:tcPr>
          <w:p w14:paraId="55F255C7" w14:textId="77777777" w:rsidR="0059790B" w:rsidRPr="0083798D" w:rsidRDefault="0059790B" w:rsidP="0059790B">
            <w:pPr>
              <w:jc w:val="center"/>
              <w:rPr>
                <w:rFonts w:cs="Arial"/>
                <w:b/>
                <w:sz w:val="16"/>
                <w:szCs w:val="16"/>
              </w:rPr>
            </w:pPr>
            <w:r w:rsidRPr="0083798D">
              <w:rPr>
                <w:rFonts w:cs="Arial"/>
                <w:color w:val="000000"/>
                <w:sz w:val="16"/>
                <w:szCs w:val="16"/>
              </w:rPr>
              <w:t>126</w:t>
            </w:r>
          </w:p>
        </w:tc>
        <w:tc>
          <w:tcPr>
            <w:tcW w:w="624" w:type="dxa"/>
          </w:tcPr>
          <w:p w14:paraId="4CD18557" w14:textId="77777777" w:rsidR="0059790B" w:rsidRPr="0083798D" w:rsidRDefault="0059790B" w:rsidP="0059790B">
            <w:pPr>
              <w:jc w:val="center"/>
              <w:rPr>
                <w:rFonts w:cs="Arial"/>
                <w:b/>
                <w:sz w:val="16"/>
                <w:szCs w:val="16"/>
              </w:rPr>
            </w:pPr>
            <w:r w:rsidRPr="0083798D">
              <w:rPr>
                <w:rFonts w:cs="Arial"/>
                <w:color w:val="000000"/>
                <w:sz w:val="16"/>
                <w:szCs w:val="16"/>
              </w:rPr>
              <w:t>124</w:t>
            </w:r>
          </w:p>
        </w:tc>
        <w:tc>
          <w:tcPr>
            <w:tcW w:w="880" w:type="dxa"/>
          </w:tcPr>
          <w:p w14:paraId="1CF5307A" w14:textId="77777777" w:rsidR="0059790B" w:rsidRPr="0083798D" w:rsidRDefault="0059790B" w:rsidP="0059790B">
            <w:pPr>
              <w:jc w:val="center"/>
              <w:rPr>
                <w:rFonts w:cs="Arial"/>
                <w:b/>
                <w:sz w:val="16"/>
                <w:szCs w:val="16"/>
              </w:rPr>
            </w:pPr>
            <w:r w:rsidRPr="0083798D">
              <w:rPr>
                <w:rFonts w:cs="Arial"/>
                <w:color w:val="000000"/>
                <w:sz w:val="16"/>
                <w:szCs w:val="16"/>
              </w:rPr>
              <w:t>98%</w:t>
            </w:r>
          </w:p>
        </w:tc>
        <w:tc>
          <w:tcPr>
            <w:tcW w:w="562" w:type="dxa"/>
          </w:tcPr>
          <w:p w14:paraId="055171F2" w14:textId="77777777" w:rsidR="0059790B" w:rsidRPr="0083798D" w:rsidRDefault="0059790B" w:rsidP="0059790B">
            <w:pPr>
              <w:jc w:val="center"/>
              <w:rPr>
                <w:rFonts w:cs="Arial"/>
                <w:b/>
                <w:sz w:val="16"/>
                <w:szCs w:val="16"/>
              </w:rPr>
            </w:pPr>
            <w:r w:rsidRPr="0083798D">
              <w:rPr>
                <w:rFonts w:cs="Arial"/>
                <w:color w:val="000000"/>
                <w:sz w:val="16"/>
                <w:szCs w:val="16"/>
              </w:rPr>
              <w:t>98%</w:t>
            </w:r>
          </w:p>
        </w:tc>
        <w:tc>
          <w:tcPr>
            <w:tcW w:w="880" w:type="dxa"/>
          </w:tcPr>
          <w:p w14:paraId="208CF82E" w14:textId="77777777" w:rsidR="0059790B" w:rsidRPr="0083798D" w:rsidRDefault="0059790B" w:rsidP="0059790B">
            <w:pPr>
              <w:jc w:val="center"/>
              <w:rPr>
                <w:rFonts w:cs="Arial"/>
                <w:b/>
                <w:sz w:val="16"/>
                <w:szCs w:val="16"/>
              </w:rPr>
            </w:pPr>
            <w:r w:rsidRPr="0083798D">
              <w:rPr>
                <w:rFonts w:cs="Arial"/>
                <w:color w:val="000000"/>
                <w:sz w:val="16"/>
                <w:szCs w:val="16"/>
              </w:rPr>
              <w:t>74%</w:t>
            </w:r>
          </w:p>
        </w:tc>
        <w:tc>
          <w:tcPr>
            <w:tcW w:w="562" w:type="dxa"/>
          </w:tcPr>
          <w:p w14:paraId="5B19B714" w14:textId="77777777" w:rsidR="0059790B" w:rsidRPr="0083798D" w:rsidRDefault="0059790B" w:rsidP="0059790B">
            <w:pPr>
              <w:jc w:val="center"/>
              <w:rPr>
                <w:rFonts w:cs="Arial"/>
                <w:b/>
                <w:sz w:val="16"/>
                <w:szCs w:val="16"/>
              </w:rPr>
            </w:pPr>
            <w:r w:rsidRPr="0083798D">
              <w:rPr>
                <w:rFonts w:cs="Arial"/>
                <w:color w:val="000000"/>
                <w:sz w:val="16"/>
                <w:szCs w:val="16"/>
              </w:rPr>
              <w:t>60%</w:t>
            </w:r>
          </w:p>
        </w:tc>
        <w:tc>
          <w:tcPr>
            <w:tcW w:w="880" w:type="dxa"/>
          </w:tcPr>
          <w:p w14:paraId="04916737" w14:textId="77777777" w:rsidR="0059790B" w:rsidRPr="0083798D" w:rsidRDefault="0059790B" w:rsidP="0059790B">
            <w:pPr>
              <w:jc w:val="center"/>
              <w:rPr>
                <w:rFonts w:cs="Arial"/>
                <w:b/>
                <w:sz w:val="16"/>
                <w:szCs w:val="16"/>
              </w:rPr>
            </w:pPr>
            <w:r w:rsidRPr="0083798D">
              <w:rPr>
                <w:rFonts w:cs="Arial"/>
                <w:color w:val="000000"/>
                <w:sz w:val="16"/>
                <w:szCs w:val="16"/>
              </w:rPr>
              <w:t>242</w:t>
            </w:r>
          </w:p>
        </w:tc>
        <w:tc>
          <w:tcPr>
            <w:tcW w:w="624" w:type="dxa"/>
          </w:tcPr>
          <w:p w14:paraId="59316080" w14:textId="77777777" w:rsidR="0059790B" w:rsidRPr="0083798D" w:rsidRDefault="0059790B" w:rsidP="0059790B">
            <w:pPr>
              <w:jc w:val="center"/>
              <w:rPr>
                <w:rFonts w:cs="Arial"/>
                <w:b/>
                <w:sz w:val="16"/>
                <w:szCs w:val="16"/>
              </w:rPr>
            </w:pPr>
            <w:r w:rsidRPr="0083798D">
              <w:rPr>
                <w:rFonts w:cs="Arial"/>
                <w:color w:val="000000"/>
                <w:sz w:val="16"/>
                <w:szCs w:val="16"/>
              </w:rPr>
              <w:t>215</w:t>
            </w:r>
          </w:p>
        </w:tc>
        <w:tc>
          <w:tcPr>
            <w:tcW w:w="880" w:type="dxa"/>
          </w:tcPr>
          <w:p w14:paraId="564FFF31" w14:textId="77777777" w:rsidR="0059790B" w:rsidRPr="0083798D" w:rsidRDefault="0059790B" w:rsidP="0059790B">
            <w:pPr>
              <w:jc w:val="center"/>
              <w:rPr>
                <w:rFonts w:cs="Arial"/>
                <w:b/>
                <w:sz w:val="16"/>
                <w:szCs w:val="16"/>
              </w:rPr>
            </w:pPr>
            <w:r w:rsidRPr="0083798D">
              <w:rPr>
                <w:rFonts w:cs="Arial"/>
                <w:color w:val="000000"/>
                <w:sz w:val="16"/>
                <w:szCs w:val="16"/>
              </w:rPr>
              <w:t>84%</w:t>
            </w:r>
          </w:p>
        </w:tc>
        <w:tc>
          <w:tcPr>
            <w:tcW w:w="562" w:type="dxa"/>
          </w:tcPr>
          <w:p w14:paraId="55FDDBD5" w14:textId="77777777" w:rsidR="0059790B" w:rsidRPr="0083798D" w:rsidRDefault="0059790B" w:rsidP="0059790B">
            <w:pPr>
              <w:jc w:val="center"/>
              <w:rPr>
                <w:rFonts w:cs="Arial"/>
                <w:b/>
                <w:sz w:val="16"/>
                <w:szCs w:val="16"/>
              </w:rPr>
            </w:pPr>
            <w:r w:rsidRPr="0083798D">
              <w:rPr>
                <w:rFonts w:cs="Arial"/>
                <w:color w:val="000000"/>
                <w:sz w:val="16"/>
                <w:szCs w:val="16"/>
              </w:rPr>
              <w:t>65%</w:t>
            </w:r>
          </w:p>
        </w:tc>
        <w:tc>
          <w:tcPr>
            <w:tcW w:w="880" w:type="dxa"/>
          </w:tcPr>
          <w:p w14:paraId="06E75CD7" w14:textId="77777777" w:rsidR="0059790B" w:rsidRPr="0083798D" w:rsidRDefault="0059790B" w:rsidP="0059790B">
            <w:pPr>
              <w:jc w:val="center"/>
              <w:rPr>
                <w:rFonts w:cs="Arial"/>
                <w:b/>
                <w:sz w:val="16"/>
                <w:szCs w:val="16"/>
              </w:rPr>
            </w:pPr>
            <w:r w:rsidRPr="0083798D">
              <w:rPr>
                <w:rFonts w:cs="Arial"/>
                <w:color w:val="000000"/>
                <w:sz w:val="16"/>
                <w:szCs w:val="16"/>
              </w:rPr>
              <w:t>31%</w:t>
            </w:r>
          </w:p>
        </w:tc>
        <w:tc>
          <w:tcPr>
            <w:tcW w:w="562" w:type="dxa"/>
          </w:tcPr>
          <w:p w14:paraId="74E14B24" w14:textId="77777777" w:rsidR="0059790B" w:rsidRPr="0083798D" w:rsidRDefault="0059790B" w:rsidP="0059790B">
            <w:pPr>
              <w:jc w:val="center"/>
              <w:rPr>
                <w:rFonts w:cs="Arial"/>
                <w:b/>
                <w:sz w:val="16"/>
                <w:szCs w:val="16"/>
              </w:rPr>
            </w:pPr>
            <w:r w:rsidRPr="0083798D">
              <w:rPr>
                <w:rFonts w:cs="Arial"/>
                <w:color w:val="000000"/>
                <w:sz w:val="16"/>
                <w:szCs w:val="16"/>
              </w:rPr>
              <w:t>22%</w:t>
            </w:r>
          </w:p>
        </w:tc>
      </w:tr>
      <w:tr w:rsidR="0059790B" w:rsidRPr="00C62592" w14:paraId="025739D9" w14:textId="77777777" w:rsidTr="0059790B">
        <w:trPr>
          <w:trHeight w:hRule="exact" w:val="680"/>
        </w:trPr>
        <w:tc>
          <w:tcPr>
            <w:tcW w:w="1055" w:type="dxa"/>
          </w:tcPr>
          <w:p w14:paraId="37EDA803" w14:textId="77777777" w:rsidR="0059790B" w:rsidRPr="00A320AC" w:rsidRDefault="0059790B" w:rsidP="0059790B">
            <w:pPr>
              <w:jc w:val="center"/>
              <w:rPr>
                <w:rFonts w:cs="Arial"/>
                <w:b/>
                <w:sz w:val="16"/>
                <w:szCs w:val="16"/>
              </w:rPr>
            </w:pPr>
            <w:r w:rsidRPr="00A320AC">
              <w:rPr>
                <w:rFonts w:cs="Arial"/>
                <w:b/>
                <w:sz w:val="16"/>
                <w:szCs w:val="16"/>
              </w:rPr>
              <w:t>Splits for full-time students</w:t>
            </w:r>
          </w:p>
        </w:tc>
        <w:tc>
          <w:tcPr>
            <w:tcW w:w="880" w:type="dxa"/>
          </w:tcPr>
          <w:p w14:paraId="335357DB" w14:textId="77777777" w:rsidR="0059790B" w:rsidRPr="0083798D" w:rsidRDefault="0059790B" w:rsidP="0059790B">
            <w:pPr>
              <w:jc w:val="center"/>
              <w:rPr>
                <w:rFonts w:cs="Arial"/>
                <w:b/>
                <w:sz w:val="16"/>
                <w:szCs w:val="16"/>
              </w:rPr>
            </w:pPr>
            <w:r w:rsidRPr="0083798D">
              <w:rPr>
                <w:rFonts w:cs="Arial"/>
                <w:color w:val="000000"/>
                <w:sz w:val="16"/>
                <w:szCs w:val="16"/>
              </w:rPr>
              <w:t>3,680</w:t>
            </w:r>
          </w:p>
        </w:tc>
        <w:tc>
          <w:tcPr>
            <w:tcW w:w="624" w:type="dxa"/>
          </w:tcPr>
          <w:p w14:paraId="1F5E3218" w14:textId="77777777" w:rsidR="0059790B" w:rsidRPr="0083798D" w:rsidRDefault="0059790B" w:rsidP="0059790B">
            <w:pPr>
              <w:jc w:val="center"/>
              <w:rPr>
                <w:rFonts w:cs="Arial"/>
                <w:b/>
                <w:sz w:val="16"/>
                <w:szCs w:val="16"/>
              </w:rPr>
            </w:pPr>
            <w:r w:rsidRPr="0083798D">
              <w:rPr>
                <w:rFonts w:cs="Arial"/>
                <w:color w:val="000000"/>
                <w:sz w:val="16"/>
                <w:szCs w:val="16"/>
              </w:rPr>
              <w:t>3,390</w:t>
            </w:r>
          </w:p>
        </w:tc>
        <w:tc>
          <w:tcPr>
            <w:tcW w:w="880" w:type="dxa"/>
          </w:tcPr>
          <w:p w14:paraId="7BB48BC5" w14:textId="77777777" w:rsidR="0059790B" w:rsidRPr="0083798D" w:rsidRDefault="0059790B" w:rsidP="0059790B">
            <w:pPr>
              <w:jc w:val="center"/>
              <w:rPr>
                <w:rFonts w:cs="Arial"/>
                <w:b/>
                <w:sz w:val="16"/>
                <w:szCs w:val="16"/>
              </w:rPr>
            </w:pPr>
            <w:r w:rsidRPr="0083798D">
              <w:rPr>
                <w:rFonts w:cs="Arial"/>
                <w:color w:val="000000"/>
                <w:sz w:val="16"/>
                <w:szCs w:val="16"/>
              </w:rPr>
              <w:t>74%</w:t>
            </w:r>
          </w:p>
        </w:tc>
        <w:tc>
          <w:tcPr>
            <w:tcW w:w="562" w:type="dxa"/>
          </w:tcPr>
          <w:p w14:paraId="58630897" w14:textId="77777777" w:rsidR="0059790B" w:rsidRPr="0083798D" w:rsidRDefault="0059790B" w:rsidP="0059790B">
            <w:pPr>
              <w:jc w:val="center"/>
              <w:rPr>
                <w:rFonts w:cs="Arial"/>
                <w:b/>
                <w:sz w:val="16"/>
                <w:szCs w:val="16"/>
              </w:rPr>
            </w:pPr>
            <w:r w:rsidRPr="0083798D">
              <w:rPr>
                <w:rFonts w:cs="Arial"/>
                <w:color w:val="000000"/>
                <w:sz w:val="16"/>
                <w:szCs w:val="16"/>
              </w:rPr>
              <w:t>61%</w:t>
            </w:r>
          </w:p>
        </w:tc>
        <w:tc>
          <w:tcPr>
            <w:tcW w:w="880" w:type="dxa"/>
          </w:tcPr>
          <w:p w14:paraId="6A4D64CA" w14:textId="77777777" w:rsidR="0059790B" w:rsidRPr="0083798D" w:rsidRDefault="0059790B" w:rsidP="0059790B">
            <w:pPr>
              <w:jc w:val="center"/>
              <w:rPr>
                <w:rFonts w:cs="Arial"/>
                <w:b/>
                <w:sz w:val="16"/>
                <w:szCs w:val="16"/>
              </w:rPr>
            </w:pPr>
            <w:r w:rsidRPr="0083798D">
              <w:rPr>
                <w:rFonts w:cs="Arial"/>
                <w:color w:val="000000"/>
                <w:sz w:val="16"/>
                <w:szCs w:val="16"/>
              </w:rPr>
              <w:t>34%</w:t>
            </w:r>
          </w:p>
        </w:tc>
        <w:tc>
          <w:tcPr>
            <w:tcW w:w="562" w:type="dxa"/>
          </w:tcPr>
          <w:p w14:paraId="362094B7" w14:textId="77777777" w:rsidR="0059790B" w:rsidRPr="0083798D" w:rsidRDefault="0059790B" w:rsidP="0059790B">
            <w:pPr>
              <w:jc w:val="center"/>
              <w:rPr>
                <w:rFonts w:cs="Arial"/>
                <w:b/>
                <w:sz w:val="16"/>
                <w:szCs w:val="16"/>
              </w:rPr>
            </w:pPr>
            <w:r w:rsidRPr="0083798D">
              <w:rPr>
                <w:rFonts w:cs="Arial"/>
                <w:color w:val="000000"/>
                <w:sz w:val="16"/>
                <w:szCs w:val="16"/>
              </w:rPr>
              <w:t>24%</w:t>
            </w:r>
          </w:p>
        </w:tc>
        <w:tc>
          <w:tcPr>
            <w:tcW w:w="880" w:type="dxa"/>
          </w:tcPr>
          <w:p w14:paraId="1AF60993" w14:textId="77777777" w:rsidR="0059790B" w:rsidRPr="0083798D" w:rsidRDefault="0059790B" w:rsidP="0059790B">
            <w:pPr>
              <w:jc w:val="center"/>
              <w:rPr>
                <w:rFonts w:cs="Arial"/>
                <w:b/>
                <w:sz w:val="16"/>
                <w:szCs w:val="16"/>
              </w:rPr>
            </w:pPr>
            <w:r w:rsidRPr="0083798D">
              <w:rPr>
                <w:rFonts w:cs="Arial"/>
                <w:color w:val="000000"/>
                <w:sz w:val="16"/>
                <w:szCs w:val="16"/>
              </w:rPr>
              <w:t>1,260</w:t>
            </w:r>
          </w:p>
        </w:tc>
        <w:tc>
          <w:tcPr>
            <w:tcW w:w="624" w:type="dxa"/>
          </w:tcPr>
          <w:p w14:paraId="6BD9FEC0" w14:textId="77777777" w:rsidR="0059790B" w:rsidRPr="0083798D" w:rsidRDefault="0059790B" w:rsidP="0059790B">
            <w:pPr>
              <w:jc w:val="center"/>
              <w:rPr>
                <w:rFonts w:cs="Arial"/>
                <w:b/>
                <w:sz w:val="16"/>
                <w:szCs w:val="16"/>
              </w:rPr>
            </w:pPr>
            <w:r w:rsidRPr="0083798D">
              <w:rPr>
                <w:rFonts w:cs="Arial"/>
                <w:color w:val="000000"/>
                <w:sz w:val="16"/>
                <w:szCs w:val="16"/>
              </w:rPr>
              <w:t>1,240</w:t>
            </w:r>
          </w:p>
        </w:tc>
        <w:tc>
          <w:tcPr>
            <w:tcW w:w="880" w:type="dxa"/>
          </w:tcPr>
          <w:p w14:paraId="250F0E5A" w14:textId="77777777" w:rsidR="0059790B" w:rsidRPr="0083798D" w:rsidRDefault="0059790B" w:rsidP="0059790B">
            <w:pPr>
              <w:jc w:val="center"/>
              <w:rPr>
                <w:rFonts w:cs="Arial"/>
                <w:b/>
                <w:sz w:val="16"/>
                <w:szCs w:val="16"/>
              </w:rPr>
            </w:pPr>
            <w:r w:rsidRPr="0083798D">
              <w:rPr>
                <w:rFonts w:cs="Arial"/>
                <w:color w:val="000000"/>
                <w:sz w:val="16"/>
                <w:szCs w:val="16"/>
              </w:rPr>
              <w:t>94%</w:t>
            </w:r>
          </w:p>
        </w:tc>
        <w:tc>
          <w:tcPr>
            <w:tcW w:w="562" w:type="dxa"/>
          </w:tcPr>
          <w:p w14:paraId="4DA65D40" w14:textId="77777777" w:rsidR="0059790B" w:rsidRPr="0083798D" w:rsidRDefault="0059790B" w:rsidP="0059790B">
            <w:pPr>
              <w:jc w:val="center"/>
              <w:rPr>
                <w:rFonts w:cs="Arial"/>
                <w:b/>
                <w:sz w:val="16"/>
                <w:szCs w:val="16"/>
              </w:rPr>
            </w:pPr>
            <w:r w:rsidRPr="0083798D">
              <w:rPr>
                <w:rFonts w:cs="Arial"/>
                <w:color w:val="000000"/>
                <w:sz w:val="16"/>
                <w:szCs w:val="16"/>
              </w:rPr>
              <w:t>91%</w:t>
            </w:r>
          </w:p>
        </w:tc>
        <w:tc>
          <w:tcPr>
            <w:tcW w:w="880" w:type="dxa"/>
          </w:tcPr>
          <w:p w14:paraId="02542FD4" w14:textId="77777777" w:rsidR="0059790B" w:rsidRPr="0083798D" w:rsidRDefault="0059790B" w:rsidP="0059790B">
            <w:pPr>
              <w:jc w:val="center"/>
              <w:rPr>
                <w:rFonts w:cs="Arial"/>
                <w:b/>
                <w:sz w:val="16"/>
                <w:szCs w:val="16"/>
              </w:rPr>
            </w:pPr>
            <w:r w:rsidRPr="0083798D">
              <w:rPr>
                <w:rFonts w:cs="Arial"/>
                <w:color w:val="000000"/>
                <w:sz w:val="16"/>
                <w:szCs w:val="16"/>
              </w:rPr>
              <w:t>59%</w:t>
            </w:r>
          </w:p>
        </w:tc>
        <w:tc>
          <w:tcPr>
            <w:tcW w:w="562" w:type="dxa"/>
          </w:tcPr>
          <w:p w14:paraId="72BB87BE" w14:textId="77777777" w:rsidR="0059790B" w:rsidRPr="0083798D" w:rsidRDefault="0059790B" w:rsidP="0059790B">
            <w:pPr>
              <w:jc w:val="center"/>
              <w:rPr>
                <w:rFonts w:cs="Arial"/>
                <w:b/>
                <w:sz w:val="16"/>
                <w:szCs w:val="16"/>
              </w:rPr>
            </w:pPr>
            <w:r w:rsidRPr="0083798D">
              <w:rPr>
                <w:rFonts w:cs="Arial"/>
                <w:color w:val="000000"/>
                <w:sz w:val="16"/>
                <w:szCs w:val="16"/>
              </w:rPr>
              <w:t>43%</w:t>
            </w:r>
          </w:p>
        </w:tc>
        <w:tc>
          <w:tcPr>
            <w:tcW w:w="880" w:type="dxa"/>
          </w:tcPr>
          <w:p w14:paraId="1F5378EB" w14:textId="77777777" w:rsidR="0059790B" w:rsidRPr="0083798D" w:rsidRDefault="0059790B" w:rsidP="0059790B">
            <w:pPr>
              <w:jc w:val="center"/>
              <w:rPr>
                <w:rFonts w:cs="Arial"/>
                <w:b/>
                <w:sz w:val="16"/>
                <w:szCs w:val="16"/>
              </w:rPr>
            </w:pPr>
            <w:r w:rsidRPr="0083798D">
              <w:rPr>
                <w:rFonts w:cs="Arial"/>
                <w:color w:val="000000"/>
                <w:sz w:val="16"/>
                <w:szCs w:val="16"/>
              </w:rPr>
              <w:t>2,420</w:t>
            </w:r>
          </w:p>
        </w:tc>
        <w:tc>
          <w:tcPr>
            <w:tcW w:w="624" w:type="dxa"/>
          </w:tcPr>
          <w:p w14:paraId="60528159" w14:textId="77777777" w:rsidR="0059790B" w:rsidRPr="0083798D" w:rsidRDefault="0059790B" w:rsidP="0059790B">
            <w:pPr>
              <w:jc w:val="center"/>
              <w:rPr>
                <w:rFonts w:cs="Arial"/>
                <w:b/>
                <w:sz w:val="16"/>
                <w:szCs w:val="16"/>
              </w:rPr>
            </w:pPr>
            <w:r w:rsidRPr="0083798D">
              <w:rPr>
                <w:rFonts w:cs="Arial"/>
                <w:color w:val="000000"/>
                <w:sz w:val="16"/>
                <w:szCs w:val="16"/>
              </w:rPr>
              <w:t>2,150</w:t>
            </w:r>
          </w:p>
        </w:tc>
        <w:tc>
          <w:tcPr>
            <w:tcW w:w="880" w:type="dxa"/>
          </w:tcPr>
          <w:p w14:paraId="58391317" w14:textId="77777777" w:rsidR="0059790B" w:rsidRPr="0083798D" w:rsidRDefault="0059790B" w:rsidP="0059790B">
            <w:pPr>
              <w:jc w:val="center"/>
              <w:rPr>
                <w:rFonts w:cs="Arial"/>
                <w:b/>
                <w:sz w:val="16"/>
                <w:szCs w:val="16"/>
              </w:rPr>
            </w:pPr>
            <w:r w:rsidRPr="0083798D">
              <w:rPr>
                <w:rFonts w:cs="Arial"/>
                <w:color w:val="000000"/>
                <w:sz w:val="16"/>
                <w:szCs w:val="16"/>
              </w:rPr>
              <w:t>64%</w:t>
            </w:r>
          </w:p>
        </w:tc>
        <w:tc>
          <w:tcPr>
            <w:tcW w:w="562" w:type="dxa"/>
          </w:tcPr>
          <w:p w14:paraId="209E3871" w14:textId="77777777" w:rsidR="0059790B" w:rsidRPr="0083798D" w:rsidRDefault="0059790B" w:rsidP="0059790B">
            <w:pPr>
              <w:jc w:val="center"/>
              <w:rPr>
                <w:rFonts w:cs="Arial"/>
                <w:b/>
                <w:sz w:val="16"/>
                <w:szCs w:val="16"/>
              </w:rPr>
            </w:pPr>
            <w:r w:rsidRPr="0083798D">
              <w:rPr>
                <w:rFonts w:cs="Arial"/>
                <w:color w:val="000000"/>
                <w:sz w:val="16"/>
                <w:szCs w:val="16"/>
              </w:rPr>
              <w:t>44%</w:t>
            </w:r>
          </w:p>
        </w:tc>
        <w:tc>
          <w:tcPr>
            <w:tcW w:w="880" w:type="dxa"/>
          </w:tcPr>
          <w:p w14:paraId="70E80DC8" w14:textId="77777777" w:rsidR="0059790B" w:rsidRPr="0083798D" w:rsidRDefault="0059790B" w:rsidP="0059790B">
            <w:pPr>
              <w:jc w:val="center"/>
              <w:rPr>
                <w:rFonts w:cs="Arial"/>
                <w:b/>
                <w:sz w:val="16"/>
                <w:szCs w:val="16"/>
              </w:rPr>
            </w:pPr>
            <w:r w:rsidRPr="0083798D">
              <w:rPr>
                <w:rFonts w:cs="Arial"/>
                <w:color w:val="000000"/>
                <w:sz w:val="16"/>
                <w:szCs w:val="16"/>
              </w:rPr>
              <w:t>20%</w:t>
            </w:r>
          </w:p>
        </w:tc>
        <w:tc>
          <w:tcPr>
            <w:tcW w:w="562" w:type="dxa"/>
          </w:tcPr>
          <w:p w14:paraId="11659D7B" w14:textId="77777777" w:rsidR="0059790B" w:rsidRPr="0083798D" w:rsidRDefault="0059790B" w:rsidP="0059790B">
            <w:pPr>
              <w:jc w:val="center"/>
              <w:rPr>
                <w:rFonts w:cs="Arial"/>
                <w:b/>
                <w:sz w:val="16"/>
                <w:szCs w:val="16"/>
              </w:rPr>
            </w:pPr>
            <w:r w:rsidRPr="0083798D">
              <w:rPr>
                <w:rFonts w:cs="Arial"/>
                <w:color w:val="000000"/>
                <w:sz w:val="16"/>
                <w:szCs w:val="16"/>
              </w:rPr>
              <w:t>13%</w:t>
            </w:r>
          </w:p>
        </w:tc>
      </w:tr>
      <w:tr w:rsidR="0059790B" w:rsidRPr="00C62592" w14:paraId="4A411F86" w14:textId="77777777" w:rsidTr="0059790B">
        <w:trPr>
          <w:trHeight w:hRule="exact" w:val="680"/>
        </w:trPr>
        <w:tc>
          <w:tcPr>
            <w:tcW w:w="1055" w:type="dxa"/>
          </w:tcPr>
          <w:p w14:paraId="6752FC37" w14:textId="77777777" w:rsidR="0059790B" w:rsidRPr="00A320AC" w:rsidRDefault="0059790B" w:rsidP="0059790B">
            <w:pPr>
              <w:jc w:val="center"/>
              <w:rPr>
                <w:rFonts w:cs="Arial"/>
                <w:b/>
                <w:sz w:val="16"/>
                <w:szCs w:val="16"/>
              </w:rPr>
            </w:pPr>
            <w:r w:rsidRPr="00A320AC">
              <w:rPr>
                <w:rFonts w:cs="Arial"/>
                <w:b/>
                <w:sz w:val="16"/>
                <w:szCs w:val="16"/>
              </w:rPr>
              <w:t>Part-time students</w:t>
            </w:r>
          </w:p>
        </w:tc>
        <w:tc>
          <w:tcPr>
            <w:tcW w:w="880" w:type="dxa"/>
          </w:tcPr>
          <w:p w14:paraId="75A2C7A2" w14:textId="77777777" w:rsidR="0059790B" w:rsidRPr="0083798D" w:rsidRDefault="0059790B" w:rsidP="0059790B">
            <w:pPr>
              <w:jc w:val="center"/>
              <w:rPr>
                <w:rFonts w:cs="Arial"/>
                <w:b/>
                <w:sz w:val="16"/>
                <w:szCs w:val="16"/>
              </w:rPr>
            </w:pPr>
            <w:r w:rsidRPr="0083798D">
              <w:rPr>
                <w:rFonts w:cs="Arial"/>
                <w:color w:val="000000"/>
                <w:sz w:val="16"/>
                <w:szCs w:val="16"/>
              </w:rPr>
              <w:t>380</w:t>
            </w:r>
          </w:p>
        </w:tc>
        <w:tc>
          <w:tcPr>
            <w:tcW w:w="624" w:type="dxa"/>
          </w:tcPr>
          <w:p w14:paraId="00D19A26" w14:textId="77777777" w:rsidR="0059790B" w:rsidRPr="0083798D" w:rsidRDefault="0059790B" w:rsidP="0059790B">
            <w:pPr>
              <w:jc w:val="center"/>
              <w:rPr>
                <w:rFonts w:cs="Arial"/>
                <w:b/>
                <w:sz w:val="16"/>
                <w:szCs w:val="16"/>
              </w:rPr>
            </w:pPr>
            <w:r w:rsidRPr="0083798D">
              <w:rPr>
                <w:rFonts w:cs="Arial"/>
                <w:color w:val="000000"/>
                <w:sz w:val="16"/>
                <w:szCs w:val="16"/>
              </w:rPr>
              <w:t>330</w:t>
            </w:r>
          </w:p>
        </w:tc>
        <w:tc>
          <w:tcPr>
            <w:tcW w:w="880" w:type="dxa"/>
          </w:tcPr>
          <w:p w14:paraId="041366DF" w14:textId="77777777" w:rsidR="0059790B" w:rsidRPr="0083798D" w:rsidRDefault="0059790B" w:rsidP="0059790B">
            <w:pPr>
              <w:jc w:val="center"/>
              <w:rPr>
                <w:rFonts w:cs="Arial"/>
                <w:b/>
                <w:sz w:val="16"/>
                <w:szCs w:val="16"/>
              </w:rPr>
            </w:pPr>
            <w:r w:rsidRPr="0083798D">
              <w:rPr>
                <w:rFonts w:cs="Arial"/>
                <w:color w:val="000000"/>
                <w:sz w:val="16"/>
                <w:szCs w:val="16"/>
              </w:rPr>
              <w:t>87%</w:t>
            </w:r>
          </w:p>
        </w:tc>
        <w:tc>
          <w:tcPr>
            <w:tcW w:w="562" w:type="dxa"/>
          </w:tcPr>
          <w:p w14:paraId="775E1BED" w14:textId="77777777" w:rsidR="0059790B" w:rsidRPr="0083798D" w:rsidRDefault="0059790B" w:rsidP="0059790B">
            <w:pPr>
              <w:jc w:val="center"/>
              <w:rPr>
                <w:rFonts w:cs="Arial"/>
                <w:b/>
                <w:sz w:val="16"/>
                <w:szCs w:val="16"/>
              </w:rPr>
            </w:pPr>
            <w:r w:rsidRPr="0083798D">
              <w:rPr>
                <w:rFonts w:cs="Arial"/>
                <w:color w:val="000000"/>
                <w:sz w:val="16"/>
                <w:szCs w:val="16"/>
              </w:rPr>
              <w:t>74%</w:t>
            </w:r>
          </w:p>
        </w:tc>
        <w:tc>
          <w:tcPr>
            <w:tcW w:w="880" w:type="dxa"/>
          </w:tcPr>
          <w:p w14:paraId="70625128" w14:textId="77777777" w:rsidR="0059790B" w:rsidRPr="0083798D" w:rsidRDefault="0059790B" w:rsidP="0059790B">
            <w:pPr>
              <w:jc w:val="center"/>
              <w:rPr>
                <w:rFonts w:cs="Arial"/>
                <w:b/>
                <w:sz w:val="16"/>
                <w:szCs w:val="16"/>
              </w:rPr>
            </w:pPr>
            <w:r w:rsidRPr="0083798D">
              <w:rPr>
                <w:rFonts w:cs="Arial"/>
                <w:color w:val="000000"/>
                <w:sz w:val="16"/>
                <w:szCs w:val="16"/>
              </w:rPr>
              <w:t>31%</w:t>
            </w:r>
          </w:p>
        </w:tc>
        <w:tc>
          <w:tcPr>
            <w:tcW w:w="562" w:type="dxa"/>
          </w:tcPr>
          <w:p w14:paraId="06D06871" w14:textId="77777777" w:rsidR="0059790B" w:rsidRPr="0083798D" w:rsidRDefault="0059790B" w:rsidP="0059790B">
            <w:pPr>
              <w:jc w:val="center"/>
              <w:rPr>
                <w:rFonts w:cs="Arial"/>
                <w:b/>
                <w:sz w:val="16"/>
                <w:szCs w:val="16"/>
              </w:rPr>
            </w:pPr>
            <w:r w:rsidRPr="0083798D">
              <w:rPr>
                <w:rFonts w:cs="Arial"/>
                <w:color w:val="000000"/>
                <w:sz w:val="16"/>
                <w:szCs w:val="16"/>
              </w:rPr>
              <w:t>20%</w:t>
            </w:r>
          </w:p>
        </w:tc>
        <w:tc>
          <w:tcPr>
            <w:tcW w:w="880" w:type="dxa"/>
          </w:tcPr>
          <w:p w14:paraId="044362BD" w14:textId="77777777" w:rsidR="0059790B" w:rsidRPr="0083798D" w:rsidRDefault="0059790B" w:rsidP="0059790B">
            <w:pPr>
              <w:jc w:val="center"/>
              <w:rPr>
                <w:rFonts w:cs="Arial"/>
                <w:b/>
                <w:sz w:val="16"/>
                <w:szCs w:val="16"/>
              </w:rPr>
            </w:pPr>
            <w:r w:rsidRPr="0083798D">
              <w:rPr>
                <w:rFonts w:cs="Arial"/>
                <w:color w:val="000000"/>
                <w:sz w:val="16"/>
                <w:szCs w:val="16"/>
              </w:rPr>
              <w:t>115</w:t>
            </w:r>
          </w:p>
        </w:tc>
        <w:tc>
          <w:tcPr>
            <w:tcW w:w="624" w:type="dxa"/>
          </w:tcPr>
          <w:p w14:paraId="282F9C2B" w14:textId="77777777" w:rsidR="0059790B" w:rsidRPr="0083798D" w:rsidRDefault="0059790B" w:rsidP="0059790B">
            <w:pPr>
              <w:jc w:val="center"/>
              <w:rPr>
                <w:rFonts w:cs="Arial"/>
                <w:b/>
                <w:sz w:val="16"/>
                <w:szCs w:val="16"/>
              </w:rPr>
            </w:pPr>
            <w:r w:rsidRPr="0083798D">
              <w:rPr>
                <w:rFonts w:cs="Arial"/>
                <w:color w:val="000000"/>
                <w:sz w:val="16"/>
                <w:szCs w:val="16"/>
              </w:rPr>
              <w:t>108</w:t>
            </w:r>
          </w:p>
        </w:tc>
        <w:tc>
          <w:tcPr>
            <w:tcW w:w="880" w:type="dxa"/>
          </w:tcPr>
          <w:p w14:paraId="4586D73E" w14:textId="77777777" w:rsidR="0059790B" w:rsidRPr="0083798D" w:rsidRDefault="0059790B" w:rsidP="0059790B">
            <w:pPr>
              <w:jc w:val="center"/>
              <w:rPr>
                <w:rFonts w:cs="Arial"/>
                <w:b/>
                <w:sz w:val="16"/>
                <w:szCs w:val="16"/>
              </w:rPr>
            </w:pPr>
            <w:r w:rsidRPr="0083798D">
              <w:rPr>
                <w:rFonts w:cs="Arial"/>
                <w:color w:val="000000"/>
                <w:sz w:val="16"/>
                <w:szCs w:val="16"/>
              </w:rPr>
              <w:t>90%</w:t>
            </w:r>
          </w:p>
        </w:tc>
        <w:tc>
          <w:tcPr>
            <w:tcW w:w="562" w:type="dxa"/>
          </w:tcPr>
          <w:p w14:paraId="60FC3326" w14:textId="77777777" w:rsidR="0059790B" w:rsidRPr="0083798D" w:rsidRDefault="0059790B" w:rsidP="0059790B">
            <w:pPr>
              <w:jc w:val="center"/>
              <w:rPr>
                <w:rFonts w:cs="Arial"/>
                <w:b/>
                <w:sz w:val="16"/>
                <w:szCs w:val="16"/>
              </w:rPr>
            </w:pPr>
            <w:r w:rsidRPr="0083798D">
              <w:rPr>
                <w:rFonts w:cs="Arial"/>
                <w:color w:val="000000"/>
                <w:sz w:val="16"/>
                <w:szCs w:val="16"/>
              </w:rPr>
              <w:t>85%</w:t>
            </w:r>
          </w:p>
        </w:tc>
        <w:tc>
          <w:tcPr>
            <w:tcW w:w="880" w:type="dxa"/>
          </w:tcPr>
          <w:p w14:paraId="46431989" w14:textId="77777777" w:rsidR="0059790B" w:rsidRPr="0083798D" w:rsidRDefault="0059790B" w:rsidP="0059790B">
            <w:pPr>
              <w:jc w:val="center"/>
              <w:rPr>
                <w:rFonts w:cs="Arial"/>
                <w:b/>
                <w:sz w:val="16"/>
                <w:szCs w:val="16"/>
              </w:rPr>
            </w:pPr>
            <w:r w:rsidRPr="0083798D">
              <w:rPr>
                <w:rFonts w:cs="Arial"/>
                <w:color w:val="000000"/>
                <w:sz w:val="16"/>
                <w:szCs w:val="16"/>
              </w:rPr>
              <w:t>50%</w:t>
            </w:r>
          </w:p>
        </w:tc>
        <w:tc>
          <w:tcPr>
            <w:tcW w:w="562" w:type="dxa"/>
          </w:tcPr>
          <w:p w14:paraId="173789B8" w14:textId="77777777" w:rsidR="0059790B" w:rsidRPr="0083798D" w:rsidRDefault="0059790B" w:rsidP="0059790B">
            <w:pPr>
              <w:jc w:val="center"/>
              <w:rPr>
                <w:rFonts w:cs="Arial"/>
                <w:b/>
                <w:sz w:val="16"/>
                <w:szCs w:val="16"/>
              </w:rPr>
            </w:pPr>
            <w:r w:rsidRPr="0083798D">
              <w:rPr>
                <w:rFonts w:cs="Arial"/>
                <w:color w:val="000000"/>
                <w:sz w:val="16"/>
                <w:szCs w:val="16"/>
              </w:rPr>
              <w:t>37%</w:t>
            </w:r>
          </w:p>
        </w:tc>
        <w:tc>
          <w:tcPr>
            <w:tcW w:w="880" w:type="dxa"/>
          </w:tcPr>
          <w:p w14:paraId="48AB0F5E" w14:textId="77777777" w:rsidR="0059790B" w:rsidRPr="0083798D" w:rsidRDefault="0059790B" w:rsidP="0059790B">
            <w:pPr>
              <w:jc w:val="center"/>
              <w:rPr>
                <w:rFonts w:cs="Arial"/>
                <w:b/>
                <w:sz w:val="16"/>
                <w:szCs w:val="16"/>
              </w:rPr>
            </w:pPr>
            <w:r w:rsidRPr="0083798D">
              <w:rPr>
                <w:rFonts w:cs="Arial"/>
                <w:color w:val="000000"/>
                <w:sz w:val="16"/>
                <w:szCs w:val="16"/>
              </w:rPr>
              <w:t>265</w:t>
            </w:r>
          </w:p>
        </w:tc>
        <w:tc>
          <w:tcPr>
            <w:tcW w:w="624" w:type="dxa"/>
          </w:tcPr>
          <w:p w14:paraId="6579537A" w14:textId="77777777" w:rsidR="0059790B" w:rsidRPr="0083798D" w:rsidRDefault="0059790B" w:rsidP="0059790B">
            <w:pPr>
              <w:jc w:val="center"/>
              <w:rPr>
                <w:rFonts w:cs="Arial"/>
                <w:b/>
                <w:sz w:val="16"/>
                <w:szCs w:val="16"/>
              </w:rPr>
            </w:pPr>
            <w:r w:rsidRPr="0083798D">
              <w:rPr>
                <w:rFonts w:cs="Arial"/>
                <w:color w:val="000000"/>
                <w:sz w:val="16"/>
                <w:szCs w:val="16"/>
              </w:rPr>
              <w:t>222</w:t>
            </w:r>
          </w:p>
        </w:tc>
        <w:tc>
          <w:tcPr>
            <w:tcW w:w="880" w:type="dxa"/>
          </w:tcPr>
          <w:p w14:paraId="7A845059" w14:textId="77777777" w:rsidR="0059790B" w:rsidRPr="0083798D" w:rsidRDefault="0059790B" w:rsidP="0059790B">
            <w:pPr>
              <w:jc w:val="center"/>
              <w:rPr>
                <w:rFonts w:cs="Arial"/>
                <w:b/>
                <w:sz w:val="16"/>
                <w:szCs w:val="16"/>
              </w:rPr>
            </w:pPr>
            <w:r w:rsidRPr="0083798D">
              <w:rPr>
                <w:rFonts w:cs="Arial"/>
                <w:color w:val="000000"/>
                <w:sz w:val="16"/>
                <w:szCs w:val="16"/>
              </w:rPr>
              <w:t>86%</w:t>
            </w:r>
          </w:p>
        </w:tc>
        <w:tc>
          <w:tcPr>
            <w:tcW w:w="562" w:type="dxa"/>
          </w:tcPr>
          <w:p w14:paraId="410B6F27" w14:textId="77777777" w:rsidR="0059790B" w:rsidRPr="0083798D" w:rsidRDefault="0059790B" w:rsidP="0059790B">
            <w:pPr>
              <w:jc w:val="center"/>
              <w:rPr>
                <w:rFonts w:cs="Arial"/>
                <w:b/>
                <w:sz w:val="16"/>
                <w:szCs w:val="16"/>
              </w:rPr>
            </w:pPr>
            <w:r w:rsidRPr="0083798D">
              <w:rPr>
                <w:rFonts w:cs="Arial"/>
                <w:color w:val="000000"/>
                <w:sz w:val="16"/>
                <w:szCs w:val="16"/>
              </w:rPr>
              <w:t>69%</w:t>
            </w:r>
          </w:p>
        </w:tc>
        <w:tc>
          <w:tcPr>
            <w:tcW w:w="880" w:type="dxa"/>
          </w:tcPr>
          <w:p w14:paraId="6EB3F8B7" w14:textId="77777777" w:rsidR="0059790B" w:rsidRPr="0083798D" w:rsidRDefault="0059790B" w:rsidP="0059790B">
            <w:pPr>
              <w:jc w:val="center"/>
              <w:rPr>
                <w:rFonts w:cs="Arial"/>
                <w:b/>
                <w:sz w:val="16"/>
                <w:szCs w:val="16"/>
              </w:rPr>
            </w:pPr>
            <w:r w:rsidRPr="0083798D">
              <w:rPr>
                <w:rFonts w:cs="Arial"/>
                <w:color w:val="000000"/>
                <w:sz w:val="16"/>
                <w:szCs w:val="16"/>
              </w:rPr>
              <w:t>23%</w:t>
            </w:r>
          </w:p>
        </w:tc>
        <w:tc>
          <w:tcPr>
            <w:tcW w:w="562" w:type="dxa"/>
          </w:tcPr>
          <w:p w14:paraId="0959849D" w14:textId="77777777" w:rsidR="0059790B" w:rsidRPr="0083798D" w:rsidRDefault="0059790B" w:rsidP="0059790B">
            <w:pPr>
              <w:jc w:val="center"/>
              <w:rPr>
                <w:rFonts w:cs="Arial"/>
                <w:b/>
                <w:sz w:val="16"/>
                <w:szCs w:val="16"/>
              </w:rPr>
            </w:pPr>
            <w:r w:rsidRPr="0083798D">
              <w:rPr>
                <w:rFonts w:cs="Arial"/>
                <w:color w:val="000000"/>
                <w:sz w:val="16"/>
                <w:szCs w:val="16"/>
              </w:rPr>
              <w:t>12%</w:t>
            </w:r>
          </w:p>
        </w:tc>
      </w:tr>
      <w:tr w:rsidR="0059790B" w:rsidRPr="00C62592" w14:paraId="4DF23F77" w14:textId="77777777" w:rsidTr="0059790B">
        <w:trPr>
          <w:trHeight w:hRule="exact" w:val="680"/>
        </w:trPr>
        <w:tc>
          <w:tcPr>
            <w:tcW w:w="1055" w:type="dxa"/>
          </w:tcPr>
          <w:p w14:paraId="3F634321" w14:textId="77777777" w:rsidR="0059790B" w:rsidRPr="00A320AC" w:rsidRDefault="0059790B" w:rsidP="0059790B">
            <w:pPr>
              <w:jc w:val="center"/>
              <w:rPr>
                <w:rFonts w:cs="Arial"/>
                <w:b/>
                <w:sz w:val="16"/>
                <w:szCs w:val="16"/>
              </w:rPr>
            </w:pPr>
            <w:r w:rsidRPr="00A320AC">
              <w:rPr>
                <w:rFonts w:cs="Arial"/>
                <w:b/>
                <w:sz w:val="16"/>
                <w:szCs w:val="16"/>
              </w:rPr>
              <w:t>Splits for part-time students</w:t>
            </w:r>
          </w:p>
        </w:tc>
        <w:tc>
          <w:tcPr>
            <w:tcW w:w="880" w:type="dxa"/>
          </w:tcPr>
          <w:p w14:paraId="5E130E98" w14:textId="77777777" w:rsidR="0059790B" w:rsidRPr="0083798D" w:rsidRDefault="0059790B" w:rsidP="0059790B">
            <w:pPr>
              <w:jc w:val="center"/>
              <w:rPr>
                <w:rFonts w:cs="Arial"/>
                <w:b/>
                <w:sz w:val="16"/>
                <w:szCs w:val="16"/>
              </w:rPr>
            </w:pPr>
            <w:r w:rsidRPr="0083798D">
              <w:rPr>
                <w:rFonts w:cs="Arial"/>
                <w:color w:val="000000"/>
                <w:sz w:val="16"/>
                <w:szCs w:val="16"/>
              </w:rPr>
              <w:t>3,800</w:t>
            </w:r>
          </w:p>
        </w:tc>
        <w:tc>
          <w:tcPr>
            <w:tcW w:w="624" w:type="dxa"/>
          </w:tcPr>
          <w:p w14:paraId="1C23D39C" w14:textId="77777777" w:rsidR="0059790B" w:rsidRPr="0083798D" w:rsidRDefault="0059790B" w:rsidP="0059790B">
            <w:pPr>
              <w:jc w:val="center"/>
              <w:rPr>
                <w:rFonts w:cs="Arial"/>
                <w:b/>
                <w:sz w:val="16"/>
                <w:szCs w:val="16"/>
              </w:rPr>
            </w:pPr>
            <w:r w:rsidRPr="0083798D">
              <w:rPr>
                <w:rFonts w:cs="Arial"/>
                <w:color w:val="000000"/>
                <w:sz w:val="16"/>
                <w:szCs w:val="16"/>
              </w:rPr>
              <w:t>3,300</w:t>
            </w:r>
          </w:p>
        </w:tc>
        <w:tc>
          <w:tcPr>
            <w:tcW w:w="880" w:type="dxa"/>
          </w:tcPr>
          <w:p w14:paraId="2579BADA" w14:textId="77777777" w:rsidR="0059790B" w:rsidRPr="0083798D" w:rsidRDefault="0059790B" w:rsidP="0059790B">
            <w:pPr>
              <w:jc w:val="center"/>
              <w:rPr>
                <w:rFonts w:cs="Arial"/>
                <w:b/>
                <w:sz w:val="16"/>
                <w:szCs w:val="16"/>
              </w:rPr>
            </w:pPr>
            <w:r w:rsidRPr="0083798D">
              <w:rPr>
                <w:rFonts w:cs="Arial"/>
                <w:color w:val="000000"/>
                <w:sz w:val="16"/>
                <w:szCs w:val="16"/>
              </w:rPr>
              <w:t>66%</w:t>
            </w:r>
          </w:p>
        </w:tc>
        <w:tc>
          <w:tcPr>
            <w:tcW w:w="562" w:type="dxa"/>
          </w:tcPr>
          <w:p w14:paraId="4A01F2FE" w14:textId="77777777" w:rsidR="0059790B" w:rsidRPr="0083798D" w:rsidRDefault="0059790B" w:rsidP="0059790B">
            <w:pPr>
              <w:jc w:val="center"/>
              <w:rPr>
                <w:rFonts w:cs="Arial"/>
                <w:b/>
                <w:sz w:val="16"/>
                <w:szCs w:val="16"/>
              </w:rPr>
            </w:pPr>
            <w:r w:rsidRPr="0083798D">
              <w:rPr>
                <w:rFonts w:cs="Arial"/>
                <w:color w:val="000000"/>
                <w:sz w:val="16"/>
                <w:szCs w:val="16"/>
              </w:rPr>
              <w:t>51%</w:t>
            </w:r>
          </w:p>
        </w:tc>
        <w:tc>
          <w:tcPr>
            <w:tcW w:w="880" w:type="dxa"/>
          </w:tcPr>
          <w:p w14:paraId="47D3E426" w14:textId="77777777" w:rsidR="0059790B" w:rsidRPr="0083798D" w:rsidRDefault="0059790B" w:rsidP="0059790B">
            <w:pPr>
              <w:jc w:val="center"/>
              <w:rPr>
                <w:rFonts w:cs="Arial"/>
                <w:b/>
                <w:sz w:val="16"/>
                <w:szCs w:val="16"/>
              </w:rPr>
            </w:pPr>
            <w:r w:rsidRPr="0083798D">
              <w:rPr>
                <w:rFonts w:cs="Arial"/>
                <w:color w:val="000000"/>
                <w:sz w:val="16"/>
                <w:szCs w:val="16"/>
              </w:rPr>
              <w:t>21%</w:t>
            </w:r>
          </w:p>
        </w:tc>
        <w:tc>
          <w:tcPr>
            <w:tcW w:w="562" w:type="dxa"/>
          </w:tcPr>
          <w:p w14:paraId="26E45288" w14:textId="77777777" w:rsidR="0059790B" w:rsidRPr="0083798D" w:rsidRDefault="0059790B" w:rsidP="0059790B">
            <w:pPr>
              <w:jc w:val="center"/>
              <w:rPr>
                <w:rFonts w:cs="Arial"/>
                <w:b/>
                <w:sz w:val="16"/>
                <w:szCs w:val="16"/>
              </w:rPr>
            </w:pPr>
            <w:r w:rsidRPr="0083798D">
              <w:rPr>
                <w:rFonts w:cs="Arial"/>
                <w:color w:val="000000"/>
                <w:sz w:val="16"/>
                <w:szCs w:val="16"/>
              </w:rPr>
              <w:t>12%</w:t>
            </w:r>
          </w:p>
        </w:tc>
        <w:tc>
          <w:tcPr>
            <w:tcW w:w="880" w:type="dxa"/>
          </w:tcPr>
          <w:p w14:paraId="203F053F" w14:textId="77777777" w:rsidR="0059790B" w:rsidRPr="0083798D" w:rsidRDefault="0059790B" w:rsidP="0059790B">
            <w:pPr>
              <w:jc w:val="center"/>
              <w:rPr>
                <w:rFonts w:cs="Arial"/>
                <w:b/>
                <w:sz w:val="16"/>
                <w:szCs w:val="16"/>
              </w:rPr>
            </w:pPr>
            <w:r w:rsidRPr="0083798D">
              <w:rPr>
                <w:rFonts w:cs="Arial"/>
                <w:color w:val="000000"/>
                <w:sz w:val="16"/>
                <w:szCs w:val="16"/>
              </w:rPr>
              <w:t>1,150</w:t>
            </w:r>
          </w:p>
        </w:tc>
        <w:tc>
          <w:tcPr>
            <w:tcW w:w="624" w:type="dxa"/>
          </w:tcPr>
          <w:p w14:paraId="2CB9138F" w14:textId="77777777" w:rsidR="0059790B" w:rsidRPr="0083798D" w:rsidRDefault="0059790B" w:rsidP="0059790B">
            <w:pPr>
              <w:jc w:val="center"/>
              <w:rPr>
                <w:rFonts w:cs="Arial"/>
                <w:b/>
                <w:sz w:val="16"/>
                <w:szCs w:val="16"/>
              </w:rPr>
            </w:pPr>
            <w:r w:rsidRPr="0083798D">
              <w:rPr>
                <w:rFonts w:cs="Arial"/>
                <w:color w:val="000000"/>
                <w:sz w:val="16"/>
                <w:szCs w:val="16"/>
              </w:rPr>
              <w:t>1,080</w:t>
            </w:r>
          </w:p>
        </w:tc>
        <w:tc>
          <w:tcPr>
            <w:tcW w:w="880" w:type="dxa"/>
          </w:tcPr>
          <w:p w14:paraId="53302E56" w14:textId="77777777" w:rsidR="0059790B" w:rsidRPr="0083798D" w:rsidRDefault="0059790B" w:rsidP="0059790B">
            <w:pPr>
              <w:jc w:val="center"/>
              <w:rPr>
                <w:rFonts w:cs="Arial"/>
                <w:b/>
                <w:sz w:val="16"/>
                <w:szCs w:val="16"/>
              </w:rPr>
            </w:pPr>
            <w:r w:rsidRPr="0083798D">
              <w:rPr>
                <w:rFonts w:cs="Arial"/>
                <w:color w:val="000000"/>
                <w:sz w:val="16"/>
                <w:szCs w:val="16"/>
              </w:rPr>
              <w:t>79%</w:t>
            </w:r>
          </w:p>
        </w:tc>
        <w:tc>
          <w:tcPr>
            <w:tcW w:w="562" w:type="dxa"/>
          </w:tcPr>
          <w:p w14:paraId="7A6E8DD4" w14:textId="77777777" w:rsidR="0059790B" w:rsidRPr="0083798D" w:rsidRDefault="0059790B" w:rsidP="0059790B">
            <w:pPr>
              <w:jc w:val="center"/>
              <w:rPr>
                <w:rFonts w:cs="Arial"/>
                <w:b/>
                <w:sz w:val="16"/>
                <w:szCs w:val="16"/>
              </w:rPr>
            </w:pPr>
            <w:r w:rsidRPr="0083798D">
              <w:rPr>
                <w:rFonts w:cs="Arial"/>
                <w:color w:val="000000"/>
                <w:sz w:val="16"/>
                <w:szCs w:val="16"/>
              </w:rPr>
              <w:t>69%</w:t>
            </w:r>
          </w:p>
        </w:tc>
        <w:tc>
          <w:tcPr>
            <w:tcW w:w="880" w:type="dxa"/>
          </w:tcPr>
          <w:p w14:paraId="7E43F021" w14:textId="77777777" w:rsidR="0059790B" w:rsidRPr="0083798D" w:rsidRDefault="0059790B" w:rsidP="0059790B">
            <w:pPr>
              <w:jc w:val="center"/>
              <w:rPr>
                <w:rFonts w:cs="Arial"/>
                <w:b/>
                <w:sz w:val="16"/>
                <w:szCs w:val="16"/>
              </w:rPr>
            </w:pPr>
            <w:r w:rsidRPr="0083798D">
              <w:rPr>
                <w:rFonts w:cs="Arial"/>
                <w:color w:val="000000"/>
                <w:sz w:val="16"/>
                <w:szCs w:val="16"/>
              </w:rPr>
              <w:t>35%</w:t>
            </w:r>
          </w:p>
        </w:tc>
        <w:tc>
          <w:tcPr>
            <w:tcW w:w="562" w:type="dxa"/>
          </w:tcPr>
          <w:p w14:paraId="0F601468" w14:textId="77777777" w:rsidR="0059790B" w:rsidRPr="0083798D" w:rsidRDefault="0059790B" w:rsidP="0059790B">
            <w:pPr>
              <w:jc w:val="center"/>
              <w:rPr>
                <w:rFonts w:cs="Arial"/>
                <w:b/>
                <w:sz w:val="16"/>
                <w:szCs w:val="16"/>
              </w:rPr>
            </w:pPr>
            <w:r w:rsidRPr="0083798D">
              <w:rPr>
                <w:rFonts w:cs="Arial"/>
                <w:color w:val="000000"/>
                <w:sz w:val="16"/>
                <w:szCs w:val="16"/>
              </w:rPr>
              <w:t>23%</w:t>
            </w:r>
          </w:p>
        </w:tc>
        <w:tc>
          <w:tcPr>
            <w:tcW w:w="880" w:type="dxa"/>
          </w:tcPr>
          <w:p w14:paraId="73FB9B57" w14:textId="77777777" w:rsidR="0059790B" w:rsidRPr="0083798D" w:rsidRDefault="0059790B" w:rsidP="0059790B">
            <w:pPr>
              <w:jc w:val="center"/>
              <w:rPr>
                <w:rFonts w:cs="Arial"/>
                <w:b/>
                <w:sz w:val="16"/>
                <w:szCs w:val="16"/>
              </w:rPr>
            </w:pPr>
            <w:r w:rsidRPr="0083798D">
              <w:rPr>
                <w:rFonts w:cs="Arial"/>
                <w:color w:val="000000"/>
                <w:sz w:val="16"/>
                <w:szCs w:val="16"/>
              </w:rPr>
              <w:t>2,650</w:t>
            </w:r>
          </w:p>
        </w:tc>
        <w:tc>
          <w:tcPr>
            <w:tcW w:w="624" w:type="dxa"/>
          </w:tcPr>
          <w:p w14:paraId="16835657" w14:textId="77777777" w:rsidR="0059790B" w:rsidRPr="0083798D" w:rsidRDefault="0059790B" w:rsidP="0059790B">
            <w:pPr>
              <w:jc w:val="center"/>
              <w:rPr>
                <w:rFonts w:cs="Arial"/>
                <w:b/>
                <w:sz w:val="16"/>
                <w:szCs w:val="16"/>
              </w:rPr>
            </w:pPr>
            <w:r w:rsidRPr="0083798D">
              <w:rPr>
                <w:rFonts w:cs="Arial"/>
                <w:color w:val="000000"/>
                <w:sz w:val="16"/>
                <w:szCs w:val="16"/>
              </w:rPr>
              <w:t>2,220</w:t>
            </w:r>
          </w:p>
        </w:tc>
        <w:tc>
          <w:tcPr>
            <w:tcW w:w="880" w:type="dxa"/>
          </w:tcPr>
          <w:p w14:paraId="4793F34A" w14:textId="77777777" w:rsidR="0059790B" w:rsidRPr="0083798D" w:rsidRDefault="0059790B" w:rsidP="0059790B">
            <w:pPr>
              <w:jc w:val="center"/>
              <w:rPr>
                <w:rFonts w:cs="Arial"/>
                <w:b/>
                <w:sz w:val="16"/>
                <w:szCs w:val="16"/>
              </w:rPr>
            </w:pPr>
            <w:r w:rsidRPr="0083798D">
              <w:rPr>
                <w:rFonts w:cs="Arial"/>
                <w:color w:val="000000"/>
                <w:sz w:val="16"/>
                <w:szCs w:val="16"/>
              </w:rPr>
              <w:t>60%</w:t>
            </w:r>
          </w:p>
        </w:tc>
        <w:tc>
          <w:tcPr>
            <w:tcW w:w="562" w:type="dxa"/>
          </w:tcPr>
          <w:p w14:paraId="11E933C1" w14:textId="77777777" w:rsidR="0059790B" w:rsidRPr="0083798D" w:rsidRDefault="0059790B" w:rsidP="0059790B">
            <w:pPr>
              <w:jc w:val="center"/>
              <w:rPr>
                <w:rFonts w:cs="Arial"/>
                <w:b/>
                <w:sz w:val="16"/>
                <w:szCs w:val="16"/>
              </w:rPr>
            </w:pPr>
            <w:r w:rsidRPr="0083798D">
              <w:rPr>
                <w:rFonts w:cs="Arial"/>
                <w:color w:val="000000"/>
                <w:sz w:val="16"/>
                <w:szCs w:val="16"/>
              </w:rPr>
              <w:t>42%</w:t>
            </w:r>
          </w:p>
        </w:tc>
        <w:tc>
          <w:tcPr>
            <w:tcW w:w="880" w:type="dxa"/>
          </w:tcPr>
          <w:p w14:paraId="3A732CBC" w14:textId="77777777" w:rsidR="0059790B" w:rsidRPr="0083798D" w:rsidRDefault="0059790B" w:rsidP="0059790B">
            <w:pPr>
              <w:jc w:val="center"/>
              <w:rPr>
                <w:rFonts w:cs="Arial"/>
                <w:b/>
                <w:sz w:val="16"/>
                <w:szCs w:val="16"/>
              </w:rPr>
            </w:pPr>
            <w:r w:rsidRPr="0083798D">
              <w:rPr>
                <w:rFonts w:cs="Arial"/>
                <w:color w:val="000000"/>
                <w:sz w:val="16"/>
                <w:szCs w:val="16"/>
              </w:rPr>
              <w:t>14%</w:t>
            </w:r>
          </w:p>
        </w:tc>
        <w:tc>
          <w:tcPr>
            <w:tcW w:w="562" w:type="dxa"/>
          </w:tcPr>
          <w:p w14:paraId="6F87F5EC" w14:textId="77777777" w:rsidR="0059790B" w:rsidRPr="0083798D" w:rsidRDefault="0059790B" w:rsidP="0059790B">
            <w:pPr>
              <w:jc w:val="center"/>
              <w:rPr>
                <w:rFonts w:cs="Arial"/>
                <w:b/>
                <w:sz w:val="16"/>
                <w:szCs w:val="16"/>
              </w:rPr>
            </w:pPr>
            <w:r w:rsidRPr="0083798D">
              <w:rPr>
                <w:rFonts w:cs="Arial"/>
                <w:color w:val="000000"/>
                <w:sz w:val="16"/>
                <w:szCs w:val="16"/>
              </w:rPr>
              <w:t>7%</w:t>
            </w:r>
          </w:p>
        </w:tc>
      </w:tr>
    </w:tbl>
    <w:p w14:paraId="6179A540" w14:textId="77777777" w:rsidR="0059790B" w:rsidRDefault="0059790B" w:rsidP="0059790B">
      <w:pPr>
        <w:spacing w:after="200" w:line="276" w:lineRule="auto"/>
        <w:rPr>
          <w:b/>
          <w:u w:val="single"/>
        </w:rPr>
      </w:pPr>
    </w:p>
    <w:p w14:paraId="12C56D1B" w14:textId="77777777" w:rsidR="0059790B" w:rsidRPr="0083798D" w:rsidRDefault="0059790B" w:rsidP="0059790B">
      <w:pPr>
        <w:spacing w:after="0"/>
        <w:rPr>
          <w:rFonts w:cs="Arial"/>
          <w:color w:val="000000"/>
          <w:lang w:eastAsia="en-GB"/>
        </w:rPr>
      </w:pPr>
    </w:p>
    <w:p w14:paraId="3AF76B04" w14:textId="77777777" w:rsidR="0059790B" w:rsidRDefault="0059790B" w:rsidP="0059790B">
      <w:pPr>
        <w:spacing w:after="200" w:line="276" w:lineRule="auto"/>
        <w:rPr>
          <w:b/>
          <w:u w:val="single"/>
        </w:rPr>
      </w:pPr>
      <w:r>
        <w:rPr>
          <w:b/>
          <w:u w:val="single"/>
        </w:rPr>
        <w:br w:type="page"/>
      </w:r>
    </w:p>
    <w:p w14:paraId="40D159DC" w14:textId="77777777" w:rsidR="0059790B" w:rsidRPr="00AF7684" w:rsidRDefault="0059790B" w:rsidP="0059790B">
      <w:pPr>
        <w:pStyle w:val="ListParagraph"/>
        <w:numPr>
          <w:ilvl w:val="0"/>
          <w:numId w:val="18"/>
        </w:numPr>
        <w:tabs>
          <w:tab w:val="left" w:pos="142"/>
        </w:tabs>
        <w:spacing w:after="0"/>
        <w:ind w:left="142" w:hanging="568"/>
        <w:rPr>
          <w:rFonts w:ascii="Arial" w:hAnsi="Arial" w:cs="Arial"/>
          <w:b/>
          <w:sz w:val="24"/>
          <w:szCs w:val="24"/>
        </w:rPr>
      </w:pPr>
      <w:r w:rsidRPr="00AF7684">
        <w:rPr>
          <w:rFonts w:ascii="Arial" w:hAnsi="Arial" w:cs="Arial"/>
          <w:b/>
          <w:sz w:val="24"/>
          <w:szCs w:val="24"/>
        </w:rPr>
        <w:lastRenderedPageBreak/>
        <w:t>Figure 11: Illustrative example of the type of key metrics information available to assessors</w:t>
      </w:r>
    </w:p>
    <w:tbl>
      <w:tblPr>
        <w:tblW w:w="14885" w:type="dxa"/>
        <w:tblInd w:w="-572" w:type="dxa"/>
        <w:tblLayout w:type="fixed"/>
        <w:tblLook w:val="04A0" w:firstRow="1" w:lastRow="0" w:firstColumn="1" w:lastColumn="0" w:noHBand="0" w:noVBand="1"/>
      </w:tblPr>
      <w:tblGrid>
        <w:gridCol w:w="391"/>
        <w:gridCol w:w="2197"/>
        <w:gridCol w:w="912"/>
        <w:gridCol w:w="783"/>
        <w:gridCol w:w="788"/>
        <w:gridCol w:w="655"/>
        <w:gridCol w:w="654"/>
        <w:gridCol w:w="393"/>
        <w:gridCol w:w="261"/>
        <w:gridCol w:w="394"/>
        <w:gridCol w:w="655"/>
        <w:gridCol w:w="522"/>
        <w:gridCol w:w="655"/>
        <w:gridCol w:w="654"/>
        <w:gridCol w:w="393"/>
        <w:gridCol w:w="523"/>
        <w:gridCol w:w="522"/>
        <w:gridCol w:w="654"/>
        <w:gridCol w:w="522"/>
        <w:gridCol w:w="525"/>
        <w:gridCol w:w="655"/>
        <w:gridCol w:w="655"/>
        <w:gridCol w:w="129"/>
        <w:gridCol w:w="393"/>
      </w:tblGrid>
      <w:tr w:rsidR="0059790B" w:rsidRPr="00D53D5E" w14:paraId="431D7F3F" w14:textId="77777777" w:rsidTr="0059790B">
        <w:trPr>
          <w:trHeight w:val="322"/>
        </w:trPr>
        <w:tc>
          <w:tcPr>
            <w:tcW w:w="2588" w:type="dxa"/>
            <w:gridSpan w:val="2"/>
            <w:tcBorders>
              <w:top w:val="single" w:sz="4" w:space="0" w:color="auto"/>
              <w:left w:val="single" w:sz="4" w:space="0" w:color="auto"/>
              <w:bottom w:val="nil"/>
              <w:right w:val="nil"/>
            </w:tcBorders>
            <w:shd w:val="clear" w:color="auto" w:fill="DAEEF3" w:themeFill="accent5" w:themeFillTint="33"/>
            <w:noWrap/>
            <w:hideMark/>
          </w:tcPr>
          <w:p w14:paraId="3A712BDB" w14:textId="77777777" w:rsidR="0059790B" w:rsidRPr="00D53D5E" w:rsidRDefault="0059790B" w:rsidP="0059790B">
            <w:pPr>
              <w:spacing w:before="40" w:after="40"/>
              <w:jc w:val="both"/>
              <w:rPr>
                <w:b/>
                <w:bCs/>
                <w:color w:val="000000"/>
                <w:sz w:val="18"/>
                <w:szCs w:val="18"/>
              </w:rPr>
            </w:pPr>
            <w:r w:rsidRPr="00D53D5E">
              <w:rPr>
                <w:b/>
                <w:bCs/>
                <w:color w:val="000000"/>
                <w:sz w:val="18"/>
                <w:szCs w:val="18"/>
              </w:rPr>
              <w:t> </w:t>
            </w:r>
          </w:p>
        </w:tc>
        <w:tc>
          <w:tcPr>
            <w:tcW w:w="912"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2AC4FB8" w14:textId="77777777" w:rsidR="0059790B" w:rsidRPr="00D53D5E" w:rsidRDefault="0059790B" w:rsidP="0059790B">
            <w:pPr>
              <w:spacing w:before="40" w:after="40"/>
              <w:jc w:val="both"/>
              <w:rPr>
                <w:b/>
                <w:bCs/>
                <w:color w:val="000000"/>
                <w:sz w:val="18"/>
                <w:szCs w:val="18"/>
              </w:rPr>
            </w:pPr>
            <w:r w:rsidRPr="00D53D5E">
              <w:rPr>
                <w:b/>
                <w:bCs/>
                <w:color w:val="000000"/>
                <w:sz w:val="18"/>
                <w:szCs w:val="18"/>
              </w:rPr>
              <w:t>Actual (a)    %</w:t>
            </w:r>
          </w:p>
        </w:tc>
        <w:tc>
          <w:tcPr>
            <w:tcW w:w="783"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77B138B" w14:textId="77777777" w:rsidR="0059790B" w:rsidRPr="00D53D5E" w:rsidRDefault="0059790B" w:rsidP="0059790B">
            <w:pPr>
              <w:spacing w:before="40" w:after="40"/>
              <w:jc w:val="both"/>
              <w:rPr>
                <w:b/>
                <w:bCs/>
                <w:color w:val="000000"/>
                <w:sz w:val="18"/>
                <w:szCs w:val="18"/>
              </w:rPr>
            </w:pPr>
            <w:r w:rsidRPr="00D53D5E">
              <w:rPr>
                <w:b/>
                <w:bCs/>
                <w:color w:val="000000"/>
                <w:sz w:val="18"/>
                <w:szCs w:val="18"/>
              </w:rPr>
              <w:t>Bench-mark (b)       %</w:t>
            </w:r>
          </w:p>
        </w:tc>
        <w:tc>
          <w:tcPr>
            <w:tcW w:w="788"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57A9A332" w14:textId="77777777" w:rsidR="0059790B" w:rsidRPr="00D53D5E" w:rsidRDefault="0059790B" w:rsidP="0059790B">
            <w:pPr>
              <w:spacing w:before="40" w:after="40"/>
              <w:jc w:val="both"/>
              <w:rPr>
                <w:b/>
                <w:bCs/>
                <w:color w:val="000000"/>
                <w:sz w:val="18"/>
                <w:szCs w:val="18"/>
              </w:rPr>
            </w:pPr>
            <w:r w:rsidRPr="00D53D5E">
              <w:rPr>
                <w:b/>
                <w:bCs/>
                <w:color w:val="000000"/>
                <w:sz w:val="18"/>
                <w:szCs w:val="18"/>
              </w:rPr>
              <w:t>(a) -(b)</w:t>
            </w:r>
          </w:p>
        </w:tc>
        <w:tc>
          <w:tcPr>
            <w:tcW w:w="655" w:type="dxa"/>
            <w:vMerge w:val="restart"/>
            <w:tcBorders>
              <w:top w:val="single" w:sz="4" w:space="0" w:color="auto"/>
              <w:left w:val="single" w:sz="4" w:space="0" w:color="auto"/>
              <w:bottom w:val="single" w:sz="4" w:space="0" w:color="auto"/>
              <w:right w:val="single" w:sz="12" w:space="0" w:color="auto"/>
            </w:tcBorders>
            <w:shd w:val="clear" w:color="auto" w:fill="DAEEF3" w:themeFill="accent5" w:themeFillTint="33"/>
            <w:hideMark/>
          </w:tcPr>
          <w:p w14:paraId="21E69DFE" w14:textId="77777777" w:rsidR="0059790B" w:rsidRPr="00D53D5E" w:rsidRDefault="0059790B" w:rsidP="0059790B">
            <w:pPr>
              <w:spacing w:before="40" w:after="40"/>
              <w:jc w:val="both"/>
              <w:rPr>
                <w:b/>
                <w:bCs/>
                <w:color w:val="000000"/>
                <w:sz w:val="18"/>
                <w:szCs w:val="18"/>
              </w:rPr>
            </w:pPr>
            <w:r w:rsidRPr="00D53D5E">
              <w:rPr>
                <w:b/>
                <w:bCs/>
                <w:color w:val="000000"/>
                <w:sz w:val="18"/>
                <w:szCs w:val="18"/>
              </w:rPr>
              <w:t>Z-score</w:t>
            </w:r>
            <w:r w:rsidRPr="00D53D5E">
              <w:rPr>
                <w:rStyle w:val="FootnoteReference"/>
                <w:b/>
                <w:bCs/>
                <w:color w:val="000000"/>
                <w:sz w:val="18"/>
                <w:szCs w:val="18"/>
              </w:rPr>
              <w:footnoteReference w:id="38"/>
            </w:r>
          </w:p>
        </w:tc>
        <w:tc>
          <w:tcPr>
            <w:tcW w:w="654" w:type="dxa"/>
            <w:vMerge w:val="restart"/>
            <w:tcBorders>
              <w:top w:val="single" w:sz="4" w:space="0" w:color="auto"/>
              <w:left w:val="single" w:sz="12" w:space="0" w:color="auto"/>
              <w:right w:val="single" w:sz="12" w:space="0" w:color="auto"/>
            </w:tcBorders>
            <w:shd w:val="clear" w:color="auto" w:fill="DAEEF3" w:themeFill="accent5" w:themeFillTint="33"/>
          </w:tcPr>
          <w:p w14:paraId="2747D12C" w14:textId="77777777" w:rsidR="0059790B" w:rsidRPr="00D53D5E" w:rsidRDefault="0059790B" w:rsidP="0059790B">
            <w:pPr>
              <w:spacing w:before="40" w:after="40"/>
              <w:jc w:val="both"/>
              <w:rPr>
                <w:b/>
                <w:bCs/>
                <w:color w:val="000000"/>
                <w:sz w:val="18"/>
                <w:szCs w:val="18"/>
              </w:rPr>
            </w:pPr>
            <w:r>
              <w:rPr>
                <w:b/>
                <w:bCs/>
                <w:color w:val="000000"/>
                <w:sz w:val="18"/>
                <w:szCs w:val="18"/>
              </w:rPr>
              <w:t>Flag</w:t>
            </w:r>
          </w:p>
        </w:tc>
        <w:tc>
          <w:tcPr>
            <w:tcW w:w="1048" w:type="dxa"/>
            <w:gridSpan w:val="3"/>
            <w:tcBorders>
              <w:top w:val="single" w:sz="4" w:space="0" w:color="auto"/>
              <w:left w:val="single" w:sz="12" w:space="0" w:color="auto"/>
              <w:bottom w:val="nil"/>
              <w:right w:val="single" w:sz="12" w:space="0" w:color="auto"/>
            </w:tcBorders>
            <w:shd w:val="clear" w:color="auto" w:fill="DAEEF3" w:themeFill="accent5" w:themeFillTint="33"/>
          </w:tcPr>
          <w:p w14:paraId="09304BCC" w14:textId="77777777" w:rsidR="0059790B" w:rsidRPr="00D53D5E" w:rsidRDefault="0059790B" w:rsidP="0059790B">
            <w:pPr>
              <w:spacing w:before="40" w:after="40"/>
              <w:jc w:val="both"/>
              <w:rPr>
                <w:b/>
                <w:bCs/>
                <w:color w:val="000000"/>
                <w:sz w:val="18"/>
                <w:szCs w:val="18"/>
              </w:rPr>
            </w:pPr>
            <w:r w:rsidRPr="00D53D5E">
              <w:rPr>
                <w:b/>
                <w:bCs/>
                <w:color w:val="000000"/>
                <w:sz w:val="18"/>
                <w:szCs w:val="18"/>
              </w:rPr>
              <w:t>Years</w:t>
            </w:r>
          </w:p>
        </w:tc>
        <w:tc>
          <w:tcPr>
            <w:tcW w:w="1177" w:type="dxa"/>
            <w:gridSpan w:val="2"/>
            <w:tcBorders>
              <w:top w:val="single" w:sz="4" w:space="0" w:color="auto"/>
              <w:left w:val="single" w:sz="12" w:space="0" w:color="auto"/>
              <w:bottom w:val="single" w:sz="4" w:space="0" w:color="auto"/>
              <w:right w:val="single" w:sz="4" w:space="0" w:color="auto"/>
            </w:tcBorders>
            <w:shd w:val="clear" w:color="auto" w:fill="DAEEF3" w:themeFill="accent5" w:themeFillTint="33"/>
            <w:hideMark/>
          </w:tcPr>
          <w:p w14:paraId="1CD8772D" w14:textId="77777777" w:rsidR="0059790B" w:rsidRPr="00D53D5E" w:rsidRDefault="0059790B" w:rsidP="0059790B">
            <w:pPr>
              <w:spacing w:before="40" w:after="40"/>
              <w:jc w:val="both"/>
              <w:rPr>
                <w:b/>
                <w:bCs/>
                <w:color w:val="000000"/>
                <w:sz w:val="18"/>
                <w:szCs w:val="18"/>
              </w:rPr>
            </w:pPr>
            <w:r w:rsidRPr="00D53D5E">
              <w:rPr>
                <w:b/>
                <w:bCs/>
                <w:color w:val="000000"/>
                <w:sz w:val="18"/>
                <w:szCs w:val="18"/>
              </w:rPr>
              <w:t>Level</w:t>
            </w:r>
          </w:p>
        </w:tc>
        <w:tc>
          <w:tcPr>
            <w:tcW w:w="1309"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760B750" w14:textId="77777777" w:rsidR="0059790B" w:rsidRPr="00D53D5E" w:rsidRDefault="0059790B" w:rsidP="0059790B">
            <w:pPr>
              <w:spacing w:before="40" w:after="40"/>
              <w:jc w:val="both"/>
              <w:rPr>
                <w:b/>
                <w:bCs/>
                <w:color w:val="000000"/>
                <w:sz w:val="18"/>
                <w:szCs w:val="18"/>
              </w:rPr>
            </w:pPr>
            <w:r w:rsidRPr="00D53D5E">
              <w:rPr>
                <w:b/>
                <w:bCs/>
                <w:color w:val="000000"/>
                <w:sz w:val="18"/>
                <w:szCs w:val="18"/>
              </w:rPr>
              <w:t>Age</w:t>
            </w:r>
          </w:p>
        </w:tc>
        <w:tc>
          <w:tcPr>
            <w:tcW w:w="91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4655A39" w14:textId="77777777" w:rsidR="0059790B" w:rsidRPr="00D53D5E" w:rsidRDefault="0059790B" w:rsidP="0059790B">
            <w:pPr>
              <w:spacing w:before="40" w:after="40"/>
              <w:jc w:val="both"/>
              <w:rPr>
                <w:b/>
                <w:bCs/>
                <w:color w:val="000000"/>
                <w:sz w:val="18"/>
                <w:szCs w:val="18"/>
              </w:rPr>
            </w:pPr>
            <w:r w:rsidRPr="00D53D5E">
              <w:rPr>
                <w:b/>
                <w:bCs/>
                <w:color w:val="000000"/>
                <w:sz w:val="18"/>
                <w:szCs w:val="18"/>
              </w:rPr>
              <w:t>POLAR</w:t>
            </w:r>
          </w:p>
        </w:tc>
        <w:tc>
          <w:tcPr>
            <w:tcW w:w="117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F42EE3D" w14:textId="77777777" w:rsidR="0059790B" w:rsidRPr="00D53D5E" w:rsidRDefault="0059790B" w:rsidP="0059790B">
            <w:pPr>
              <w:spacing w:before="40" w:after="40"/>
              <w:jc w:val="both"/>
              <w:rPr>
                <w:b/>
                <w:bCs/>
                <w:color w:val="000000"/>
                <w:sz w:val="18"/>
                <w:szCs w:val="18"/>
              </w:rPr>
            </w:pPr>
            <w:r w:rsidRPr="00D53D5E">
              <w:rPr>
                <w:b/>
                <w:bCs/>
                <w:color w:val="000000"/>
                <w:sz w:val="18"/>
                <w:szCs w:val="18"/>
              </w:rPr>
              <w:t>Ethnicity</w:t>
            </w:r>
          </w:p>
        </w:tc>
        <w:tc>
          <w:tcPr>
            <w:tcW w:w="1047"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5BA501D" w14:textId="77777777" w:rsidR="0059790B" w:rsidRPr="00D53D5E" w:rsidRDefault="0059790B" w:rsidP="0059790B">
            <w:pPr>
              <w:spacing w:before="40" w:after="40"/>
              <w:jc w:val="both"/>
              <w:rPr>
                <w:b/>
                <w:bCs/>
                <w:color w:val="000000"/>
                <w:sz w:val="18"/>
                <w:szCs w:val="18"/>
              </w:rPr>
            </w:pPr>
            <w:r w:rsidRPr="00D53D5E">
              <w:rPr>
                <w:b/>
                <w:bCs/>
                <w:color w:val="000000"/>
                <w:sz w:val="18"/>
                <w:szCs w:val="18"/>
              </w:rPr>
              <w:t>Disabled</w:t>
            </w:r>
          </w:p>
        </w:tc>
        <w:tc>
          <w:tcPr>
            <w:tcW w:w="183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7A0139F" w14:textId="77777777" w:rsidR="0059790B" w:rsidRPr="00D53D5E" w:rsidRDefault="0059790B" w:rsidP="0059790B">
            <w:pPr>
              <w:spacing w:before="40" w:after="40"/>
              <w:jc w:val="both"/>
              <w:rPr>
                <w:b/>
                <w:bCs/>
                <w:color w:val="000000"/>
                <w:sz w:val="18"/>
                <w:szCs w:val="18"/>
              </w:rPr>
            </w:pPr>
            <w:r w:rsidRPr="00D53D5E">
              <w:rPr>
                <w:b/>
                <w:bCs/>
                <w:color w:val="000000"/>
                <w:sz w:val="18"/>
                <w:szCs w:val="18"/>
              </w:rPr>
              <w:t>Domicile</w:t>
            </w:r>
          </w:p>
        </w:tc>
      </w:tr>
      <w:tr w:rsidR="0059790B" w:rsidRPr="00D53D5E" w14:paraId="17717423" w14:textId="77777777" w:rsidTr="0059790B">
        <w:trPr>
          <w:trHeight w:val="260"/>
        </w:trPr>
        <w:tc>
          <w:tcPr>
            <w:tcW w:w="2588" w:type="dxa"/>
            <w:gridSpan w:val="2"/>
            <w:tcBorders>
              <w:top w:val="nil"/>
              <w:left w:val="single" w:sz="4" w:space="0" w:color="auto"/>
              <w:bottom w:val="single" w:sz="4" w:space="0" w:color="auto"/>
              <w:right w:val="nil"/>
            </w:tcBorders>
            <w:shd w:val="clear" w:color="auto" w:fill="DAEEF3" w:themeFill="accent5" w:themeFillTint="33"/>
            <w:noWrap/>
            <w:hideMark/>
          </w:tcPr>
          <w:p w14:paraId="5DA76E79" w14:textId="77777777" w:rsidR="0059790B" w:rsidRPr="00D53D5E" w:rsidRDefault="0059790B" w:rsidP="0059790B">
            <w:pPr>
              <w:spacing w:before="40" w:after="40"/>
              <w:jc w:val="center"/>
              <w:rPr>
                <w:b/>
                <w:bCs/>
                <w:color w:val="000000"/>
                <w:sz w:val="18"/>
                <w:szCs w:val="18"/>
              </w:rPr>
            </w:pPr>
          </w:p>
        </w:tc>
        <w:tc>
          <w:tcPr>
            <w:tcW w:w="912"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B4608F2" w14:textId="77777777" w:rsidR="0059790B" w:rsidRPr="00D53D5E" w:rsidRDefault="0059790B" w:rsidP="0059790B">
            <w:pPr>
              <w:spacing w:before="40" w:after="40"/>
              <w:jc w:val="center"/>
              <w:rPr>
                <w:b/>
                <w:bCs/>
                <w:color w:val="000000"/>
                <w:sz w:val="18"/>
                <w:szCs w:val="18"/>
              </w:rPr>
            </w:pPr>
          </w:p>
        </w:tc>
        <w:tc>
          <w:tcPr>
            <w:tcW w:w="783"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8D228D2" w14:textId="77777777" w:rsidR="0059790B" w:rsidRPr="00D53D5E" w:rsidRDefault="0059790B" w:rsidP="0059790B">
            <w:pPr>
              <w:spacing w:before="40" w:after="40"/>
              <w:jc w:val="center"/>
              <w:rPr>
                <w:b/>
                <w:bCs/>
                <w:color w:val="000000"/>
                <w:sz w:val="18"/>
                <w:szCs w:val="18"/>
              </w:rPr>
            </w:pPr>
          </w:p>
        </w:tc>
        <w:tc>
          <w:tcPr>
            <w:tcW w:w="788"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174D256" w14:textId="77777777" w:rsidR="0059790B" w:rsidRPr="00D53D5E" w:rsidRDefault="0059790B" w:rsidP="0059790B">
            <w:pPr>
              <w:spacing w:before="40" w:after="40"/>
              <w:jc w:val="center"/>
              <w:rPr>
                <w:b/>
                <w:bCs/>
                <w:color w:val="000000"/>
                <w:sz w:val="18"/>
                <w:szCs w:val="18"/>
              </w:rPr>
            </w:pPr>
          </w:p>
        </w:tc>
        <w:tc>
          <w:tcPr>
            <w:tcW w:w="655" w:type="dxa"/>
            <w:vMerge/>
            <w:tcBorders>
              <w:top w:val="single" w:sz="4" w:space="0" w:color="auto"/>
              <w:left w:val="single" w:sz="4" w:space="0" w:color="auto"/>
              <w:bottom w:val="single" w:sz="4" w:space="0" w:color="auto"/>
              <w:right w:val="single" w:sz="12" w:space="0" w:color="auto"/>
            </w:tcBorders>
            <w:shd w:val="clear" w:color="auto" w:fill="DAEEF3" w:themeFill="accent5" w:themeFillTint="33"/>
            <w:vAlign w:val="center"/>
            <w:hideMark/>
          </w:tcPr>
          <w:p w14:paraId="39B6031C" w14:textId="77777777" w:rsidR="0059790B" w:rsidRPr="00D53D5E" w:rsidRDefault="0059790B" w:rsidP="0059790B">
            <w:pPr>
              <w:spacing w:before="40" w:after="40"/>
              <w:jc w:val="center"/>
              <w:rPr>
                <w:b/>
                <w:bCs/>
                <w:color w:val="000000"/>
                <w:sz w:val="18"/>
                <w:szCs w:val="18"/>
              </w:rPr>
            </w:pPr>
          </w:p>
        </w:tc>
        <w:tc>
          <w:tcPr>
            <w:tcW w:w="654" w:type="dxa"/>
            <w:vMerge/>
            <w:tcBorders>
              <w:left w:val="single" w:sz="12" w:space="0" w:color="auto"/>
              <w:bottom w:val="single" w:sz="4" w:space="0" w:color="auto"/>
              <w:right w:val="single" w:sz="12" w:space="0" w:color="auto"/>
            </w:tcBorders>
            <w:shd w:val="clear" w:color="auto" w:fill="DAEEF3" w:themeFill="accent5" w:themeFillTint="33"/>
          </w:tcPr>
          <w:p w14:paraId="16A22928" w14:textId="77777777" w:rsidR="0059790B" w:rsidRPr="00D53D5E" w:rsidRDefault="0059790B" w:rsidP="0059790B">
            <w:pPr>
              <w:spacing w:before="40" w:after="40"/>
              <w:jc w:val="center"/>
              <w:rPr>
                <w:b/>
                <w:bCs/>
                <w:color w:val="000000"/>
                <w:sz w:val="18"/>
                <w:szCs w:val="18"/>
              </w:rPr>
            </w:pPr>
          </w:p>
        </w:tc>
        <w:tc>
          <w:tcPr>
            <w:tcW w:w="393" w:type="dxa"/>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tcPr>
          <w:p w14:paraId="6611B128" w14:textId="77777777" w:rsidR="0059790B" w:rsidRPr="00D53D5E" w:rsidRDefault="0059790B" w:rsidP="0059790B">
            <w:pPr>
              <w:spacing w:before="40" w:after="40"/>
              <w:jc w:val="center"/>
              <w:rPr>
                <w:b/>
                <w:bCs/>
                <w:color w:val="000000"/>
                <w:sz w:val="18"/>
                <w:szCs w:val="18"/>
              </w:rPr>
            </w:pPr>
            <w:r w:rsidRPr="00D53D5E">
              <w:rPr>
                <w:b/>
                <w:bCs/>
                <w:color w:val="000000"/>
                <w:sz w:val="18"/>
                <w:szCs w:val="18"/>
              </w:rPr>
              <w:t>1</w:t>
            </w:r>
          </w:p>
        </w:tc>
        <w:tc>
          <w:tcPr>
            <w:tcW w:w="26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FC62C43" w14:textId="77777777" w:rsidR="0059790B" w:rsidRPr="00D53D5E" w:rsidRDefault="0059790B" w:rsidP="0059790B">
            <w:pPr>
              <w:spacing w:before="40" w:after="40"/>
              <w:jc w:val="center"/>
              <w:rPr>
                <w:b/>
                <w:bCs/>
                <w:color w:val="000000"/>
                <w:sz w:val="18"/>
                <w:szCs w:val="18"/>
              </w:rPr>
            </w:pPr>
            <w:r w:rsidRPr="00D53D5E">
              <w:rPr>
                <w:b/>
                <w:bCs/>
                <w:color w:val="000000"/>
                <w:sz w:val="18"/>
                <w:szCs w:val="18"/>
              </w:rPr>
              <w:t>2</w:t>
            </w:r>
          </w:p>
        </w:tc>
        <w:tc>
          <w:tcPr>
            <w:tcW w:w="394" w:type="dxa"/>
            <w:tcBorders>
              <w:top w:val="single" w:sz="4" w:space="0" w:color="auto"/>
              <w:left w:val="single" w:sz="4" w:space="0" w:color="auto"/>
              <w:bottom w:val="single" w:sz="4" w:space="0" w:color="auto"/>
              <w:right w:val="single" w:sz="12" w:space="0" w:color="auto"/>
            </w:tcBorders>
            <w:shd w:val="clear" w:color="auto" w:fill="DAEEF3" w:themeFill="accent5" w:themeFillTint="33"/>
            <w:vAlign w:val="center"/>
            <w:hideMark/>
          </w:tcPr>
          <w:p w14:paraId="009CF34A" w14:textId="77777777" w:rsidR="0059790B" w:rsidRPr="00D53D5E" w:rsidRDefault="0059790B" w:rsidP="0059790B">
            <w:pPr>
              <w:spacing w:before="40" w:after="40"/>
              <w:jc w:val="center"/>
              <w:rPr>
                <w:b/>
                <w:bCs/>
                <w:color w:val="000000"/>
                <w:sz w:val="18"/>
                <w:szCs w:val="18"/>
              </w:rPr>
            </w:pPr>
            <w:r w:rsidRPr="00D53D5E">
              <w:rPr>
                <w:b/>
                <w:bCs/>
                <w:color w:val="000000"/>
                <w:sz w:val="18"/>
                <w:szCs w:val="18"/>
              </w:rPr>
              <w:t>3</w:t>
            </w:r>
          </w:p>
        </w:tc>
        <w:tc>
          <w:tcPr>
            <w:tcW w:w="655" w:type="dxa"/>
            <w:tcBorders>
              <w:top w:val="single" w:sz="4" w:space="0" w:color="auto"/>
              <w:left w:val="single" w:sz="12" w:space="0" w:color="auto"/>
              <w:bottom w:val="single" w:sz="4" w:space="0" w:color="auto"/>
              <w:right w:val="single" w:sz="4" w:space="0" w:color="auto"/>
            </w:tcBorders>
            <w:shd w:val="clear" w:color="auto" w:fill="DAEEF3" w:themeFill="accent5" w:themeFillTint="33"/>
            <w:hideMark/>
          </w:tcPr>
          <w:p w14:paraId="202E1568" w14:textId="77777777" w:rsidR="0059790B" w:rsidRPr="00D53D5E" w:rsidRDefault="0059790B" w:rsidP="0059790B">
            <w:pPr>
              <w:spacing w:before="40" w:after="40"/>
              <w:ind w:left="-113" w:right="-113"/>
              <w:jc w:val="center"/>
              <w:rPr>
                <w:b/>
                <w:bCs/>
                <w:color w:val="000000"/>
                <w:sz w:val="18"/>
                <w:szCs w:val="18"/>
              </w:rPr>
            </w:pPr>
            <w:r w:rsidRPr="00D53D5E">
              <w:rPr>
                <w:b/>
                <w:bCs/>
                <w:color w:val="000000"/>
                <w:sz w:val="18"/>
                <w:szCs w:val="18"/>
              </w:rPr>
              <w:t>First</w:t>
            </w:r>
          </w:p>
          <w:p w14:paraId="22F8011D" w14:textId="77777777" w:rsidR="0059790B" w:rsidRPr="00D53D5E" w:rsidRDefault="0059790B" w:rsidP="0059790B">
            <w:pPr>
              <w:spacing w:before="40" w:after="40"/>
              <w:ind w:left="-113" w:right="-113"/>
              <w:jc w:val="center"/>
              <w:rPr>
                <w:b/>
                <w:bCs/>
                <w:color w:val="000000"/>
                <w:sz w:val="18"/>
                <w:szCs w:val="18"/>
              </w:rPr>
            </w:pPr>
            <w:r w:rsidRPr="00D53D5E">
              <w:rPr>
                <w:b/>
                <w:bCs/>
                <w:color w:val="000000"/>
                <w:sz w:val="18"/>
                <w:szCs w:val="18"/>
              </w:rPr>
              <w:t>Deg</w:t>
            </w:r>
            <w:r>
              <w:rPr>
                <w:b/>
                <w:bCs/>
                <w:color w:val="000000"/>
                <w:sz w:val="18"/>
                <w:szCs w:val="18"/>
              </w:rPr>
              <w:t>ree</w:t>
            </w:r>
          </w:p>
        </w:tc>
        <w:tc>
          <w:tcPr>
            <w:tcW w:w="52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F4F7BB5" w14:textId="77777777" w:rsidR="0059790B" w:rsidRPr="00D53D5E" w:rsidRDefault="0059790B" w:rsidP="0059790B">
            <w:pPr>
              <w:spacing w:before="40" w:after="40"/>
              <w:ind w:left="-113" w:right="-113"/>
              <w:jc w:val="center"/>
              <w:rPr>
                <w:b/>
                <w:bCs/>
                <w:color w:val="000000"/>
                <w:sz w:val="18"/>
                <w:szCs w:val="18"/>
              </w:rPr>
            </w:pPr>
            <w:r w:rsidRPr="00D53D5E">
              <w:rPr>
                <w:b/>
                <w:bCs/>
                <w:color w:val="000000"/>
                <w:sz w:val="18"/>
                <w:szCs w:val="18"/>
              </w:rPr>
              <w:t>Oth</w:t>
            </w:r>
            <w:r>
              <w:rPr>
                <w:b/>
                <w:bCs/>
                <w:color w:val="000000"/>
                <w:sz w:val="18"/>
                <w:szCs w:val="18"/>
              </w:rPr>
              <w:t>er</w:t>
            </w:r>
          </w:p>
          <w:p w14:paraId="4749997F" w14:textId="77777777" w:rsidR="0059790B" w:rsidRPr="00D53D5E" w:rsidRDefault="0059790B" w:rsidP="0059790B">
            <w:pPr>
              <w:spacing w:before="40" w:after="40"/>
              <w:ind w:left="-113" w:right="-113"/>
              <w:jc w:val="center"/>
              <w:rPr>
                <w:b/>
                <w:bCs/>
                <w:color w:val="000000"/>
                <w:sz w:val="18"/>
                <w:szCs w:val="18"/>
              </w:rPr>
            </w:pPr>
            <w:r w:rsidRPr="00D53D5E">
              <w:rPr>
                <w:b/>
                <w:bCs/>
                <w:color w:val="000000"/>
                <w:sz w:val="18"/>
                <w:szCs w:val="18"/>
              </w:rPr>
              <w:t>UG</w:t>
            </w:r>
          </w:p>
        </w:tc>
        <w:tc>
          <w:tcPr>
            <w:tcW w:w="655"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6D926AF3" w14:textId="77777777" w:rsidR="0059790B" w:rsidRPr="00D53D5E" w:rsidRDefault="0059790B" w:rsidP="0059790B">
            <w:pPr>
              <w:spacing w:before="40" w:after="40"/>
              <w:ind w:left="-113" w:right="-113"/>
              <w:jc w:val="center"/>
              <w:rPr>
                <w:b/>
                <w:bCs/>
                <w:color w:val="000000"/>
                <w:sz w:val="18"/>
                <w:szCs w:val="18"/>
              </w:rPr>
            </w:pPr>
            <w:r w:rsidRPr="00D53D5E">
              <w:rPr>
                <w:b/>
                <w:bCs/>
                <w:color w:val="000000"/>
                <w:sz w:val="18"/>
                <w:szCs w:val="18"/>
              </w:rPr>
              <w:t>Young</w:t>
            </w:r>
          </w:p>
        </w:tc>
        <w:tc>
          <w:tcPr>
            <w:tcW w:w="654"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51DCB4A" w14:textId="77777777" w:rsidR="0059790B" w:rsidRPr="00D53D5E" w:rsidRDefault="0059790B" w:rsidP="0059790B">
            <w:pPr>
              <w:spacing w:before="40" w:after="40"/>
              <w:ind w:left="-113" w:right="-113"/>
              <w:jc w:val="center"/>
              <w:rPr>
                <w:b/>
                <w:bCs/>
                <w:color w:val="000000"/>
                <w:sz w:val="18"/>
                <w:szCs w:val="18"/>
              </w:rPr>
            </w:pPr>
            <w:r w:rsidRPr="00D53D5E">
              <w:rPr>
                <w:b/>
                <w:bCs/>
                <w:color w:val="000000"/>
                <w:sz w:val="18"/>
                <w:szCs w:val="18"/>
              </w:rPr>
              <w:t>Mature</w:t>
            </w:r>
          </w:p>
        </w:tc>
        <w:tc>
          <w:tcPr>
            <w:tcW w:w="393"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30C95A7" w14:textId="77777777" w:rsidR="0059790B" w:rsidRPr="00D53D5E" w:rsidRDefault="0059790B" w:rsidP="0059790B">
            <w:pPr>
              <w:spacing w:before="40" w:after="40"/>
              <w:ind w:left="-113" w:right="-113"/>
              <w:jc w:val="center"/>
              <w:rPr>
                <w:b/>
                <w:bCs/>
                <w:color w:val="000000"/>
                <w:sz w:val="18"/>
                <w:szCs w:val="18"/>
              </w:rPr>
            </w:pPr>
            <w:r w:rsidRPr="00D53D5E">
              <w:rPr>
                <w:b/>
                <w:bCs/>
                <w:color w:val="000000"/>
                <w:sz w:val="18"/>
                <w:szCs w:val="18"/>
              </w:rPr>
              <w:t>1-2</w:t>
            </w:r>
          </w:p>
        </w:tc>
        <w:tc>
          <w:tcPr>
            <w:tcW w:w="523"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4D5CAE3" w14:textId="77777777" w:rsidR="0059790B" w:rsidRPr="00D53D5E" w:rsidRDefault="0059790B" w:rsidP="0059790B">
            <w:pPr>
              <w:spacing w:before="40" w:after="40"/>
              <w:ind w:left="-113" w:right="-113"/>
              <w:jc w:val="center"/>
              <w:rPr>
                <w:b/>
                <w:bCs/>
                <w:color w:val="000000"/>
                <w:sz w:val="18"/>
                <w:szCs w:val="18"/>
              </w:rPr>
            </w:pPr>
            <w:r w:rsidRPr="00D53D5E">
              <w:rPr>
                <w:b/>
                <w:bCs/>
                <w:color w:val="000000"/>
                <w:sz w:val="18"/>
                <w:szCs w:val="18"/>
              </w:rPr>
              <w:t>3-5</w:t>
            </w:r>
          </w:p>
        </w:tc>
        <w:tc>
          <w:tcPr>
            <w:tcW w:w="52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68D5282D" w14:textId="77777777" w:rsidR="0059790B" w:rsidRPr="00D53D5E" w:rsidRDefault="0059790B" w:rsidP="0059790B">
            <w:pPr>
              <w:spacing w:before="40" w:after="40"/>
              <w:ind w:left="-113" w:right="-113"/>
              <w:jc w:val="center"/>
              <w:rPr>
                <w:b/>
                <w:bCs/>
                <w:color w:val="000000"/>
                <w:sz w:val="18"/>
                <w:szCs w:val="18"/>
              </w:rPr>
            </w:pPr>
            <w:r w:rsidRPr="00D53D5E">
              <w:rPr>
                <w:b/>
                <w:bCs/>
                <w:color w:val="000000"/>
                <w:sz w:val="18"/>
                <w:szCs w:val="18"/>
              </w:rPr>
              <w:t>White</w:t>
            </w:r>
          </w:p>
        </w:tc>
        <w:tc>
          <w:tcPr>
            <w:tcW w:w="654"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547342A7" w14:textId="77777777" w:rsidR="0059790B" w:rsidRPr="00D53D5E" w:rsidRDefault="0059790B" w:rsidP="0059790B">
            <w:pPr>
              <w:spacing w:before="40" w:after="40"/>
              <w:ind w:left="-113" w:right="-113"/>
              <w:jc w:val="center"/>
              <w:rPr>
                <w:b/>
                <w:bCs/>
                <w:color w:val="000000"/>
                <w:sz w:val="18"/>
                <w:szCs w:val="18"/>
              </w:rPr>
            </w:pPr>
            <w:r w:rsidRPr="00D53D5E">
              <w:rPr>
                <w:b/>
                <w:bCs/>
                <w:color w:val="000000"/>
                <w:sz w:val="18"/>
                <w:szCs w:val="18"/>
              </w:rPr>
              <w:t>BME</w:t>
            </w:r>
          </w:p>
        </w:tc>
        <w:tc>
          <w:tcPr>
            <w:tcW w:w="52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64D0E79E" w14:textId="77777777" w:rsidR="0059790B" w:rsidRPr="00D53D5E" w:rsidRDefault="0059790B" w:rsidP="0059790B">
            <w:pPr>
              <w:spacing w:before="40" w:after="40"/>
              <w:ind w:left="-113" w:right="-113"/>
              <w:jc w:val="center"/>
              <w:rPr>
                <w:b/>
                <w:bCs/>
                <w:color w:val="000000"/>
                <w:sz w:val="18"/>
                <w:szCs w:val="18"/>
              </w:rPr>
            </w:pPr>
            <w:r w:rsidRPr="00D53D5E">
              <w:rPr>
                <w:b/>
                <w:bCs/>
                <w:color w:val="000000"/>
                <w:sz w:val="18"/>
                <w:szCs w:val="18"/>
              </w:rPr>
              <w:t>Yes</w:t>
            </w:r>
          </w:p>
        </w:tc>
        <w:tc>
          <w:tcPr>
            <w:tcW w:w="525"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D528844" w14:textId="77777777" w:rsidR="0059790B" w:rsidRPr="00D53D5E" w:rsidRDefault="0059790B" w:rsidP="0059790B">
            <w:pPr>
              <w:spacing w:before="40" w:after="40"/>
              <w:ind w:left="-113" w:right="-113"/>
              <w:jc w:val="center"/>
              <w:rPr>
                <w:b/>
                <w:bCs/>
                <w:color w:val="000000"/>
                <w:sz w:val="18"/>
                <w:szCs w:val="18"/>
              </w:rPr>
            </w:pPr>
            <w:r w:rsidRPr="00D53D5E">
              <w:rPr>
                <w:b/>
                <w:bCs/>
                <w:color w:val="000000"/>
                <w:sz w:val="18"/>
                <w:szCs w:val="18"/>
              </w:rPr>
              <w:t>No</w:t>
            </w:r>
          </w:p>
        </w:tc>
        <w:tc>
          <w:tcPr>
            <w:tcW w:w="655"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24279D0" w14:textId="77777777" w:rsidR="0059790B" w:rsidRPr="00D53D5E" w:rsidRDefault="0059790B" w:rsidP="0059790B">
            <w:pPr>
              <w:spacing w:before="40" w:after="40"/>
              <w:ind w:left="-113" w:right="-113"/>
              <w:jc w:val="center"/>
              <w:rPr>
                <w:b/>
                <w:bCs/>
                <w:color w:val="000000"/>
                <w:sz w:val="18"/>
                <w:szCs w:val="18"/>
              </w:rPr>
            </w:pPr>
            <w:r w:rsidRPr="00D53D5E">
              <w:rPr>
                <w:b/>
                <w:bCs/>
                <w:color w:val="000000"/>
                <w:sz w:val="18"/>
                <w:szCs w:val="18"/>
              </w:rPr>
              <w:t>UK</w:t>
            </w:r>
          </w:p>
        </w:tc>
        <w:tc>
          <w:tcPr>
            <w:tcW w:w="655"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6B47E39F" w14:textId="77777777" w:rsidR="0059790B" w:rsidRPr="00D53D5E" w:rsidRDefault="0059790B" w:rsidP="0059790B">
            <w:pPr>
              <w:spacing w:before="40" w:after="40"/>
              <w:ind w:left="-113" w:right="-113"/>
              <w:jc w:val="center"/>
              <w:rPr>
                <w:b/>
                <w:bCs/>
                <w:color w:val="000000"/>
                <w:sz w:val="18"/>
                <w:szCs w:val="18"/>
              </w:rPr>
            </w:pPr>
            <w:r w:rsidRPr="00D53D5E">
              <w:rPr>
                <w:b/>
                <w:bCs/>
                <w:color w:val="000000"/>
                <w:sz w:val="18"/>
                <w:szCs w:val="18"/>
              </w:rPr>
              <w:t>Other</w:t>
            </w:r>
            <w:r>
              <w:rPr>
                <w:b/>
                <w:bCs/>
                <w:color w:val="000000"/>
                <w:sz w:val="18"/>
                <w:szCs w:val="18"/>
              </w:rPr>
              <w:t xml:space="preserve"> </w:t>
            </w:r>
            <w:r w:rsidRPr="00D53D5E">
              <w:rPr>
                <w:b/>
                <w:bCs/>
                <w:color w:val="000000"/>
                <w:sz w:val="18"/>
                <w:szCs w:val="18"/>
              </w:rPr>
              <w:t>EU</w:t>
            </w:r>
          </w:p>
        </w:tc>
        <w:tc>
          <w:tcPr>
            <w:tcW w:w="522"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FF43A68" w14:textId="77777777" w:rsidR="0059790B" w:rsidRPr="00D53D5E" w:rsidRDefault="0059790B" w:rsidP="0059790B">
            <w:pPr>
              <w:spacing w:before="40" w:after="40"/>
              <w:ind w:left="-113" w:right="-113"/>
              <w:jc w:val="center"/>
              <w:rPr>
                <w:b/>
                <w:bCs/>
                <w:color w:val="000000"/>
                <w:sz w:val="18"/>
                <w:szCs w:val="18"/>
              </w:rPr>
            </w:pPr>
            <w:r w:rsidRPr="00D53D5E">
              <w:rPr>
                <w:b/>
                <w:bCs/>
                <w:color w:val="000000"/>
                <w:sz w:val="18"/>
                <w:szCs w:val="18"/>
              </w:rPr>
              <w:t>Non-EU</w:t>
            </w:r>
          </w:p>
        </w:tc>
      </w:tr>
      <w:tr w:rsidR="0059790B" w:rsidRPr="00A43427" w14:paraId="710D9748" w14:textId="77777777" w:rsidTr="0059790B">
        <w:trPr>
          <w:trHeight w:val="307"/>
        </w:trPr>
        <w:tc>
          <w:tcPr>
            <w:tcW w:w="3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8119B6" w14:textId="77777777" w:rsidR="0059790B" w:rsidRPr="006A0B80" w:rsidRDefault="0059790B" w:rsidP="0059790B">
            <w:pPr>
              <w:spacing w:before="40" w:after="40"/>
              <w:rPr>
                <w:b/>
                <w:bCs/>
                <w:color w:val="000000"/>
                <w:sz w:val="20"/>
                <w:szCs w:val="20"/>
              </w:rPr>
            </w:pPr>
          </w:p>
        </w:tc>
        <w:tc>
          <w:tcPr>
            <w:tcW w:w="14494" w:type="dxa"/>
            <w:gridSpan w:val="2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1C44165" w14:textId="77777777" w:rsidR="0059790B" w:rsidRPr="006A0B80" w:rsidRDefault="0059790B" w:rsidP="0059790B">
            <w:pPr>
              <w:spacing w:before="40" w:after="40"/>
              <w:rPr>
                <w:b/>
                <w:bCs/>
                <w:color w:val="000000"/>
                <w:sz w:val="20"/>
                <w:szCs w:val="20"/>
              </w:rPr>
            </w:pPr>
            <w:r w:rsidRPr="006A0B80">
              <w:rPr>
                <w:b/>
                <w:bCs/>
                <w:color w:val="000000"/>
                <w:sz w:val="20"/>
                <w:szCs w:val="20"/>
              </w:rPr>
              <w:t>Full-time students</w:t>
            </w:r>
          </w:p>
        </w:tc>
      </w:tr>
      <w:tr w:rsidR="0059790B" w:rsidRPr="00A43427" w14:paraId="13C52A20" w14:textId="77777777" w:rsidTr="0059790B">
        <w:trPr>
          <w:trHeight w:val="336"/>
        </w:trPr>
        <w:tc>
          <w:tcPr>
            <w:tcW w:w="2588" w:type="dxa"/>
            <w:gridSpan w:val="2"/>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1718BF6" w14:textId="77777777" w:rsidR="0059790B" w:rsidRPr="006A0B80" w:rsidRDefault="0059790B" w:rsidP="0059790B">
            <w:pPr>
              <w:spacing w:before="40" w:after="40"/>
              <w:rPr>
                <w:color w:val="000000"/>
                <w:sz w:val="20"/>
                <w:szCs w:val="20"/>
              </w:rPr>
            </w:pPr>
            <w:r w:rsidRPr="006A0B80">
              <w:rPr>
                <w:color w:val="000000"/>
                <w:sz w:val="20"/>
                <w:szCs w:val="20"/>
              </w:rPr>
              <w:t>The teaching on my course</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317EF" w14:textId="77777777" w:rsidR="0059790B" w:rsidRPr="006A0B80" w:rsidRDefault="0059790B" w:rsidP="0059790B">
            <w:pPr>
              <w:spacing w:before="40" w:after="40"/>
              <w:jc w:val="right"/>
              <w:rPr>
                <w:color w:val="000000"/>
                <w:sz w:val="20"/>
                <w:szCs w:val="20"/>
              </w:rPr>
            </w:pPr>
            <w:r w:rsidRPr="006A0B80">
              <w:rPr>
                <w:color w:val="000000"/>
                <w:sz w:val="20"/>
                <w:szCs w:val="20"/>
              </w:rPr>
              <w:t>90.7</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A152D" w14:textId="77777777" w:rsidR="0059790B" w:rsidRPr="006A0B80" w:rsidRDefault="0059790B" w:rsidP="0059790B">
            <w:pPr>
              <w:spacing w:before="40" w:after="40"/>
              <w:jc w:val="right"/>
              <w:rPr>
                <w:color w:val="000000"/>
                <w:sz w:val="20"/>
                <w:szCs w:val="20"/>
              </w:rPr>
            </w:pPr>
            <w:r w:rsidRPr="006A0B80">
              <w:rPr>
                <w:color w:val="000000"/>
                <w:sz w:val="20"/>
                <w:szCs w:val="20"/>
              </w:rPr>
              <w:t>86.5</w:t>
            </w:r>
          </w:p>
        </w:tc>
        <w:tc>
          <w:tcPr>
            <w:tcW w:w="788"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535B21CF" w14:textId="77777777" w:rsidR="0059790B" w:rsidRPr="006A0B80" w:rsidRDefault="0059790B" w:rsidP="0059790B">
            <w:pPr>
              <w:spacing w:before="40" w:after="40"/>
              <w:jc w:val="right"/>
              <w:rPr>
                <w:color w:val="000000"/>
                <w:sz w:val="20"/>
                <w:szCs w:val="20"/>
              </w:rPr>
            </w:pPr>
            <w:r w:rsidRPr="006A0B80">
              <w:rPr>
                <w:color w:val="000000"/>
                <w:sz w:val="20"/>
                <w:szCs w:val="20"/>
              </w:rPr>
              <w:t>4.2</w:t>
            </w:r>
          </w:p>
        </w:tc>
        <w:tc>
          <w:tcPr>
            <w:tcW w:w="65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6A2CE075" w14:textId="77777777" w:rsidR="0059790B" w:rsidRPr="00C10FEA" w:rsidRDefault="0059790B" w:rsidP="0059790B">
            <w:pPr>
              <w:spacing w:before="40" w:after="40"/>
              <w:jc w:val="right"/>
              <w:rPr>
                <w:color w:val="000000"/>
                <w:sz w:val="20"/>
                <w:szCs w:val="20"/>
              </w:rPr>
            </w:pPr>
            <w:r w:rsidRPr="00C10FEA">
              <w:rPr>
                <w:color w:val="000000"/>
                <w:sz w:val="20"/>
                <w:szCs w:val="20"/>
              </w:rPr>
              <w:t>5.9</w:t>
            </w:r>
          </w:p>
        </w:tc>
        <w:tc>
          <w:tcPr>
            <w:tcW w:w="654"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56ABD5AC" w14:textId="77777777" w:rsidR="0059790B" w:rsidRPr="006A0B80" w:rsidRDefault="0059790B" w:rsidP="0059790B">
            <w:pPr>
              <w:spacing w:before="40" w:after="40"/>
              <w:jc w:val="center"/>
              <w:rPr>
                <w:b/>
                <w:bCs/>
                <w:color w:val="000000"/>
                <w:sz w:val="20"/>
                <w:szCs w:val="20"/>
              </w:rPr>
            </w:pPr>
            <w:r>
              <w:rPr>
                <w:b/>
                <w:bCs/>
                <w:color w:val="000000"/>
                <w:sz w:val="20"/>
                <w:szCs w:val="20"/>
              </w:rPr>
              <w:t>+</w:t>
            </w:r>
          </w:p>
        </w:tc>
        <w:tc>
          <w:tcPr>
            <w:tcW w:w="39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9311A47" w14:textId="77777777" w:rsidR="0059790B" w:rsidRPr="006A0B80" w:rsidRDefault="0059790B" w:rsidP="0059790B">
            <w:pPr>
              <w:spacing w:before="40" w:after="40"/>
              <w:jc w:val="center"/>
              <w:rPr>
                <w:b/>
                <w:bCs/>
                <w:color w:val="000000"/>
                <w:sz w:val="20"/>
                <w:szCs w:val="20"/>
              </w:rPr>
            </w:pPr>
            <w:r w:rsidRPr="006A0B80">
              <w:rPr>
                <w:b/>
                <w:bCs/>
                <w:color w:val="000000"/>
                <w:sz w:val="20"/>
                <w:szCs w:val="20"/>
              </w:rPr>
              <w:t>+</w:t>
            </w:r>
          </w:p>
        </w:tc>
        <w:tc>
          <w:tcPr>
            <w:tcW w:w="26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BC9D3C3" w14:textId="77777777" w:rsidR="0059790B" w:rsidRPr="006A0B80" w:rsidRDefault="0059790B" w:rsidP="0059790B">
            <w:pPr>
              <w:spacing w:before="40" w:after="40"/>
              <w:jc w:val="center"/>
              <w:rPr>
                <w:b/>
                <w:bCs/>
                <w:color w:val="000000"/>
                <w:sz w:val="20"/>
                <w:szCs w:val="20"/>
              </w:rPr>
            </w:pPr>
            <w:r w:rsidRPr="006A0B80">
              <w:rPr>
                <w:b/>
                <w:bCs/>
                <w:color w:val="000000"/>
                <w:sz w:val="20"/>
                <w:szCs w:val="20"/>
              </w:rPr>
              <w:t>+</w:t>
            </w:r>
          </w:p>
        </w:tc>
        <w:tc>
          <w:tcPr>
            <w:tcW w:w="394"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58CD9BA2" w14:textId="77777777" w:rsidR="0059790B" w:rsidRPr="006A0B80" w:rsidRDefault="0059790B" w:rsidP="0059790B">
            <w:pPr>
              <w:spacing w:before="40" w:after="40"/>
              <w:jc w:val="center"/>
              <w:rPr>
                <w:b/>
                <w:bCs/>
                <w:color w:val="000000"/>
                <w:sz w:val="20"/>
                <w:szCs w:val="20"/>
              </w:rPr>
            </w:pPr>
            <w:r w:rsidRPr="006A0B80">
              <w:rPr>
                <w:b/>
                <w:bCs/>
                <w:color w:val="000000"/>
                <w:sz w:val="20"/>
                <w:szCs w:val="20"/>
              </w:rPr>
              <w:t>+</w:t>
            </w:r>
          </w:p>
        </w:tc>
        <w:tc>
          <w:tcPr>
            <w:tcW w:w="655"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62D86DBE" w14:textId="77777777" w:rsidR="0059790B" w:rsidRPr="006A0B80" w:rsidRDefault="0059790B" w:rsidP="0059790B">
            <w:pPr>
              <w:spacing w:before="40" w:after="40"/>
              <w:jc w:val="center"/>
              <w:rPr>
                <w:b/>
                <w:bCs/>
                <w:color w:val="000000" w:themeColor="text1"/>
                <w:sz w:val="20"/>
                <w:szCs w:val="20"/>
              </w:rPr>
            </w:pPr>
            <w:r w:rsidRPr="006A0B80">
              <w:rPr>
                <w:b/>
                <w:bCs/>
                <w:color w:val="000000" w:themeColor="text1"/>
                <w:sz w:val="20"/>
                <w:szCs w:val="20"/>
              </w:rPr>
              <w:t>+</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6EE56" w14:textId="77777777" w:rsidR="0059790B" w:rsidRPr="006A0B80" w:rsidRDefault="0059790B" w:rsidP="0059790B">
            <w:pPr>
              <w:spacing w:before="40" w:after="40"/>
              <w:jc w:val="center"/>
              <w:rPr>
                <w:b/>
                <w:bCs/>
                <w:color w:val="000000" w:themeColor="text1"/>
                <w:sz w:val="20"/>
                <w:szCs w:val="20"/>
              </w:rPr>
            </w:pPr>
          </w:p>
        </w:tc>
        <w:tc>
          <w:tcPr>
            <w:tcW w:w="65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53222AB0" w14:textId="77777777" w:rsidR="0059790B" w:rsidRPr="006A0B80" w:rsidRDefault="0059790B" w:rsidP="0059790B">
            <w:pPr>
              <w:spacing w:before="40" w:after="40"/>
              <w:jc w:val="center"/>
              <w:rPr>
                <w:b/>
                <w:bCs/>
                <w:color w:val="000000" w:themeColor="text1"/>
                <w:sz w:val="20"/>
                <w:szCs w:val="20"/>
              </w:rPr>
            </w:pPr>
            <w:r w:rsidRPr="006A0B80">
              <w:rPr>
                <w:b/>
                <w:bCs/>
                <w:color w:val="000000" w:themeColor="text1"/>
                <w:sz w:val="20"/>
                <w:szCs w:val="20"/>
              </w:rPr>
              <w:t>+</w:t>
            </w:r>
          </w:p>
        </w:tc>
        <w:tc>
          <w:tcPr>
            <w:tcW w:w="654"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60CC8CC9" w14:textId="77777777" w:rsidR="0059790B" w:rsidRPr="006A0B80" w:rsidRDefault="0059790B" w:rsidP="0059790B">
            <w:pPr>
              <w:spacing w:before="40" w:after="40"/>
              <w:jc w:val="center"/>
              <w:rPr>
                <w:b/>
                <w:bCs/>
                <w:color w:val="000000" w:themeColor="text1"/>
                <w:sz w:val="20"/>
                <w:szCs w:val="20"/>
              </w:rPr>
            </w:pPr>
            <w:r w:rsidRPr="006A0B80">
              <w:rPr>
                <w:b/>
                <w:bCs/>
                <w:color w:val="000000" w:themeColor="text1"/>
                <w:sz w:val="20"/>
                <w:szCs w:val="20"/>
              </w:rPr>
              <w:t>+</w:t>
            </w:r>
          </w:p>
        </w:tc>
        <w:tc>
          <w:tcPr>
            <w:tcW w:w="39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2241D59C" w14:textId="77777777" w:rsidR="0059790B" w:rsidRPr="006A0B80" w:rsidRDefault="0059790B" w:rsidP="0059790B">
            <w:pPr>
              <w:spacing w:before="40" w:after="40"/>
              <w:jc w:val="center"/>
              <w:rPr>
                <w:b/>
                <w:bCs/>
                <w:color w:val="000000" w:themeColor="text1"/>
                <w:sz w:val="20"/>
                <w:szCs w:val="20"/>
              </w:rPr>
            </w:pPr>
            <w:r w:rsidRPr="006A0B80">
              <w:rPr>
                <w:b/>
                <w:bCs/>
                <w:color w:val="000000" w:themeColor="text1"/>
                <w:sz w:val="20"/>
                <w:szCs w:val="20"/>
              </w:rPr>
              <w:t>+</w:t>
            </w:r>
          </w:p>
        </w:tc>
        <w:tc>
          <w:tcPr>
            <w:tcW w:w="52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52AC8C4D" w14:textId="77777777" w:rsidR="0059790B" w:rsidRPr="006A0B80" w:rsidRDefault="0059790B" w:rsidP="0059790B">
            <w:pPr>
              <w:spacing w:before="40" w:after="40"/>
              <w:jc w:val="center"/>
              <w:rPr>
                <w:b/>
                <w:bCs/>
                <w:color w:val="000000" w:themeColor="text1"/>
                <w:sz w:val="20"/>
                <w:szCs w:val="20"/>
              </w:rPr>
            </w:pPr>
            <w:r w:rsidRPr="006A0B80">
              <w:rPr>
                <w:b/>
                <w:bCs/>
                <w:color w:val="000000" w:themeColor="text1"/>
                <w:sz w:val="20"/>
                <w:szCs w:val="20"/>
              </w:rPr>
              <w:t>+</w:t>
            </w:r>
          </w:p>
        </w:tc>
        <w:tc>
          <w:tcPr>
            <w:tcW w:w="522"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408F3C84" w14:textId="77777777" w:rsidR="0059790B" w:rsidRPr="006A0B80" w:rsidRDefault="0059790B" w:rsidP="0059790B">
            <w:pPr>
              <w:spacing w:before="40" w:after="40"/>
              <w:jc w:val="center"/>
              <w:rPr>
                <w:b/>
                <w:bCs/>
                <w:color w:val="000000" w:themeColor="text1"/>
                <w:sz w:val="20"/>
                <w:szCs w:val="20"/>
              </w:rPr>
            </w:pPr>
            <w:r w:rsidRPr="006A0B80">
              <w:rPr>
                <w:b/>
                <w:bCs/>
                <w:color w:val="000000" w:themeColor="text1"/>
                <w:sz w:val="20"/>
                <w:szCs w:val="20"/>
              </w:rPr>
              <w:t>+</w:t>
            </w:r>
          </w:p>
        </w:tc>
        <w:tc>
          <w:tcPr>
            <w:tcW w:w="654"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521165ED" w14:textId="77777777" w:rsidR="0059790B" w:rsidRPr="006A0B80" w:rsidRDefault="0059790B" w:rsidP="0059790B">
            <w:pPr>
              <w:spacing w:before="40" w:after="40"/>
              <w:jc w:val="center"/>
              <w:rPr>
                <w:b/>
                <w:bCs/>
                <w:color w:val="000000" w:themeColor="text1"/>
                <w:sz w:val="20"/>
                <w:szCs w:val="20"/>
              </w:rPr>
            </w:pPr>
            <w:r w:rsidRPr="006A0B80">
              <w:rPr>
                <w:b/>
                <w:bCs/>
                <w:color w:val="000000" w:themeColor="text1"/>
                <w:sz w:val="20"/>
                <w:szCs w:val="20"/>
              </w:rPr>
              <w:t>+</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00400" w14:textId="77777777" w:rsidR="0059790B" w:rsidRPr="006A0B80" w:rsidRDefault="0059790B" w:rsidP="0059790B">
            <w:pPr>
              <w:spacing w:before="40" w:after="40"/>
              <w:jc w:val="center"/>
              <w:rPr>
                <w:b/>
                <w:bCs/>
                <w:color w:val="000000" w:themeColor="text1"/>
                <w:sz w:val="20"/>
                <w:szCs w:val="20"/>
              </w:rPr>
            </w:pPr>
          </w:p>
        </w:tc>
        <w:tc>
          <w:tcPr>
            <w:tcW w:w="52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4A2631BE" w14:textId="77777777" w:rsidR="0059790B" w:rsidRPr="006A0B80" w:rsidRDefault="0059790B" w:rsidP="0059790B">
            <w:pPr>
              <w:spacing w:before="40" w:after="40"/>
              <w:jc w:val="center"/>
              <w:rPr>
                <w:b/>
                <w:bCs/>
                <w:color w:val="000000" w:themeColor="text1"/>
                <w:sz w:val="20"/>
                <w:szCs w:val="20"/>
              </w:rPr>
            </w:pPr>
            <w:r w:rsidRPr="006A0B80">
              <w:rPr>
                <w:b/>
                <w:bCs/>
                <w:color w:val="000000" w:themeColor="text1"/>
                <w:sz w:val="20"/>
                <w:szCs w:val="20"/>
              </w:rPr>
              <w:t>+</w:t>
            </w:r>
          </w:p>
        </w:tc>
        <w:tc>
          <w:tcPr>
            <w:tcW w:w="65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364F1347" w14:textId="77777777" w:rsidR="0059790B" w:rsidRPr="006A0B80" w:rsidRDefault="0059790B" w:rsidP="0059790B">
            <w:pPr>
              <w:spacing w:before="40" w:after="40"/>
              <w:jc w:val="center"/>
              <w:rPr>
                <w:b/>
                <w:bCs/>
                <w:color w:val="000000" w:themeColor="text1"/>
                <w:sz w:val="20"/>
                <w:szCs w:val="20"/>
              </w:rPr>
            </w:pPr>
            <w:r w:rsidRPr="006A0B80">
              <w:rPr>
                <w:b/>
                <w:bCs/>
                <w:color w:val="000000" w:themeColor="text1"/>
                <w:sz w:val="20"/>
                <w:szCs w:val="20"/>
              </w:rPr>
              <w:t>+</w:t>
            </w:r>
          </w:p>
        </w:tc>
        <w:tc>
          <w:tcPr>
            <w:tcW w:w="7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35427" w14:textId="77777777" w:rsidR="0059790B" w:rsidRPr="006A0B80" w:rsidRDefault="0059790B" w:rsidP="0059790B">
            <w:pPr>
              <w:spacing w:before="40" w:after="40"/>
              <w:jc w:val="center"/>
              <w:rPr>
                <w:b/>
                <w:bCs/>
                <w:color w:val="000000" w:themeColor="text1"/>
                <w:sz w:val="20"/>
                <w:szCs w:val="20"/>
              </w:rPr>
            </w:pPr>
          </w:p>
        </w:tc>
        <w:tc>
          <w:tcPr>
            <w:tcW w:w="39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1EE008FA" w14:textId="77777777" w:rsidR="0059790B" w:rsidRPr="006A0B80" w:rsidRDefault="0059790B" w:rsidP="0059790B">
            <w:pPr>
              <w:spacing w:before="40" w:after="40"/>
              <w:jc w:val="center"/>
              <w:rPr>
                <w:b/>
                <w:bCs/>
                <w:color w:val="000000" w:themeColor="text1"/>
                <w:sz w:val="20"/>
                <w:szCs w:val="20"/>
              </w:rPr>
            </w:pPr>
            <w:r w:rsidRPr="006A0B80">
              <w:rPr>
                <w:b/>
                <w:bCs/>
                <w:color w:val="000000" w:themeColor="text1"/>
                <w:sz w:val="20"/>
                <w:szCs w:val="20"/>
              </w:rPr>
              <w:t>+</w:t>
            </w:r>
          </w:p>
        </w:tc>
      </w:tr>
      <w:tr w:rsidR="0059790B" w:rsidRPr="00A43427" w14:paraId="7CA9C089" w14:textId="77777777" w:rsidTr="0059790B">
        <w:trPr>
          <w:trHeight w:val="307"/>
        </w:trPr>
        <w:tc>
          <w:tcPr>
            <w:tcW w:w="2588" w:type="dxa"/>
            <w:gridSpan w:val="2"/>
            <w:tcBorders>
              <w:top w:val="nil"/>
              <w:left w:val="single" w:sz="4" w:space="0" w:color="auto"/>
              <w:bottom w:val="single" w:sz="4" w:space="0" w:color="auto"/>
              <w:right w:val="nil"/>
            </w:tcBorders>
            <w:shd w:val="clear" w:color="auto" w:fill="F2F2F2" w:themeFill="background1" w:themeFillShade="F2"/>
            <w:noWrap/>
            <w:vAlign w:val="bottom"/>
            <w:hideMark/>
          </w:tcPr>
          <w:p w14:paraId="0DEDD629" w14:textId="77777777" w:rsidR="0059790B" w:rsidRPr="006A0B80" w:rsidRDefault="0059790B" w:rsidP="0059790B">
            <w:pPr>
              <w:spacing w:before="40" w:after="40"/>
              <w:rPr>
                <w:color w:val="000000"/>
                <w:sz w:val="20"/>
                <w:szCs w:val="20"/>
              </w:rPr>
            </w:pPr>
            <w:r w:rsidRPr="006A0B80">
              <w:rPr>
                <w:color w:val="000000"/>
                <w:sz w:val="20"/>
                <w:szCs w:val="20"/>
              </w:rPr>
              <w:t>Assessment and feedback</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D8FC6" w14:textId="77777777" w:rsidR="0059790B" w:rsidRPr="006A0B80" w:rsidRDefault="0059790B" w:rsidP="0059790B">
            <w:pPr>
              <w:spacing w:before="40" w:after="40"/>
              <w:jc w:val="right"/>
              <w:rPr>
                <w:color w:val="000000"/>
                <w:sz w:val="20"/>
                <w:szCs w:val="20"/>
              </w:rPr>
            </w:pPr>
            <w:r w:rsidRPr="006A0B80">
              <w:rPr>
                <w:color w:val="000000"/>
                <w:sz w:val="20"/>
                <w:szCs w:val="20"/>
              </w:rPr>
              <w:t>75.6</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19790" w14:textId="77777777" w:rsidR="0059790B" w:rsidRPr="006A0B80" w:rsidRDefault="0059790B" w:rsidP="0059790B">
            <w:pPr>
              <w:spacing w:before="40" w:after="40"/>
              <w:jc w:val="right"/>
              <w:rPr>
                <w:color w:val="000000"/>
                <w:sz w:val="20"/>
                <w:szCs w:val="20"/>
              </w:rPr>
            </w:pPr>
            <w:r w:rsidRPr="006A0B80">
              <w:rPr>
                <w:color w:val="000000"/>
                <w:sz w:val="20"/>
                <w:szCs w:val="20"/>
              </w:rPr>
              <w:t>73.8</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05A3C" w14:textId="77777777" w:rsidR="0059790B" w:rsidRPr="006A0B80" w:rsidRDefault="0059790B" w:rsidP="0059790B">
            <w:pPr>
              <w:spacing w:before="40" w:after="40"/>
              <w:jc w:val="right"/>
              <w:rPr>
                <w:color w:val="000000"/>
                <w:sz w:val="20"/>
                <w:szCs w:val="20"/>
              </w:rPr>
            </w:pPr>
            <w:r w:rsidRPr="006A0B80">
              <w:rPr>
                <w:color w:val="000000"/>
                <w:sz w:val="20"/>
                <w:szCs w:val="20"/>
              </w:rPr>
              <w:t>1.8</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2916F" w14:textId="77777777" w:rsidR="0059790B" w:rsidRPr="00C10FEA" w:rsidRDefault="0059790B" w:rsidP="0059790B">
            <w:pPr>
              <w:spacing w:before="40" w:after="40"/>
              <w:jc w:val="right"/>
              <w:rPr>
                <w:color w:val="000000"/>
                <w:sz w:val="20"/>
                <w:szCs w:val="20"/>
              </w:rPr>
            </w:pPr>
            <w:r w:rsidRPr="00C10FEA">
              <w:rPr>
                <w:color w:val="000000"/>
                <w:sz w:val="20"/>
                <w:szCs w:val="20"/>
              </w:rPr>
              <w:t>2.2</w:t>
            </w:r>
          </w:p>
        </w:tc>
        <w:tc>
          <w:tcPr>
            <w:tcW w:w="654" w:type="dxa"/>
            <w:tcBorders>
              <w:top w:val="single" w:sz="4" w:space="0" w:color="auto"/>
              <w:left w:val="nil"/>
              <w:bottom w:val="single" w:sz="4" w:space="0" w:color="auto"/>
              <w:right w:val="single" w:sz="4" w:space="0" w:color="auto"/>
            </w:tcBorders>
            <w:shd w:val="clear" w:color="auto" w:fill="auto"/>
          </w:tcPr>
          <w:p w14:paraId="0AC1F671" w14:textId="77777777" w:rsidR="0059790B" w:rsidRPr="006A0B80" w:rsidRDefault="0059790B" w:rsidP="0059790B">
            <w:pPr>
              <w:spacing w:before="40" w:after="40"/>
              <w:jc w:val="center"/>
              <w:rPr>
                <w:b/>
                <w:bCs/>
                <w:color w:val="000000"/>
                <w:sz w:val="20"/>
                <w:szCs w:val="20"/>
              </w:rPr>
            </w:pPr>
          </w:p>
        </w:tc>
        <w:tc>
          <w:tcPr>
            <w:tcW w:w="393" w:type="dxa"/>
            <w:tcBorders>
              <w:top w:val="single" w:sz="4" w:space="0" w:color="auto"/>
              <w:left w:val="single" w:sz="4" w:space="0" w:color="auto"/>
              <w:bottom w:val="single" w:sz="4" w:space="0" w:color="auto"/>
              <w:right w:val="single" w:sz="4" w:space="0" w:color="auto"/>
            </w:tcBorders>
            <w:vAlign w:val="center"/>
          </w:tcPr>
          <w:p w14:paraId="4E17F97C" w14:textId="77777777" w:rsidR="0059790B" w:rsidRPr="006A0B80" w:rsidRDefault="0059790B" w:rsidP="0059790B">
            <w:pPr>
              <w:spacing w:before="40" w:after="40"/>
              <w:jc w:val="center"/>
              <w:rPr>
                <w:b/>
                <w:bCs/>
                <w:color w:val="000000"/>
                <w:sz w:val="20"/>
                <w:szCs w:val="20"/>
              </w:rPr>
            </w:pPr>
          </w:p>
        </w:tc>
        <w:tc>
          <w:tcPr>
            <w:tcW w:w="261" w:type="dxa"/>
            <w:tcBorders>
              <w:top w:val="single" w:sz="4" w:space="0" w:color="auto"/>
              <w:left w:val="single" w:sz="4" w:space="0" w:color="auto"/>
              <w:bottom w:val="single" w:sz="4" w:space="0" w:color="auto"/>
              <w:right w:val="single" w:sz="4" w:space="0" w:color="auto"/>
            </w:tcBorders>
            <w:vAlign w:val="center"/>
          </w:tcPr>
          <w:p w14:paraId="08CAD8E0" w14:textId="77777777" w:rsidR="0059790B" w:rsidRPr="006A0B80" w:rsidRDefault="0059790B" w:rsidP="0059790B">
            <w:pPr>
              <w:spacing w:before="40" w:after="40"/>
              <w:jc w:val="center"/>
              <w:rPr>
                <w:b/>
                <w:bCs/>
                <w:color w:val="000000"/>
                <w:sz w:val="20"/>
                <w:szCs w:val="20"/>
              </w:rPr>
            </w:pPr>
          </w:p>
        </w:tc>
        <w:tc>
          <w:tcPr>
            <w:tcW w:w="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EC025" w14:textId="77777777" w:rsidR="0059790B" w:rsidRPr="006A0B80" w:rsidRDefault="0059790B" w:rsidP="0059790B">
            <w:pPr>
              <w:spacing w:before="40" w:after="40"/>
              <w:jc w:val="center"/>
              <w:rPr>
                <w:b/>
                <w:bCs/>
                <w:color w:val="000000"/>
                <w:sz w:val="20"/>
                <w:szCs w:val="20"/>
              </w:rPr>
            </w:pP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14:paraId="2A4E432E" w14:textId="77777777" w:rsidR="0059790B" w:rsidRPr="006A0B80" w:rsidRDefault="0059790B" w:rsidP="0059790B">
            <w:pPr>
              <w:spacing w:before="40" w:after="40"/>
              <w:jc w:val="center"/>
              <w:rPr>
                <w:b/>
                <w:bCs/>
                <w:color w:val="000000" w:themeColor="text1"/>
                <w:sz w:val="20"/>
                <w:szCs w:val="20"/>
              </w:rPr>
            </w:pP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3F93B" w14:textId="77777777" w:rsidR="0059790B" w:rsidRPr="006A0B80" w:rsidRDefault="0059790B" w:rsidP="0059790B">
            <w:pPr>
              <w:spacing w:before="40" w:after="40"/>
              <w:jc w:val="center"/>
              <w:rPr>
                <w:b/>
                <w:bCs/>
                <w:color w:val="000000" w:themeColor="text1"/>
                <w:sz w:val="20"/>
                <w:szCs w:val="20"/>
              </w:rPr>
            </w:pP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D04C7" w14:textId="77777777" w:rsidR="0059790B" w:rsidRPr="006A0B80" w:rsidRDefault="0059790B" w:rsidP="0059790B">
            <w:pPr>
              <w:spacing w:before="40" w:after="40"/>
              <w:jc w:val="center"/>
              <w:rPr>
                <w:b/>
                <w:bCs/>
                <w:color w:val="000000" w:themeColor="text1"/>
                <w:sz w:val="20"/>
                <w:szCs w:val="2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D36E8" w14:textId="77777777" w:rsidR="0059790B" w:rsidRPr="006A0B80" w:rsidRDefault="0059790B" w:rsidP="0059790B">
            <w:pPr>
              <w:spacing w:before="40" w:after="40"/>
              <w:jc w:val="center"/>
              <w:rPr>
                <w:b/>
                <w:bCs/>
                <w:color w:val="000000" w:themeColor="text1"/>
                <w:sz w:val="20"/>
                <w:szCs w:val="20"/>
              </w:rPr>
            </w:pPr>
          </w:p>
        </w:tc>
        <w:tc>
          <w:tcPr>
            <w:tcW w:w="3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062B4" w14:textId="77777777" w:rsidR="0059790B" w:rsidRPr="006A0B80" w:rsidRDefault="0059790B" w:rsidP="0059790B">
            <w:pPr>
              <w:spacing w:before="40" w:after="40"/>
              <w:jc w:val="center"/>
              <w:rPr>
                <w:b/>
                <w:bCs/>
                <w:color w:val="000000" w:themeColor="text1"/>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7A07B" w14:textId="77777777" w:rsidR="0059790B" w:rsidRPr="006A0B80" w:rsidRDefault="0059790B" w:rsidP="0059790B">
            <w:pPr>
              <w:spacing w:before="40" w:after="40"/>
              <w:jc w:val="center"/>
              <w:rPr>
                <w:b/>
                <w:bCs/>
                <w:color w:val="000000" w:themeColor="text1"/>
                <w:sz w:val="20"/>
                <w:szCs w:val="20"/>
              </w:rPr>
            </w:pP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469B8" w14:textId="77777777" w:rsidR="0059790B" w:rsidRPr="006A0B80" w:rsidRDefault="0059790B" w:rsidP="0059790B">
            <w:pPr>
              <w:spacing w:before="40" w:after="40"/>
              <w:jc w:val="center"/>
              <w:rPr>
                <w:b/>
                <w:bCs/>
                <w:color w:val="000000" w:themeColor="text1"/>
                <w:sz w:val="20"/>
                <w:szCs w:val="2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8AC48" w14:textId="77777777" w:rsidR="0059790B" w:rsidRPr="006A0B80" w:rsidRDefault="0059790B" w:rsidP="0059790B">
            <w:pPr>
              <w:spacing w:before="40" w:after="40"/>
              <w:jc w:val="center"/>
              <w:rPr>
                <w:b/>
                <w:bCs/>
                <w:color w:val="000000" w:themeColor="text1"/>
                <w:sz w:val="20"/>
                <w:szCs w:val="20"/>
              </w:rPr>
            </w:pP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62A57" w14:textId="77777777" w:rsidR="0059790B" w:rsidRPr="006A0B80" w:rsidRDefault="0059790B" w:rsidP="0059790B">
            <w:pPr>
              <w:spacing w:before="40" w:after="40"/>
              <w:jc w:val="center"/>
              <w:rPr>
                <w:b/>
                <w:bCs/>
                <w:color w:val="000000" w:themeColor="text1"/>
                <w:sz w:val="20"/>
                <w:szCs w:val="20"/>
              </w:rPr>
            </w:pP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2F989" w14:textId="77777777" w:rsidR="0059790B" w:rsidRPr="006A0B80" w:rsidRDefault="0059790B" w:rsidP="0059790B">
            <w:pPr>
              <w:spacing w:before="40" w:after="40"/>
              <w:jc w:val="center"/>
              <w:rPr>
                <w:b/>
                <w:bCs/>
                <w:color w:val="000000" w:themeColor="text1"/>
                <w:sz w:val="20"/>
                <w:szCs w:val="20"/>
              </w:rPr>
            </w:pP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BE3DF" w14:textId="77777777" w:rsidR="0059790B" w:rsidRPr="006A0B80" w:rsidRDefault="0059790B" w:rsidP="0059790B">
            <w:pPr>
              <w:spacing w:before="40" w:after="40"/>
              <w:jc w:val="center"/>
              <w:rPr>
                <w:b/>
                <w:bCs/>
                <w:color w:val="000000" w:themeColor="text1"/>
                <w:sz w:val="20"/>
                <w:szCs w:val="20"/>
              </w:rPr>
            </w:pPr>
          </w:p>
        </w:tc>
        <w:tc>
          <w:tcPr>
            <w:tcW w:w="7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1B975" w14:textId="77777777" w:rsidR="0059790B" w:rsidRPr="006A0B80" w:rsidRDefault="0059790B" w:rsidP="0059790B">
            <w:pPr>
              <w:spacing w:before="40" w:after="40"/>
              <w:jc w:val="center"/>
              <w:rPr>
                <w:b/>
                <w:bCs/>
                <w:color w:val="000000" w:themeColor="text1"/>
                <w:sz w:val="20"/>
                <w:szCs w:val="20"/>
              </w:rPr>
            </w:pPr>
          </w:p>
        </w:tc>
        <w:tc>
          <w:tcPr>
            <w:tcW w:w="3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47001" w14:textId="77777777" w:rsidR="0059790B" w:rsidRPr="006A0B80" w:rsidRDefault="0059790B" w:rsidP="0059790B">
            <w:pPr>
              <w:spacing w:before="40" w:after="40"/>
              <w:jc w:val="center"/>
              <w:rPr>
                <w:b/>
                <w:bCs/>
                <w:color w:val="000000" w:themeColor="text1"/>
                <w:sz w:val="20"/>
                <w:szCs w:val="20"/>
              </w:rPr>
            </w:pPr>
          </w:p>
        </w:tc>
      </w:tr>
      <w:tr w:rsidR="0059790B" w:rsidRPr="00A43427" w14:paraId="4510BF55" w14:textId="77777777" w:rsidTr="0059790B">
        <w:trPr>
          <w:trHeight w:val="307"/>
        </w:trPr>
        <w:tc>
          <w:tcPr>
            <w:tcW w:w="2588"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74C305F" w14:textId="77777777" w:rsidR="0059790B" w:rsidRPr="006A0B80" w:rsidRDefault="0059790B" w:rsidP="0059790B">
            <w:pPr>
              <w:spacing w:before="40" w:after="40"/>
              <w:rPr>
                <w:color w:val="000000"/>
                <w:sz w:val="20"/>
                <w:szCs w:val="20"/>
              </w:rPr>
            </w:pPr>
            <w:r w:rsidRPr="006A0B80">
              <w:rPr>
                <w:color w:val="000000"/>
                <w:sz w:val="20"/>
                <w:szCs w:val="20"/>
              </w:rPr>
              <w:t>Academic support</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14:paraId="60E875DD" w14:textId="77777777" w:rsidR="0059790B" w:rsidRPr="006A0B80" w:rsidRDefault="0059790B" w:rsidP="0059790B">
            <w:pPr>
              <w:spacing w:before="40" w:after="40"/>
              <w:jc w:val="right"/>
              <w:rPr>
                <w:color w:val="000000"/>
                <w:sz w:val="20"/>
                <w:szCs w:val="20"/>
              </w:rPr>
            </w:pPr>
            <w:r w:rsidRPr="006A0B80">
              <w:rPr>
                <w:color w:val="000000"/>
                <w:sz w:val="20"/>
                <w:szCs w:val="20"/>
              </w:rPr>
              <w:t>85.0</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E98D1" w14:textId="77777777" w:rsidR="0059790B" w:rsidRPr="006A0B80" w:rsidRDefault="0059790B" w:rsidP="0059790B">
            <w:pPr>
              <w:spacing w:before="40" w:after="40"/>
              <w:jc w:val="right"/>
              <w:rPr>
                <w:color w:val="000000"/>
                <w:sz w:val="20"/>
                <w:szCs w:val="20"/>
              </w:rPr>
            </w:pPr>
            <w:r w:rsidRPr="006A0B80">
              <w:rPr>
                <w:color w:val="000000"/>
                <w:sz w:val="20"/>
                <w:szCs w:val="20"/>
              </w:rPr>
              <w:t>82.4</w:t>
            </w:r>
          </w:p>
        </w:tc>
        <w:tc>
          <w:tcPr>
            <w:tcW w:w="788"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14:paraId="52397B97" w14:textId="77777777" w:rsidR="0059790B" w:rsidRPr="006A0B80" w:rsidRDefault="0059790B" w:rsidP="0059790B">
            <w:pPr>
              <w:spacing w:before="40" w:after="40"/>
              <w:jc w:val="right"/>
              <w:rPr>
                <w:color w:val="000000"/>
                <w:sz w:val="20"/>
                <w:szCs w:val="20"/>
              </w:rPr>
            </w:pPr>
            <w:r w:rsidRPr="006A0B80">
              <w:rPr>
                <w:color w:val="000000"/>
                <w:sz w:val="20"/>
                <w:szCs w:val="20"/>
              </w:rPr>
              <w:t>2.6</w:t>
            </w:r>
          </w:p>
        </w:tc>
        <w:tc>
          <w:tcPr>
            <w:tcW w:w="65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14:paraId="02473EC1" w14:textId="77777777" w:rsidR="0059790B" w:rsidRPr="00C10FEA" w:rsidRDefault="0059790B" w:rsidP="0059790B">
            <w:pPr>
              <w:spacing w:before="40" w:after="40"/>
              <w:jc w:val="right"/>
              <w:rPr>
                <w:color w:val="000000"/>
                <w:sz w:val="20"/>
                <w:szCs w:val="20"/>
              </w:rPr>
            </w:pPr>
            <w:r w:rsidRPr="00C10FEA">
              <w:rPr>
                <w:color w:val="000000"/>
                <w:sz w:val="20"/>
                <w:szCs w:val="20"/>
              </w:rPr>
              <w:t>4.9</w:t>
            </w:r>
          </w:p>
        </w:tc>
        <w:tc>
          <w:tcPr>
            <w:tcW w:w="654" w:type="dxa"/>
            <w:tcBorders>
              <w:top w:val="single" w:sz="4" w:space="0" w:color="auto"/>
              <w:left w:val="nil"/>
              <w:bottom w:val="single" w:sz="4" w:space="0" w:color="auto"/>
              <w:right w:val="single" w:sz="4" w:space="0" w:color="auto"/>
            </w:tcBorders>
            <w:shd w:val="clear" w:color="auto" w:fill="D6E3BC" w:themeFill="accent3" w:themeFillTint="66"/>
          </w:tcPr>
          <w:p w14:paraId="023F1F00" w14:textId="77777777" w:rsidR="0059790B" w:rsidRPr="006A0B80" w:rsidRDefault="0059790B" w:rsidP="0059790B">
            <w:pPr>
              <w:spacing w:before="40" w:after="40"/>
              <w:jc w:val="center"/>
              <w:rPr>
                <w:b/>
                <w:bCs/>
                <w:color w:val="000000"/>
                <w:sz w:val="20"/>
                <w:szCs w:val="20"/>
              </w:rPr>
            </w:pPr>
            <w:r>
              <w:rPr>
                <w:b/>
                <w:bCs/>
                <w:color w:val="000000"/>
                <w:sz w:val="20"/>
                <w:szCs w:val="20"/>
              </w:rPr>
              <w:t>+</w:t>
            </w:r>
          </w:p>
        </w:tc>
        <w:tc>
          <w:tcPr>
            <w:tcW w:w="393" w:type="dxa"/>
            <w:tcBorders>
              <w:top w:val="single" w:sz="4" w:space="0" w:color="auto"/>
              <w:left w:val="single" w:sz="4" w:space="0" w:color="auto"/>
              <w:bottom w:val="single" w:sz="4" w:space="0" w:color="auto"/>
              <w:right w:val="single" w:sz="4" w:space="0" w:color="auto"/>
            </w:tcBorders>
            <w:vAlign w:val="center"/>
          </w:tcPr>
          <w:p w14:paraId="4A94EEE9" w14:textId="77777777" w:rsidR="0059790B" w:rsidRPr="006A0B80" w:rsidRDefault="0059790B" w:rsidP="0059790B">
            <w:pPr>
              <w:spacing w:before="40" w:after="40"/>
              <w:jc w:val="center"/>
              <w:rPr>
                <w:b/>
                <w:bCs/>
                <w:color w:val="000000"/>
                <w:sz w:val="20"/>
                <w:szCs w:val="20"/>
              </w:rPr>
            </w:pPr>
          </w:p>
        </w:tc>
        <w:tc>
          <w:tcPr>
            <w:tcW w:w="26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E9E3C0D" w14:textId="77777777" w:rsidR="0059790B" w:rsidRPr="006A0B80" w:rsidRDefault="0059790B" w:rsidP="0059790B">
            <w:pPr>
              <w:spacing w:before="40" w:after="40"/>
              <w:jc w:val="center"/>
              <w:rPr>
                <w:b/>
                <w:bCs/>
                <w:color w:val="000000"/>
                <w:sz w:val="20"/>
                <w:szCs w:val="20"/>
              </w:rPr>
            </w:pPr>
            <w:r w:rsidRPr="006A0B80">
              <w:rPr>
                <w:b/>
                <w:bCs/>
                <w:color w:val="000000"/>
                <w:sz w:val="20"/>
                <w:szCs w:val="20"/>
              </w:rPr>
              <w:t>+</w:t>
            </w:r>
          </w:p>
        </w:tc>
        <w:tc>
          <w:tcPr>
            <w:tcW w:w="394"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2772A800" w14:textId="77777777" w:rsidR="0059790B" w:rsidRPr="006A0B80" w:rsidRDefault="0059790B" w:rsidP="0059790B">
            <w:pPr>
              <w:spacing w:before="40" w:after="40"/>
              <w:jc w:val="center"/>
              <w:rPr>
                <w:b/>
                <w:bCs/>
                <w:color w:val="000000"/>
                <w:sz w:val="20"/>
                <w:szCs w:val="20"/>
              </w:rPr>
            </w:pPr>
            <w:r w:rsidRPr="006A0B80">
              <w:rPr>
                <w:b/>
                <w:bCs/>
                <w:color w:val="000000"/>
                <w:sz w:val="20"/>
                <w:szCs w:val="20"/>
              </w:rPr>
              <w:t>+</w:t>
            </w:r>
          </w:p>
        </w:tc>
        <w:tc>
          <w:tcPr>
            <w:tcW w:w="655"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74A3C357" w14:textId="77777777" w:rsidR="0059790B" w:rsidRPr="006A0B80" w:rsidRDefault="0059790B" w:rsidP="0059790B">
            <w:pPr>
              <w:spacing w:before="40" w:after="40"/>
              <w:jc w:val="center"/>
              <w:rPr>
                <w:b/>
                <w:bCs/>
                <w:color w:val="000000" w:themeColor="text1"/>
                <w:sz w:val="20"/>
                <w:szCs w:val="20"/>
              </w:rPr>
            </w:pPr>
            <w:r w:rsidRPr="006A0B80">
              <w:rPr>
                <w:b/>
                <w:bCs/>
                <w:color w:val="000000" w:themeColor="text1"/>
                <w:sz w:val="20"/>
                <w:szCs w:val="20"/>
              </w:rPr>
              <w:t>+</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9DB6A" w14:textId="77777777" w:rsidR="0059790B" w:rsidRPr="006A0B80" w:rsidRDefault="0059790B" w:rsidP="0059790B">
            <w:pPr>
              <w:spacing w:before="40" w:after="40"/>
              <w:jc w:val="center"/>
              <w:rPr>
                <w:b/>
                <w:bCs/>
                <w:color w:val="000000" w:themeColor="text1"/>
                <w:sz w:val="20"/>
                <w:szCs w:val="20"/>
              </w:rPr>
            </w:pPr>
          </w:p>
        </w:tc>
        <w:tc>
          <w:tcPr>
            <w:tcW w:w="65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48B34042" w14:textId="77777777" w:rsidR="0059790B" w:rsidRPr="006A0B80" w:rsidRDefault="0059790B" w:rsidP="0059790B">
            <w:pPr>
              <w:spacing w:before="40" w:after="40"/>
              <w:jc w:val="center"/>
              <w:rPr>
                <w:b/>
                <w:bCs/>
                <w:color w:val="000000" w:themeColor="text1"/>
                <w:sz w:val="20"/>
                <w:szCs w:val="20"/>
              </w:rPr>
            </w:pPr>
            <w:r w:rsidRPr="006A0B80">
              <w:rPr>
                <w:b/>
                <w:bCs/>
                <w:color w:val="000000" w:themeColor="text1"/>
                <w:sz w:val="20"/>
                <w:szCs w:val="20"/>
              </w:rPr>
              <w:t>+</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4FA25" w14:textId="77777777" w:rsidR="0059790B" w:rsidRPr="006A0B80" w:rsidRDefault="0059790B" w:rsidP="0059790B">
            <w:pPr>
              <w:spacing w:before="40" w:after="40"/>
              <w:jc w:val="center"/>
              <w:rPr>
                <w:b/>
                <w:bCs/>
                <w:color w:val="000000" w:themeColor="text1"/>
                <w:sz w:val="20"/>
                <w:szCs w:val="20"/>
              </w:rPr>
            </w:pPr>
          </w:p>
        </w:tc>
        <w:tc>
          <w:tcPr>
            <w:tcW w:w="39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7CED32EE" w14:textId="77777777" w:rsidR="0059790B" w:rsidRPr="006A0B80" w:rsidRDefault="0059790B" w:rsidP="0059790B">
            <w:pPr>
              <w:spacing w:before="40" w:after="40"/>
              <w:jc w:val="center"/>
              <w:rPr>
                <w:b/>
                <w:bCs/>
                <w:color w:val="000000" w:themeColor="text1"/>
                <w:sz w:val="20"/>
                <w:szCs w:val="20"/>
              </w:rPr>
            </w:pPr>
            <w:r w:rsidRPr="006A0B80">
              <w:rPr>
                <w:b/>
                <w:bCs/>
                <w:color w:val="000000" w:themeColor="text1"/>
                <w:sz w:val="20"/>
                <w:szCs w:val="20"/>
              </w:rPr>
              <w:t>+</w:t>
            </w:r>
          </w:p>
        </w:tc>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7DE55" w14:textId="77777777" w:rsidR="0059790B" w:rsidRPr="006A0B80" w:rsidRDefault="0059790B" w:rsidP="0059790B">
            <w:pPr>
              <w:spacing w:before="40" w:after="40"/>
              <w:jc w:val="center"/>
              <w:rPr>
                <w:b/>
                <w:bCs/>
                <w:color w:val="000000" w:themeColor="text1"/>
                <w:sz w:val="20"/>
                <w:szCs w:val="20"/>
              </w:rPr>
            </w:pP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91EBF" w14:textId="77777777" w:rsidR="0059790B" w:rsidRPr="006A0B80" w:rsidRDefault="0059790B" w:rsidP="0059790B">
            <w:pPr>
              <w:spacing w:before="40" w:after="40"/>
              <w:jc w:val="center"/>
              <w:rPr>
                <w:b/>
                <w:bCs/>
                <w:color w:val="000000" w:themeColor="text1"/>
                <w:sz w:val="20"/>
                <w:szCs w:val="2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D643F" w14:textId="77777777" w:rsidR="0059790B" w:rsidRPr="006A0B80" w:rsidRDefault="0059790B" w:rsidP="0059790B">
            <w:pPr>
              <w:spacing w:before="40" w:after="40"/>
              <w:jc w:val="center"/>
              <w:rPr>
                <w:b/>
                <w:bCs/>
                <w:color w:val="000000" w:themeColor="text1"/>
                <w:sz w:val="20"/>
                <w:szCs w:val="20"/>
              </w:rPr>
            </w:pP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B9D13" w14:textId="77777777" w:rsidR="0059790B" w:rsidRPr="006A0B80" w:rsidRDefault="0059790B" w:rsidP="0059790B">
            <w:pPr>
              <w:spacing w:before="40" w:after="40"/>
              <w:jc w:val="center"/>
              <w:rPr>
                <w:b/>
                <w:bCs/>
                <w:color w:val="000000" w:themeColor="text1"/>
                <w:sz w:val="20"/>
                <w:szCs w:val="20"/>
              </w:rPr>
            </w:pPr>
          </w:p>
        </w:tc>
        <w:tc>
          <w:tcPr>
            <w:tcW w:w="52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2D55DA17" w14:textId="77777777" w:rsidR="0059790B" w:rsidRPr="006A0B80" w:rsidRDefault="0059790B" w:rsidP="0059790B">
            <w:pPr>
              <w:spacing w:before="40" w:after="40"/>
              <w:jc w:val="center"/>
              <w:rPr>
                <w:b/>
                <w:bCs/>
                <w:color w:val="000000" w:themeColor="text1"/>
                <w:sz w:val="20"/>
                <w:szCs w:val="20"/>
              </w:rPr>
            </w:pPr>
            <w:r w:rsidRPr="006A0B80">
              <w:rPr>
                <w:b/>
                <w:bCs/>
                <w:color w:val="000000" w:themeColor="text1"/>
                <w:sz w:val="20"/>
                <w:szCs w:val="20"/>
              </w:rPr>
              <w:t>+</w:t>
            </w:r>
          </w:p>
        </w:tc>
        <w:tc>
          <w:tcPr>
            <w:tcW w:w="65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519C6551" w14:textId="77777777" w:rsidR="0059790B" w:rsidRPr="006A0B80" w:rsidRDefault="0059790B" w:rsidP="0059790B">
            <w:pPr>
              <w:spacing w:before="40" w:after="40"/>
              <w:jc w:val="center"/>
              <w:rPr>
                <w:b/>
                <w:bCs/>
                <w:color w:val="000000" w:themeColor="text1"/>
                <w:sz w:val="20"/>
                <w:szCs w:val="20"/>
              </w:rPr>
            </w:pPr>
            <w:r w:rsidRPr="006A0B80">
              <w:rPr>
                <w:b/>
                <w:bCs/>
                <w:color w:val="000000" w:themeColor="text1"/>
                <w:sz w:val="20"/>
                <w:szCs w:val="20"/>
              </w:rPr>
              <w:t>+</w:t>
            </w:r>
          </w:p>
        </w:tc>
        <w:tc>
          <w:tcPr>
            <w:tcW w:w="7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7C0C5" w14:textId="77777777" w:rsidR="0059790B" w:rsidRPr="006A0B80" w:rsidRDefault="0059790B" w:rsidP="0059790B">
            <w:pPr>
              <w:spacing w:before="40" w:after="40"/>
              <w:jc w:val="center"/>
              <w:rPr>
                <w:b/>
                <w:bCs/>
                <w:color w:val="000000" w:themeColor="text1"/>
                <w:sz w:val="20"/>
                <w:szCs w:val="20"/>
              </w:rPr>
            </w:pPr>
          </w:p>
        </w:tc>
        <w:tc>
          <w:tcPr>
            <w:tcW w:w="3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B386F" w14:textId="77777777" w:rsidR="0059790B" w:rsidRPr="006A0B80" w:rsidRDefault="0059790B" w:rsidP="0059790B">
            <w:pPr>
              <w:spacing w:before="40" w:after="40"/>
              <w:jc w:val="center"/>
              <w:rPr>
                <w:b/>
                <w:bCs/>
                <w:color w:val="000000" w:themeColor="text1"/>
                <w:sz w:val="20"/>
                <w:szCs w:val="20"/>
              </w:rPr>
            </w:pPr>
          </w:p>
        </w:tc>
      </w:tr>
      <w:tr w:rsidR="0059790B" w:rsidRPr="00A43427" w14:paraId="3A10DB10" w14:textId="77777777" w:rsidTr="0059790B">
        <w:trPr>
          <w:trHeight w:val="380"/>
        </w:trPr>
        <w:tc>
          <w:tcPr>
            <w:tcW w:w="2588" w:type="dxa"/>
            <w:gridSpan w:val="2"/>
            <w:tcBorders>
              <w:top w:val="nil"/>
              <w:left w:val="single" w:sz="4" w:space="0" w:color="auto"/>
              <w:bottom w:val="single" w:sz="4" w:space="0" w:color="auto"/>
              <w:right w:val="nil"/>
            </w:tcBorders>
            <w:shd w:val="clear" w:color="auto" w:fill="F2F2F2" w:themeFill="background1" w:themeFillShade="F2"/>
            <w:noWrap/>
            <w:vAlign w:val="bottom"/>
            <w:hideMark/>
          </w:tcPr>
          <w:p w14:paraId="2E8904E2" w14:textId="77777777" w:rsidR="0059790B" w:rsidRPr="006A0B80" w:rsidRDefault="0059790B" w:rsidP="0059790B">
            <w:pPr>
              <w:spacing w:before="40" w:after="40"/>
              <w:rPr>
                <w:color w:val="000000"/>
                <w:sz w:val="20"/>
                <w:szCs w:val="20"/>
              </w:rPr>
            </w:pPr>
            <w:r w:rsidRPr="006A0B80">
              <w:rPr>
                <w:color w:val="000000"/>
                <w:sz w:val="20"/>
                <w:szCs w:val="20"/>
              </w:rPr>
              <w:t xml:space="preserve">Non-continuation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D263F" w14:textId="77777777" w:rsidR="0059790B" w:rsidRPr="006A0B80" w:rsidRDefault="0059790B" w:rsidP="0059790B">
            <w:pPr>
              <w:spacing w:before="40" w:after="40"/>
              <w:jc w:val="right"/>
              <w:rPr>
                <w:color w:val="000000"/>
                <w:sz w:val="20"/>
                <w:szCs w:val="20"/>
              </w:rPr>
            </w:pPr>
            <w:r w:rsidRPr="006A0B80">
              <w:rPr>
                <w:color w:val="000000"/>
                <w:sz w:val="20"/>
                <w:szCs w:val="20"/>
              </w:rPr>
              <w:t>6.1</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1180E" w14:textId="77777777" w:rsidR="0059790B" w:rsidRPr="006A0B80" w:rsidRDefault="0059790B" w:rsidP="0059790B">
            <w:pPr>
              <w:spacing w:before="40" w:after="40"/>
              <w:jc w:val="right"/>
              <w:rPr>
                <w:color w:val="000000"/>
                <w:sz w:val="20"/>
                <w:szCs w:val="20"/>
              </w:rPr>
            </w:pPr>
            <w:r w:rsidRPr="006A0B80">
              <w:rPr>
                <w:color w:val="000000"/>
                <w:sz w:val="20"/>
                <w:szCs w:val="20"/>
              </w:rPr>
              <w:t>6.9</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48A69" w14:textId="77777777" w:rsidR="0059790B" w:rsidRPr="006A0B80" w:rsidRDefault="0059790B" w:rsidP="0059790B">
            <w:pPr>
              <w:spacing w:before="40" w:after="40"/>
              <w:jc w:val="right"/>
              <w:rPr>
                <w:color w:val="000000"/>
                <w:sz w:val="20"/>
                <w:szCs w:val="20"/>
              </w:rPr>
            </w:pPr>
            <w:r w:rsidRPr="006A0B80">
              <w:rPr>
                <w:color w:val="000000"/>
                <w:sz w:val="20"/>
                <w:szCs w:val="20"/>
              </w:rPr>
              <w:t>0.8</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E8FE5" w14:textId="77777777" w:rsidR="0059790B" w:rsidRPr="006A0B80" w:rsidRDefault="0059790B" w:rsidP="0059790B">
            <w:pPr>
              <w:spacing w:before="40" w:after="40"/>
              <w:jc w:val="right"/>
              <w:rPr>
                <w:color w:val="000000"/>
                <w:sz w:val="20"/>
                <w:szCs w:val="20"/>
              </w:rPr>
            </w:pPr>
            <w:r w:rsidRPr="006A0B80">
              <w:rPr>
                <w:color w:val="000000"/>
                <w:sz w:val="20"/>
                <w:szCs w:val="20"/>
              </w:rPr>
              <w:t>1.9</w:t>
            </w:r>
          </w:p>
        </w:tc>
        <w:tc>
          <w:tcPr>
            <w:tcW w:w="654" w:type="dxa"/>
            <w:tcBorders>
              <w:top w:val="single" w:sz="4" w:space="0" w:color="auto"/>
              <w:left w:val="nil"/>
              <w:bottom w:val="single" w:sz="4" w:space="0" w:color="auto"/>
              <w:right w:val="single" w:sz="4" w:space="0" w:color="auto"/>
            </w:tcBorders>
          </w:tcPr>
          <w:p w14:paraId="20233569" w14:textId="77777777" w:rsidR="0059790B" w:rsidRPr="006A0B80" w:rsidRDefault="0059790B" w:rsidP="0059790B">
            <w:pPr>
              <w:spacing w:before="40" w:after="40"/>
              <w:jc w:val="center"/>
              <w:rPr>
                <w:b/>
                <w:bCs/>
                <w:color w:val="000000"/>
                <w:sz w:val="20"/>
                <w:szCs w:val="20"/>
              </w:rPr>
            </w:pPr>
          </w:p>
        </w:tc>
        <w:tc>
          <w:tcPr>
            <w:tcW w:w="393" w:type="dxa"/>
            <w:tcBorders>
              <w:top w:val="single" w:sz="4" w:space="0" w:color="auto"/>
              <w:left w:val="single" w:sz="4" w:space="0" w:color="auto"/>
              <w:bottom w:val="single" w:sz="4" w:space="0" w:color="auto"/>
              <w:right w:val="single" w:sz="4" w:space="0" w:color="auto"/>
            </w:tcBorders>
            <w:vAlign w:val="center"/>
          </w:tcPr>
          <w:p w14:paraId="01C4C23C" w14:textId="77777777" w:rsidR="0059790B" w:rsidRPr="006A0B80" w:rsidRDefault="0059790B" w:rsidP="0059790B">
            <w:pPr>
              <w:spacing w:before="40" w:after="40"/>
              <w:jc w:val="center"/>
              <w:rPr>
                <w:b/>
                <w:bCs/>
                <w:color w:val="000000"/>
                <w:sz w:val="20"/>
                <w:szCs w:val="20"/>
              </w:rPr>
            </w:pPr>
          </w:p>
        </w:tc>
        <w:tc>
          <w:tcPr>
            <w:tcW w:w="261" w:type="dxa"/>
            <w:tcBorders>
              <w:top w:val="single" w:sz="4" w:space="0" w:color="auto"/>
              <w:left w:val="single" w:sz="4" w:space="0" w:color="auto"/>
              <w:bottom w:val="single" w:sz="4" w:space="0" w:color="auto"/>
              <w:right w:val="single" w:sz="4" w:space="0" w:color="auto"/>
            </w:tcBorders>
            <w:vAlign w:val="center"/>
          </w:tcPr>
          <w:p w14:paraId="745C170A" w14:textId="77777777" w:rsidR="0059790B" w:rsidRPr="006A0B80" w:rsidRDefault="0059790B" w:rsidP="0059790B">
            <w:pPr>
              <w:spacing w:before="40" w:after="40"/>
              <w:jc w:val="center"/>
              <w:rPr>
                <w:b/>
                <w:bCs/>
                <w:color w:val="000000"/>
                <w:sz w:val="20"/>
                <w:szCs w:val="20"/>
              </w:rPr>
            </w:pPr>
          </w:p>
        </w:tc>
        <w:tc>
          <w:tcPr>
            <w:tcW w:w="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CD106" w14:textId="77777777" w:rsidR="0059790B" w:rsidRPr="006A0B80" w:rsidRDefault="0059790B" w:rsidP="0059790B">
            <w:pPr>
              <w:spacing w:before="40" w:after="40"/>
              <w:jc w:val="center"/>
              <w:rPr>
                <w:b/>
                <w:bCs/>
                <w:color w:val="000000"/>
                <w:sz w:val="20"/>
                <w:szCs w:val="20"/>
              </w:rPr>
            </w:pP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14:paraId="171B9D70" w14:textId="77777777" w:rsidR="0059790B" w:rsidRPr="006A0B80" w:rsidRDefault="0059790B" w:rsidP="0059790B">
            <w:pPr>
              <w:spacing w:before="40" w:after="40"/>
              <w:jc w:val="center"/>
              <w:rPr>
                <w:b/>
                <w:bCs/>
                <w:color w:val="000000" w:themeColor="text1"/>
                <w:sz w:val="20"/>
                <w:szCs w:val="20"/>
              </w:rPr>
            </w:pP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38564" w14:textId="77777777" w:rsidR="0059790B" w:rsidRPr="006A0B80" w:rsidRDefault="0059790B" w:rsidP="0059790B">
            <w:pPr>
              <w:spacing w:before="40" w:after="40"/>
              <w:jc w:val="center"/>
              <w:rPr>
                <w:b/>
                <w:bCs/>
                <w:color w:val="000000" w:themeColor="text1"/>
                <w:sz w:val="20"/>
                <w:szCs w:val="20"/>
              </w:rPr>
            </w:pP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10D8A" w14:textId="77777777" w:rsidR="0059790B" w:rsidRPr="006A0B80" w:rsidRDefault="0059790B" w:rsidP="0059790B">
            <w:pPr>
              <w:spacing w:before="40" w:after="40"/>
              <w:jc w:val="center"/>
              <w:rPr>
                <w:b/>
                <w:bCs/>
                <w:color w:val="000000" w:themeColor="text1"/>
                <w:sz w:val="20"/>
                <w:szCs w:val="2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15A87" w14:textId="77777777" w:rsidR="0059790B" w:rsidRPr="006A0B80" w:rsidRDefault="0059790B" w:rsidP="0059790B">
            <w:pPr>
              <w:spacing w:before="40" w:after="40"/>
              <w:jc w:val="center"/>
              <w:rPr>
                <w:b/>
                <w:bCs/>
                <w:color w:val="000000" w:themeColor="text1"/>
                <w:sz w:val="20"/>
                <w:szCs w:val="20"/>
              </w:rPr>
            </w:pPr>
          </w:p>
        </w:tc>
        <w:tc>
          <w:tcPr>
            <w:tcW w:w="3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A9607" w14:textId="77777777" w:rsidR="0059790B" w:rsidRPr="006A0B80" w:rsidRDefault="0059790B" w:rsidP="0059790B">
            <w:pPr>
              <w:spacing w:before="40" w:after="40"/>
              <w:jc w:val="center"/>
              <w:rPr>
                <w:b/>
                <w:bCs/>
                <w:color w:val="000000" w:themeColor="text1"/>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A7219" w14:textId="77777777" w:rsidR="0059790B" w:rsidRPr="006A0B80" w:rsidRDefault="0059790B" w:rsidP="0059790B">
            <w:pPr>
              <w:spacing w:before="40" w:after="40"/>
              <w:jc w:val="center"/>
              <w:rPr>
                <w:b/>
                <w:bCs/>
                <w:color w:val="000000" w:themeColor="text1"/>
                <w:sz w:val="20"/>
                <w:szCs w:val="20"/>
              </w:rPr>
            </w:pP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7DD9B" w14:textId="77777777" w:rsidR="0059790B" w:rsidRPr="006A0B80" w:rsidRDefault="0059790B" w:rsidP="0059790B">
            <w:pPr>
              <w:spacing w:before="40" w:after="40"/>
              <w:jc w:val="center"/>
              <w:rPr>
                <w:b/>
                <w:bCs/>
                <w:color w:val="000000" w:themeColor="text1"/>
                <w:sz w:val="20"/>
                <w:szCs w:val="2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D69D0" w14:textId="77777777" w:rsidR="0059790B" w:rsidRPr="006A0B80" w:rsidRDefault="0059790B" w:rsidP="0059790B">
            <w:pPr>
              <w:spacing w:before="40" w:after="40"/>
              <w:jc w:val="center"/>
              <w:rPr>
                <w:b/>
                <w:bCs/>
                <w:color w:val="000000" w:themeColor="text1"/>
                <w:sz w:val="20"/>
                <w:szCs w:val="20"/>
              </w:rPr>
            </w:pP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1169F" w14:textId="77777777" w:rsidR="0059790B" w:rsidRPr="006A0B80" w:rsidRDefault="0059790B" w:rsidP="0059790B">
            <w:pPr>
              <w:spacing w:before="40" w:after="40"/>
              <w:jc w:val="center"/>
              <w:rPr>
                <w:b/>
                <w:bCs/>
                <w:color w:val="000000" w:themeColor="text1"/>
                <w:sz w:val="20"/>
                <w:szCs w:val="20"/>
              </w:rPr>
            </w:pP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DA53C" w14:textId="77777777" w:rsidR="0059790B" w:rsidRPr="006A0B80" w:rsidRDefault="0059790B" w:rsidP="0059790B">
            <w:pPr>
              <w:spacing w:before="40" w:after="40"/>
              <w:jc w:val="center"/>
              <w:rPr>
                <w:b/>
                <w:bCs/>
                <w:color w:val="000000" w:themeColor="text1"/>
                <w:sz w:val="20"/>
                <w:szCs w:val="20"/>
              </w:rPr>
            </w:pPr>
          </w:p>
        </w:tc>
        <w:tc>
          <w:tcPr>
            <w:tcW w:w="655" w:type="dxa"/>
            <w:tcBorders>
              <w:top w:val="single" w:sz="4" w:space="0" w:color="auto"/>
              <w:left w:val="single" w:sz="4" w:space="0" w:color="auto"/>
              <w:bottom w:val="single" w:sz="4" w:space="0" w:color="auto"/>
              <w:right w:val="single" w:sz="4" w:space="0" w:color="auto"/>
            </w:tcBorders>
            <w:shd w:val="thinDiagStripe" w:color="auto" w:fill="FFFFFF" w:themeFill="background1"/>
            <w:noWrap/>
            <w:vAlign w:val="center"/>
            <w:hideMark/>
          </w:tcPr>
          <w:p w14:paraId="1078AF9D" w14:textId="77777777" w:rsidR="0059790B" w:rsidRPr="006A0B80" w:rsidRDefault="0059790B" w:rsidP="0059790B">
            <w:pPr>
              <w:spacing w:before="40" w:after="40"/>
              <w:jc w:val="center"/>
              <w:rPr>
                <w:b/>
                <w:bCs/>
                <w:color w:val="000000" w:themeColor="text1"/>
                <w:sz w:val="20"/>
                <w:szCs w:val="20"/>
              </w:rPr>
            </w:pPr>
          </w:p>
        </w:tc>
        <w:tc>
          <w:tcPr>
            <w:tcW w:w="784" w:type="dxa"/>
            <w:gridSpan w:val="2"/>
            <w:tcBorders>
              <w:top w:val="single" w:sz="4" w:space="0" w:color="auto"/>
              <w:left w:val="single" w:sz="4" w:space="0" w:color="auto"/>
              <w:bottom w:val="single" w:sz="4" w:space="0" w:color="auto"/>
              <w:right w:val="single" w:sz="4" w:space="0" w:color="auto"/>
            </w:tcBorders>
            <w:shd w:val="thinDiagStripe" w:color="auto" w:fill="FFFFFF" w:themeFill="background1"/>
            <w:noWrap/>
            <w:vAlign w:val="center"/>
            <w:hideMark/>
          </w:tcPr>
          <w:p w14:paraId="00F5D216" w14:textId="77777777" w:rsidR="0059790B" w:rsidRPr="006A0B80" w:rsidRDefault="0059790B" w:rsidP="0059790B">
            <w:pPr>
              <w:spacing w:before="40" w:after="40"/>
              <w:jc w:val="center"/>
              <w:rPr>
                <w:b/>
                <w:bCs/>
                <w:color w:val="000000" w:themeColor="text1"/>
                <w:sz w:val="20"/>
                <w:szCs w:val="20"/>
              </w:rPr>
            </w:pPr>
          </w:p>
        </w:tc>
        <w:tc>
          <w:tcPr>
            <w:tcW w:w="393" w:type="dxa"/>
            <w:tcBorders>
              <w:top w:val="single" w:sz="4" w:space="0" w:color="auto"/>
              <w:left w:val="single" w:sz="4" w:space="0" w:color="auto"/>
              <w:bottom w:val="single" w:sz="4" w:space="0" w:color="auto"/>
              <w:right w:val="single" w:sz="4" w:space="0" w:color="auto"/>
            </w:tcBorders>
            <w:shd w:val="thinDiagStripe" w:color="auto" w:fill="FFFFFF" w:themeFill="background1"/>
            <w:noWrap/>
            <w:vAlign w:val="center"/>
            <w:hideMark/>
          </w:tcPr>
          <w:p w14:paraId="7189445F" w14:textId="77777777" w:rsidR="0059790B" w:rsidRPr="006A0B80" w:rsidRDefault="0059790B" w:rsidP="0059790B">
            <w:pPr>
              <w:spacing w:before="40" w:after="40"/>
              <w:jc w:val="center"/>
              <w:rPr>
                <w:b/>
                <w:bCs/>
                <w:color w:val="000000" w:themeColor="text1"/>
                <w:sz w:val="20"/>
                <w:szCs w:val="20"/>
              </w:rPr>
            </w:pPr>
          </w:p>
        </w:tc>
      </w:tr>
      <w:tr w:rsidR="0059790B" w:rsidRPr="00A43427" w14:paraId="02FE914D" w14:textId="77777777" w:rsidTr="0059790B">
        <w:trPr>
          <w:trHeight w:val="307"/>
        </w:trPr>
        <w:tc>
          <w:tcPr>
            <w:tcW w:w="2588" w:type="dxa"/>
            <w:gridSpan w:val="2"/>
            <w:tcBorders>
              <w:top w:val="nil"/>
              <w:left w:val="single" w:sz="4" w:space="0" w:color="auto"/>
              <w:bottom w:val="single" w:sz="4" w:space="0" w:color="auto"/>
              <w:right w:val="nil"/>
            </w:tcBorders>
            <w:shd w:val="clear" w:color="auto" w:fill="F2F2F2" w:themeFill="background1" w:themeFillShade="F2"/>
            <w:noWrap/>
            <w:vAlign w:val="bottom"/>
            <w:hideMark/>
          </w:tcPr>
          <w:p w14:paraId="33B0BF11" w14:textId="77777777" w:rsidR="0059790B" w:rsidRPr="006A0B80" w:rsidRDefault="0059790B" w:rsidP="0059790B">
            <w:pPr>
              <w:spacing w:before="40" w:after="40"/>
              <w:rPr>
                <w:color w:val="000000"/>
                <w:sz w:val="20"/>
                <w:szCs w:val="20"/>
              </w:rPr>
            </w:pPr>
            <w:r w:rsidRPr="006A0B80">
              <w:rPr>
                <w:color w:val="000000"/>
                <w:sz w:val="20"/>
                <w:szCs w:val="20"/>
              </w:rPr>
              <w:t>Employment or further study</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EC93E" w14:textId="77777777" w:rsidR="0059790B" w:rsidRPr="006A0B80" w:rsidRDefault="0059790B" w:rsidP="0059790B">
            <w:pPr>
              <w:spacing w:before="40" w:after="40"/>
              <w:jc w:val="right"/>
              <w:rPr>
                <w:color w:val="000000"/>
                <w:sz w:val="20"/>
                <w:szCs w:val="20"/>
              </w:rPr>
            </w:pPr>
            <w:r w:rsidRPr="006A0B80">
              <w:rPr>
                <w:color w:val="000000"/>
                <w:sz w:val="20"/>
                <w:szCs w:val="20"/>
              </w:rPr>
              <w:t>93.6</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B0FBD" w14:textId="77777777" w:rsidR="0059790B" w:rsidRPr="006A0B80" w:rsidRDefault="0059790B" w:rsidP="0059790B">
            <w:pPr>
              <w:spacing w:before="40" w:after="40"/>
              <w:jc w:val="right"/>
              <w:rPr>
                <w:color w:val="000000"/>
                <w:sz w:val="20"/>
                <w:szCs w:val="20"/>
              </w:rPr>
            </w:pPr>
            <w:r w:rsidRPr="006A0B80">
              <w:rPr>
                <w:color w:val="000000"/>
                <w:sz w:val="20"/>
                <w:szCs w:val="20"/>
              </w:rPr>
              <w:t>92.2</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792AF" w14:textId="77777777" w:rsidR="0059790B" w:rsidRPr="006A0B80" w:rsidRDefault="0059790B" w:rsidP="0059790B">
            <w:pPr>
              <w:spacing w:before="40" w:after="40"/>
              <w:jc w:val="right"/>
              <w:rPr>
                <w:color w:val="000000"/>
                <w:sz w:val="20"/>
                <w:szCs w:val="20"/>
              </w:rPr>
            </w:pPr>
            <w:r w:rsidRPr="006A0B80">
              <w:rPr>
                <w:color w:val="000000"/>
                <w:sz w:val="20"/>
                <w:szCs w:val="20"/>
              </w:rPr>
              <w:t>1.4</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33949" w14:textId="77777777" w:rsidR="0059790B" w:rsidRPr="006A0B80" w:rsidRDefault="0059790B" w:rsidP="0059790B">
            <w:pPr>
              <w:spacing w:before="40" w:after="40"/>
              <w:jc w:val="right"/>
              <w:rPr>
                <w:color w:val="000000"/>
                <w:sz w:val="20"/>
                <w:szCs w:val="20"/>
              </w:rPr>
            </w:pPr>
            <w:r w:rsidRPr="006A0B80">
              <w:rPr>
                <w:color w:val="000000"/>
                <w:sz w:val="20"/>
                <w:szCs w:val="20"/>
              </w:rPr>
              <w:t>1.6</w:t>
            </w:r>
          </w:p>
        </w:tc>
        <w:tc>
          <w:tcPr>
            <w:tcW w:w="654" w:type="dxa"/>
            <w:tcBorders>
              <w:top w:val="single" w:sz="4" w:space="0" w:color="auto"/>
              <w:left w:val="nil"/>
              <w:bottom w:val="single" w:sz="4" w:space="0" w:color="auto"/>
              <w:right w:val="single" w:sz="4" w:space="0" w:color="auto"/>
            </w:tcBorders>
          </w:tcPr>
          <w:p w14:paraId="19398D26" w14:textId="77777777" w:rsidR="0059790B" w:rsidRPr="006A0B80" w:rsidRDefault="0059790B" w:rsidP="0059790B">
            <w:pPr>
              <w:spacing w:before="40" w:after="40"/>
              <w:jc w:val="center"/>
              <w:rPr>
                <w:b/>
                <w:bCs/>
                <w:color w:val="000000"/>
                <w:sz w:val="20"/>
                <w:szCs w:val="20"/>
              </w:rPr>
            </w:pPr>
          </w:p>
        </w:tc>
        <w:tc>
          <w:tcPr>
            <w:tcW w:w="393" w:type="dxa"/>
            <w:tcBorders>
              <w:top w:val="single" w:sz="4" w:space="0" w:color="auto"/>
              <w:left w:val="single" w:sz="4" w:space="0" w:color="auto"/>
              <w:bottom w:val="single" w:sz="4" w:space="0" w:color="auto"/>
              <w:right w:val="single" w:sz="4" w:space="0" w:color="auto"/>
            </w:tcBorders>
            <w:vAlign w:val="center"/>
          </w:tcPr>
          <w:p w14:paraId="4FE8A64C" w14:textId="77777777" w:rsidR="0059790B" w:rsidRPr="006A0B80" w:rsidRDefault="0059790B" w:rsidP="0059790B">
            <w:pPr>
              <w:spacing w:before="40" w:after="40"/>
              <w:jc w:val="center"/>
              <w:rPr>
                <w:b/>
                <w:bCs/>
                <w:color w:val="000000"/>
                <w:sz w:val="20"/>
                <w:szCs w:val="20"/>
              </w:rPr>
            </w:pPr>
          </w:p>
        </w:tc>
        <w:tc>
          <w:tcPr>
            <w:tcW w:w="261" w:type="dxa"/>
            <w:tcBorders>
              <w:top w:val="single" w:sz="4" w:space="0" w:color="auto"/>
              <w:left w:val="single" w:sz="4" w:space="0" w:color="auto"/>
              <w:bottom w:val="single" w:sz="4" w:space="0" w:color="auto"/>
              <w:right w:val="single" w:sz="4" w:space="0" w:color="auto"/>
            </w:tcBorders>
            <w:vAlign w:val="center"/>
          </w:tcPr>
          <w:p w14:paraId="2B4093FE" w14:textId="77777777" w:rsidR="0059790B" w:rsidRPr="006A0B80" w:rsidRDefault="0059790B" w:rsidP="0059790B">
            <w:pPr>
              <w:spacing w:before="40" w:after="40"/>
              <w:jc w:val="center"/>
              <w:rPr>
                <w:b/>
                <w:bCs/>
                <w:color w:val="000000"/>
                <w:sz w:val="20"/>
                <w:szCs w:val="20"/>
              </w:rPr>
            </w:pPr>
          </w:p>
        </w:tc>
        <w:tc>
          <w:tcPr>
            <w:tcW w:w="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A3DB4" w14:textId="77777777" w:rsidR="0059790B" w:rsidRPr="006A0B80" w:rsidRDefault="0059790B" w:rsidP="0059790B">
            <w:pPr>
              <w:spacing w:before="40" w:after="40"/>
              <w:jc w:val="center"/>
              <w:rPr>
                <w:b/>
                <w:bCs/>
                <w:color w:val="000000"/>
                <w:sz w:val="20"/>
                <w:szCs w:val="20"/>
              </w:rPr>
            </w:pP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14:paraId="579E18B4" w14:textId="77777777" w:rsidR="0059790B" w:rsidRPr="006A0B80" w:rsidRDefault="0059790B" w:rsidP="0059790B">
            <w:pPr>
              <w:spacing w:before="40" w:after="40"/>
              <w:jc w:val="center"/>
              <w:rPr>
                <w:b/>
                <w:bCs/>
                <w:color w:val="000000" w:themeColor="text1"/>
                <w:sz w:val="20"/>
                <w:szCs w:val="20"/>
              </w:rPr>
            </w:pP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683F6" w14:textId="77777777" w:rsidR="0059790B" w:rsidRPr="006A0B80" w:rsidRDefault="0059790B" w:rsidP="0059790B">
            <w:pPr>
              <w:spacing w:before="40" w:after="40"/>
              <w:jc w:val="center"/>
              <w:rPr>
                <w:b/>
                <w:bCs/>
                <w:color w:val="000000" w:themeColor="text1"/>
                <w:sz w:val="20"/>
                <w:szCs w:val="20"/>
              </w:rPr>
            </w:pP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154A6" w14:textId="77777777" w:rsidR="0059790B" w:rsidRPr="006A0B80" w:rsidRDefault="0059790B" w:rsidP="0059790B">
            <w:pPr>
              <w:spacing w:before="40" w:after="40"/>
              <w:jc w:val="center"/>
              <w:rPr>
                <w:b/>
                <w:bCs/>
                <w:color w:val="000000" w:themeColor="text1"/>
                <w:sz w:val="20"/>
                <w:szCs w:val="2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94DCF" w14:textId="77777777" w:rsidR="0059790B" w:rsidRPr="006A0B80" w:rsidRDefault="0059790B" w:rsidP="0059790B">
            <w:pPr>
              <w:spacing w:before="40" w:after="40"/>
              <w:jc w:val="center"/>
              <w:rPr>
                <w:b/>
                <w:bCs/>
                <w:color w:val="000000" w:themeColor="text1"/>
                <w:sz w:val="20"/>
                <w:szCs w:val="20"/>
              </w:rPr>
            </w:pPr>
          </w:p>
        </w:tc>
        <w:tc>
          <w:tcPr>
            <w:tcW w:w="39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3C6AA816" w14:textId="77777777" w:rsidR="0059790B" w:rsidRPr="006A0B80" w:rsidRDefault="0059790B" w:rsidP="0059790B">
            <w:pPr>
              <w:spacing w:before="40" w:after="40"/>
              <w:jc w:val="center"/>
              <w:rPr>
                <w:b/>
                <w:bCs/>
                <w:color w:val="000000" w:themeColor="text1"/>
                <w:sz w:val="20"/>
                <w:szCs w:val="20"/>
              </w:rPr>
            </w:pPr>
            <w:r w:rsidRPr="006A0B80">
              <w:rPr>
                <w:b/>
                <w:bCs/>
                <w:color w:val="000000" w:themeColor="text1"/>
                <w:sz w:val="20"/>
                <w:szCs w:val="20"/>
              </w:rPr>
              <w:t>+</w:t>
            </w:r>
          </w:p>
        </w:tc>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F1C12" w14:textId="77777777" w:rsidR="0059790B" w:rsidRPr="006A0B80" w:rsidRDefault="0059790B" w:rsidP="0059790B">
            <w:pPr>
              <w:spacing w:before="40" w:after="40"/>
              <w:jc w:val="center"/>
              <w:rPr>
                <w:b/>
                <w:bCs/>
                <w:color w:val="000000" w:themeColor="text1"/>
                <w:sz w:val="20"/>
                <w:szCs w:val="20"/>
              </w:rPr>
            </w:pP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4D4B3" w14:textId="77777777" w:rsidR="0059790B" w:rsidRPr="006A0B80" w:rsidRDefault="0059790B" w:rsidP="0059790B">
            <w:pPr>
              <w:spacing w:before="40" w:after="40"/>
              <w:jc w:val="center"/>
              <w:rPr>
                <w:b/>
                <w:bCs/>
                <w:color w:val="000000" w:themeColor="text1"/>
                <w:sz w:val="20"/>
                <w:szCs w:val="2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0C206" w14:textId="77777777" w:rsidR="0059790B" w:rsidRPr="006A0B80" w:rsidRDefault="0059790B" w:rsidP="0059790B">
            <w:pPr>
              <w:spacing w:before="40" w:after="40"/>
              <w:jc w:val="center"/>
              <w:rPr>
                <w:b/>
                <w:bCs/>
                <w:color w:val="000000" w:themeColor="text1"/>
                <w:sz w:val="20"/>
                <w:szCs w:val="20"/>
              </w:rPr>
            </w:pP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048B4" w14:textId="77777777" w:rsidR="0059790B" w:rsidRPr="006A0B80" w:rsidRDefault="0059790B" w:rsidP="0059790B">
            <w:pPr>
              <w:spacing w:before="40" w:after="40"/>
              <w:jc w:val="center"/>
              <w:rPr>
                <w:b/>
                <w:bCs/>
                <w:color w:val="000000" w:themeColor="text1"/>
                <w:sz w:val="20"/>
                <w:szCs w:val="20"/>
              </w:rPr>
            </w:pP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20A24" w14:textId="77777777" w:rsidR="0059790B" w:rsidRPr="006A0B80" w:rsidRDefault="0059790B" w:rsidP="0059790B">
            <w:pPr>
              <w:spacing w:before="40" w:after="40"/>
              <w:jc w:val="center"/>
              <w:rPr>
                <w:b/>
                <w:bCs/>
                <w:color w:val="000000" w:themeColor="text1"/>
                <w:sz w:val="20"/>
                <w:szCs w:val="20"/>
              </w:rPr>
            </w:pPr>
          </w:p>
        </w:tc>
        <w:tc>
          <w:tcPr>
            <w:tcW w:w="655" w:type="dxa"/>
            <w:tcBorders>
              <w:top w:val="single" w:sz="4" w:space="0" w:color="auto"/>
              <w:left w:val="single" w:sz="4" w:space="0" w:color="auto"/>
              <w:bottom w:val="single" w:sz="4" w:space="0" w:color="auto"/>
              <w:right w:val="single" w:sz="4" w:space="0" w:color="auto"/>
            </w:tcBorders>
            <w:shd w:val="thinDiagStripe" w:color="auto" w:fill="FFFFFF" w:themeFill="background1"/>
            <w:noWrap/>
            <w:vAlign w:val="center"/>
            <w:hideMark/>
          </w:tcPr>
          <w:p w14:paraId="631BDE5E" w14:textId="77777777" w:rsidR="0059790B" w:rsidRPr="006A0B80" w:rsidRDefault="0059790B" w:rsidP="0059790B">
            <w:pPr>
              <w:spacing w:before="40" w:after="40"/>
              <w:jc w:val="center"/>
              <w:rPr>
                <w:b/>
                <w:bCs/>
                <w:color w:val="000000" w:themeColor="text1"/>
                <w:sz w:val="20"/>
                <w:szCs w:val="20"/>
              </w:rPr>
            </w:pPr>
          </w:p>
        </w:tc>
        <w:tc>
          <w:tcPr>
            <w:tcW w:w="784" w:type="dxa"/>
            <w:gridSpan w:val="2"/>
            <w:tcBorders>
              <w:top w:val="single" w:sz="4" w:space="0" w:color="auto"/>
              <w:left w:val="single" w:sz="4" w:space="0" w:color="auto"/>
              <w:bottom w:val="single" w:sz="4" w:space="0" w:color="auto"/>
              <w:right w:val="single" w:sz="4" w:space="0" w:color="auto"/>
            </w:tcBorders>
            <w:shd w:val="thinDiagStripe" w:color="auto" w:fill="FFFFFF" w:themeFill="background1"/>
            <w:noWrap/>
            <w:vAlign w:val="center"/>
            <w:hideMark/>
          </w:tcPr>
          <w:p w14:paraId="3F2EAD71" w14:textId="77777777" w:rsidR="0059790B" w:rsidRPr="006A0B80" w:rsidRDefault="0059790B" w:rsidP="0059790B">
            <w:pPr>
              <w:spacing w:before="40" w:after="40"/>
              <w:jc w:val="center"/>
              <w:rPr>
                <w:b/>
                <w:bCs/>
                <w:color w:val="000000" w:themeColor="text1"/>
                <w:sz w:val="20"/>
                <w:szCs w:val="20"/>
              </w:rPr>
            </w:pPr>
          </w:p>
        </w:tc>
        <w:tc>
          <w:tcPr>
            <w:tcW w:w="393" w:type="dxa"/>
            <w:tcBorders>
              <w:top w:val="single" w:sz="4" w:space="0" w:color="auto"/>
              <w:left w:val="single" w:sz="4" w:space="0" w:color="auto"/>
              <w:bottom w:val="single" w:sz="4" w:space="0" w:color="auto"/>
              <w:right w:val="single" w:sz="4" w:space="0" w:color="auto"/>
            </w:tcBorders>
            <w:shd w:val="thinDiagStripe" w:color="auto" w:fill="FFFFFF" w:themeFill="background1"/>
            <w:noWrap/>
            <w:vAlign w:val="center"/>
            <w:hideMark/>
          </w:tcPr>
          <w:p w14:paraId="7CC0941A" w14:textId="77777777" w:rsidR="0059790B" w:rsidRPr="006A0B80" w:rsidRDefault="0059790B" w:rsidP="0059790B">
            <w:pPr>
              <w:spacing w:before="40" w:after="40"/>
              <w:jc w:val="center"/>
              <w:rPr>
                <w:b/>
                <w:bCs/>
                <w:color w:val="000000" w:themeColor="text1"/>
                <w:sz w:val="20"/>
                <w:szCs w:val="20"/>
              </w:rPr>
            </w:pPr>
          </w:p>
        </w:tc>
      </w:tr>
      <w:tr w:rsidR="0059790B" w:rsidRPr="00A43427" w14:paraId="5344D47B" w14:textId="77777777" w:rsidTr="0059790B">
        <w:trPr>
          <w:trHeight w:val="307"/>
        </w:trPr>
        <w:tc>
          <w:tcPr>
            <w:tcW w:w="2588" w:type="dxa"/>
            <w:gridSpan w:val="2"/>
            <w:tcBorders>
              <w:top w:val="nil"/>
              <w:left w:val="single" w:sz="4" w:space="0" w:color="auto"/>
              <w:bottom w:val="single" w:sz="4" w:space="0" w:color="auto"/>
              <w:right w:val="nil"/>
            </w:tcBorders>
            <w:shd w:val="clear" w:color="auto" w:fill="F2F2F2" w:themeFill="background1" w:themeFillShade="F2"/>
            <w:noWrap/>
            <w:vAlign w:val="bottom"/>
          </w:tcPr>
          <w:p w14:paraId="7B18E127" w14:textId="77777777" w:rsidR="0059790B" w:rsidRPr="006A0B80" w:rsidRDefault="0059790B" w:rsidP="0059790B">
            <w:pPr>
              <w:spacing w:before="40" w:after="40"/>
              <w:rPr>
                <w:color w:val="000000"/>
                <w:sz w:val="20"/>
                <w:szCs w:val="20"/>
              </w:rPr>
            </w:pPr>
            <w:r>
              <w:rPr>
                <w:color w:val="000000"/>
                <w:sz w:val="20"/>
                <w:szCs w:val="20"/>
              </w:rPr>
              <w:t>Highly skilled employment</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829F7E" w14:textId="77777777" w:rsidR="0059790B" w:rsidRPr="006A0B80" w:rsidRDefault="0059790B" w:rsidP="0059790B">
            <w:pPr>
              <w:spacing w:before="40" w:after="40"/>
              <w:jc w:val="right"/>
              <w:rPr>
                <w:color w:val="000000"/>
                <w:sz w:val="20"/>
                <w:szCs w:val="20"/>
              </w:rPr>
            </w:pPr>
            <w:r>
              <w:rPr>
                <w:color w:val="000000"/>
                <w:sz w:val="20"/>
                <w:szCs w:val="20"/>
              </w:rPr>
              <w:t>76.0</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2D54CE" w14:textId="77777777" w:rsidR="0059790B" w:rsidRPr="006A0B80" w:rsidRDefault="0059790B" w:rsidP="0059790B">
            <w:pPr>
              <w:spacing w:before="40" w:after="40"/>
              <w:jc w:val="right"/>
              <w:rPr>
                <w:color w:val="000000"/>
                <w:sz w:val="20"/>
                <w:szCs w:val="20"/>
              </w:rPr>
            </w:pPr>
            <w:r>
              <w:rPr>
                <w:color w:val="000000"/>
                <w:sz w:val="20"/>
                <w:szCs w:val="20"/>
              </w:rPr>
              <w:t>71.0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1B26DF" w14:textId="77777777" w:rsidR="0059790B" w:rsidRPr="006A0B80" w:rsidRDefault="0059790B" w:rsidP="0059790B">
            <w:pPr>
              <w:spacing w:before="40" w:after="40"/>
              <w:jc w:val="right"/>
              <w:rPr>
                <w:color w:val="000000"/>
                <w:sz w:val="20"/>
                <w:szCs w:val="20"/>
              </w:rPr>
            </w:pPr>
            <w:r>
              <w:rPr>
                <w:color w:val="000000"/>
                <w:sz w:val="20"/>
                <w:szCs w:val="20"/>
              </w:rPr>
              <w:t>5.0</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AF1027" w14:textId="77777777" w:rsidR="0059790B" w:rsidRPr="006A0B80" w:rsidRDefault="0059790B" w:rsidP="0059790B">
            <w:pPr>
              <w:spacing w:before="40" w:after="40"/>
              <w:jc w:val="right"/>
              <w:rPr>
                <w:color w:val="000000"/>
                <w:sz w:val="20"/>
                <w:szCs w:val="20"/>
              </w:rPr>
            </w:pPr>
            <w:r>
              <w:rPr>
                <w:color w:val="000000"/>
                <w:sz w:val="20"/>
                <w:szCs w:val="20"/>
              </w:rPr>
              <w:t>1.3</w:t>
            </w:r>
          </w:p>
        </w:tc>
        <w:tc>
          <w:tcPr>
            <w:tcW w:w="654" w:type="dxa"/>
            <w:tcBorders>
              <w:top w:val="single" w:sz="4" w:space="0" w:color="auto"/>
              <w:left w:val="nil"/>
              <w:bottom w:val="single" w:sz="4" w:space="0" w:color="auto"/>
              <w:right w:val="single" w:sz="4" w:space="0" w:color="auto"/>
            </w:tcBorders>
          </w:tcPr>
          <w:p w14:paraId="130B8B87" w14:textId="77777777" w:rsidR="0059790B" w:rsidRPr="006A0B80" w:rsidRDefault="0059790B" w:rsidP="0059790B">
            <w:pPr>
              <w:spacing w:before="40" w:after="40"/>
              <w:jc w:val="center"/>
              <w:rPr>
                <w:b/>
                <w:bCs/>
                <w:color w:val="000000"/>
                <w:sz w:val="20"/>
                <w:szCs w:val="20"/>
              </w:rPr>
            </w:pPr>
          </w:p>
        </w:tc>
        <w:tc>
          <w:tcPr>
            <w:tcW w:w="393" w:type="dxa"/>
            <w:tcBorders>
              <w:top w:val="single" w:sz="4" w:space="0" w:color="auto"/>
              <w:left w:val="single" w:sz="4" w:space="0" w:color="auto"/>
              <w:bottom w:val="single" w:sz="4" w:space="0" w:color="auto"/>
              <w:right w:val="single" w:sz="4" w:space="0" w:color="auto"/>
            </w:tcBorders>
            <w:vAlign w:val="center"/>
          </w:tcPr>
          <w:p w14:paraId="3CF46820" w14:textId="77777777" w:rsidR="0059790B" w:rsidRPr="006A0B80" w:rsidRDefault="0059790B" w:rsidP="0059790B">
            <w:pPr>
              <w:spacing w:before="40" w:after="40"/>
              <w:jc w:val="center"/>
              <w:rPr>
                <w:b/>
                <w:bCs/>
                <w:color w:val="000000"/>
                <w:sz w:val="20"/>
                <w:szCs w:val="20"/>
              </w:rPr>
            </w:pPr>
          </w:p>
        </w:tc>
        <w:tc>
          <w:tcPr>
            <w:tcW w:w="261" w:type="dxa"/>
            <w:tcBorders>
              <w:top w:val="single" w:sz="4" w:space="0" w:color="auto"/>
              <w:left w:val="single" w:sz="4" w:space="0" w:color="auto"/>
              <w:bottom w:val="single" w:sz="4" w:space="0" w:color="auto"/>
              <w:right w:val="single" w:sz="4" w:space="0" w:color="auto"/>
            </w:tcBorders>
            <w:vAlign w:val="center"/>
          </w:tcPr>
          <w:p w14:paraId="074B624E" w14:textId="77777777" w:rsidR="0059790B" w:rsidRPr="006A0B80" w:rsidRDefault="0059790B" w:rsidP="0059790B">
            <w:pPr>
              <w:spacing w:before="40" w:after="40"/>
              <w:jc w:val="center"/>
              <w:rPr>
                <w:b/>
                <w:bCs/>
                <w:color w:val="000000"/>
                <w:sz w:val="20"/>
                <w:szCs w:val="20"/>
              </w:rPr>
            </w:pPr>
          </w:p>
        </w:tc>
        <w:tc>
          <w:tcPr>
            <w:tcW w:w="3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6F32B" w14:textId="77777777" w:rsidR="0059790B" w:rsidRPr="006A0B80" w:rsidRDefault="0059790B" w:rsidP="0059790B">
            <w:pPr>
              <w:spacing w:before="40" w:after="40"/>
              <w:jc w:val="center"/>
              <w:rPr>
                <w:b/>
                <w:bCs/>
                <w:color w:val="000000"/>
                <w:sz w:val="20"/>
                <w:szCs w:val="20"/>
              </w:rPr>
            </w:pPr>
          </w:p>
        </w:tc>
        <w:tc>
          <w:tcPr>
            <w:tcW w:w="655" w:type="dxa"/>
            <w:tcBorders>
              <w:top w:val="single" w:sz="4" w:space="0" w:color="auto"/>
              <w:left w:val="nil"/>
              <w:bottom w:val="single" w:sz="4" w:space="0" w:color="auto"/>
              <w:right w:val="single" w:sz="4" w:space="0" w:color="auto"/>
            </w:tcBorders>
            <w:shd w:val="clear" w:color="auto" w:fill="auto"/>
            <w:noWrap/>
            <w:vAlign w:val="center"/>
          </w:tcPr>
          <w:p w14:paraId="0FABB89A" w14:textId="77777777" w:rsidR="0059790B" w:rsidRPr="006A0B80" w:rsidRDefault="0059790B" w:rsidP="0059790B">
            <w:pPr>
              <w:spacing w:before="40" w:after="40"/>
              <w:jc w:val="center"/>
              <w:rPr>
                <w:b/>
                <w:bCs/>
                <w:color w:val="000000" w:themeColor="text1"/>
                <w:sz w:val="20"/>
                <w:szCs w:val="20"/>
              </w:rPr>
            </w:pP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D5A8B6" w14:textId="77777777" w:rsidR="0059790B" w:rsidRPr="006A0B80" w:rsidRDefault="0059790B" w:rsidP="0059790B">
            <w:pPr>
              <w:spacing w:before="40" w:after="40"/>
              <w:jc w:val="center"/>
              <w:rPr>
                <w:b/>
                <w:bCs/>
                <w:color w:val="000000" w:themeColor="text1"/>
                <w:sz w:val="20"/>
                <w:szCs w:val="20"/>
              </w:rPr>
            </w:pP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633DF" w14:textId="77777777" w:rsidR="0059790B" w:rsidRPr="006A0B80" w:rsidRDefault="0059790B" w:rsidP="0059790B">
            <w:pPr>
              <w:spacing w:before="40" w:after="40"/>
              <w:jc w:val="center"/>
              <w:rPr>
                <w:b/>
                <w:bCs/>
                <w:color w:val="000000" w:themeColor="text1"/>
                <w:sz w:val="20"/>
                <w:szCs w:val="2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0BF1C" w14:textId="77777777" w:rsidR="0059790B" w:rsidRPr="006A0B80" w:rsidRDefault="0059790B" w:rsidP="0059790B">
            <w:pPr>
              <w:spacing w:before="40" w:after="40"/>
              <w:jc w:val="center"/>
              <w:rPr>
                <w:b/>
                <w:bCs/>
                <w:color w:val="000000" w:themeColor="text1"/>
                <w:sz w:val="20"/>
                <w:szCs w:val="20"/>
              </w:rPr>
            </w:pPr>
          </w:p>
        </w:tc>
        <w:tc>
          <w:tcPr>
            <w:tcW w:w="39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14:paraId="3AE091DA" w14:textId="77777777" w:rsidR="0059790B" w:rsidRPr="006A0B80" w:rsidRDefault="0059790B" w:rsidP="0059790B">
            <w:pPr>
              <w:spacing w:before="40" w:after="40"/>
              <w:jc w:val="center"/>
              <w:rPr>
                <w:b/>
                <w:bCs/>
                <w:color w:val="000000" w:themeColor="text1"/>
                <w:sz w:val="20"/>
                <w:szCs w:val="20"/>
              </w:rPr>
            </w:pPr>
            <w:r>
              <w:rPr>
                <w:b/>
                <w:bCs/>
                <w:color w:val="000000" w:themeColor="text1"/>
                <w:sz w:val="20"/>
                <w:szCs w:val="20"/>
              </w:rPr>
              <w:t>+</w:t>
            </w:r>
          </w:p>
        </w:tc>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483BA0" w14:textId="77777777" w:rsidR="0059790B" w:rsidRPr="006A0B80" w:rsidRDefault="0059790B" w:rsidP="0059790B">
            <w:pPr>
              <w:spacing w:before="40" w:after="40"/>
              <w:jc w:val="center"/>
              <w:rPr>
                <w:b/>
                <w:bCs/>
                <w:color w:val="000000" w:themeColor="text1"/>
                <w:sz w:val="20"/>
                <w:szCs w:val="20"/>
              </w:rPr>
            </w:pP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44463" w14:textId="77777777" w:rsidR="0059790B" w:rsidRPr="006A0B80" w:rsidRDefault="0059790B" w:rsidP="0059790B">
            <w:pPr>
              <w:spacing w:before="40" w:after="40"/>
              <w:jc w:val="center"/>
              <w:rPr>
                <w:b/>
                <w:bCs/>
                <w:color w:val="000000" w:themeColor="text1"/>
                <w:sz w:val="20"/>
                <w:szCs w:val="2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06CF1" w14:textId="77777777" w:rsidR="0059790B" w:rsidRPr="006A0B80" w:rsidRDefault="0059790B" w:rsidP="0059790B">
            <w:pPr>
              <w:spacing w:before="40" w:after="40"/>
              <w:jc w:val="center"/>
              <w:rPr>
                <w:b/>
                <w:bCs/>
                <w:color w:val="000000" w:themeColor="text1"/>
                <w:sz w:val="20"/>
                <w:szCs w:val="20"/>
              </w:rPr>
            </w:pP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057CE" w14:textId="77777777" w:rsidR="0059790B" w:rsidRPr="006A0B80" w:rsidRDefault="0059790B" w:rsidP="0059790B">
            <w:pPr>
              <w:spacing w:before="40" w:after="40"/>
              <w:jc w:val="center"/>
              <w:rPr>
                <w:b/>
                <w:bCs/>
                <w:color w:val="000000" w:themeColor="text1"/>
                <w:sz w:val="20"/>
                <w:szCs w:val="20"/>
              </w:rPr>
            </w:pP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55638" w14:textId="77777777" w:rsidR="0059790B" w:rsidRPr="006A0B80" w:rsidRDefault="0059790B" w:rsidP="0059790B">
            <w:pPr>
              <w:spacing w:before="40" w:after="40"/>
              <w:jc w:val="center"/>
              <w:rPr>
                <w:b/>
                <w:bCs/>
                <w:color w:val="000000" w:themeColor="text1"/>
                <w:sz w:val="20"/>
                <w:szCs w:val="20"/>
              </w:rPr>
            </w:pPr>
          </w:p>
        </w:tc>
        <w:tc>
          <w:tcPr>
            <w:tcW w:w="655" w:type="dxa"/>
            <w:tcBorders>
              <w:top w:val="single" w:sz="4" w:space="0" w:color="auto"/>
              <w:left w:val="single" w:sz="4" w:space="0" w:color="auto"/>
              <w:bottom w:val="single" w:sz="4" w:space="0" w:color="auto"/>
              <w:right w:val="single" w:sz="4" w:space="0" w:color="auto"/>
            </w:tcBorders>
            <w:shd w:val="thinDiagStripe" w:color="auto" w:fill="FFFFFF" w:themeFill="background1"/>
            <w:noWrap/>
            <w:vAlign w:val="center"/>
          </w:tcPr>
          <w:p w14:paraId="5579A11F" w14:textId="77777777" w:rsidR="0059790B" w:rsidRPr="006A0B80" w:rsidRDefault="0059790B" w:rsidP="0059790B">
            <w:pPr>
              <w:spacing w:before="40" w:after="40"/>
              <w:jc w:val="center"/>
              <w:rPr>
                <w:b/>
                <w:bCs/>
                <w:color w:val="000000" w:themeColor="text1"/>
                <w:sz w:val="20"/>
                <w:szCs w:val="20"/>
              </w:rPr>
            </w:pPr>
          </w:p>
        </w:tc>
        <w:tc>
          <w:tcPr>
            <w:tcW w:w="784" w:type="dxa"/>
            <w:gridSpan w:val="2"/>
            <w:tcBorders>
              <w:top w:val="single" w:sz="4" w:space="0" w:color="auto"/>
              <w:left w:val="single" w:sz="4" w:space="0" w:color="auto"/>
              <w:bottom w:val="single" w:sz="4" w:space="0" w:color="auto"/>
              <w:right w:val="single" w:sz="4" w:space="0" w:color="auto"/>
            </w:tcBorders>
            <w:shd w:val="thinDiagStripe" w:color="auto" w:fill="FFFFFF" w:themeFill="background1"/>
            <w:noWrap/>
            <w:vAlign w:val="center"/>
          </w:tcPr>
          <w:p w14:paraId="362708FD" w14:textId="77777777" w:rsidR="0059790B" w:rsidRPr="006A0B80" w:rsidRDefault="0059790B" w:rsidP="0059790B">
            <w:pPr>
              <w:spacing w:before="40" w:after="40"/>
              <w:jc w:val="center"/>
              <w:rPr>
                <w:b/>
                <w:bCs/>
                <w:color w:val="000000" w:themeColor="text1"/>
                <w:sz w:val="20"/>
                <w:szCs w:val="20"/>
              </w:rPr>
            </w:pPr>
          </w:p>
        </w:tc>
        <w:tc>
          <w:tcPr>
            <w:tcW w:w="393" w:type="dxa"/>
            <w:tcBorders>
              <w:top w:val="single" w:sz="4" w:space="0" w:color="auto"/>
              <w:left w:val="single" w:sz="4" w:space="0" w:color="auto"/>
              <w:bottom w:val="single" w:sz="4" w:space="0" w:color="auto"/>
              <w:right w:val="single" w:sz="4" w:space="0" w:color="auto"/>
            </w:tcBorders>
            <w:shd w:val="thinDiagStripe" w:color="auto" w:fill="FFFFFF" w:themeFill="background1"/>
            <w:noWrap/>
            <w:vAlign w:val="center"/>
          </w:tcPr>
          <w:p w14:paraId="1290ACE0" w14:textId="77777777" w:rsidR="0059790B" w:rsidRPr="006A0B80" w:rsidRDefault="0059790B" w:rsidP="0059790B">
            <w:pPr>
              <w:spacing w:before="40" w:after="40"/>
              <w:jc w:val="center"/>
              <w:rPr>
                <w:b/>
                <w:bCs/>
                <w:color w:val="000000" w:themeColor="text1"/>
                <w:sz w:val="20"/>
                <w:szCs w:val="20"/>
              </w:rPr>
            </w:pPr>
          </w:p>
        </w:tc>
      </w:tr>
      <w:tr w:rsidR="0059790B" w:rsidRPr="00A43427" w14:paraId="38F764FC" w14:textId="77777777" w:rsidTr="0059790B">
        <w:trPr>
          <w:trHeight w:val="307"/>
        </w:trPr>
        <w:tc>
          <w:tcPr>
            <w:tcW w:w="3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985AFD" w14:textId="77777777" w:rsidR="0059790B" w:rsidRPr="006A0B80" w:rsidRDefault="0059790B" w:rsidP="0059790B">
            <w:pPr>
              <w:spacing w:before="40" w:after="40"/>
              <w:rPr>
                <w:b/>
                <w:bCs/>
                <w:color w:val="000000"/>
                <w:sz w:val="20"/>
                <w:szCs w:val="20"/>
              </w:rPr>
            </w:pPr>
          </w:p>
        </w:tc>
        <w:tc>
          <w:tcPr>
            <w:tcW w:w="14494" w:type="dxa"/>
            <w:gridSpan w:val="2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9E74963" w14:textId="77777777" w:rsidR="0059790B" w:rsidRPr="006A0B80" w:rsidRDefault="0059790B" w:rsidP="0059790B">
            <w:pPr>
              <w:spacing w:before="40" w:after="40"/>
              <w:rPr>
                <w:b/>
                <w:bCs/>
                <w:color w:val="000000"/>
                <w:sz w:val="20"/>
                <w:szCs w:val="20"/>
              </w:rPr>
            </w:pPr>
            <w:r w:rsidRPr="006A0B80">
              <w:rPr>
                <w:b/>
                <w:bCs/>
                <w:color w:val="000000"/>
                <w:sz w:val="20"/>
                <w:szCs w:val="20"/>
              </w:rPr>
              <w:t>Part-time students </w:t>
            </w:r>
          </w:p>
        </w:tc>
      </w:tr>
      <w:tr w:rsidR="0059790B" w:rsidRPr="00A43427" w14:paraId="34CBAA1F" w14:textId="77777777" w:rsidTr="0059790B">
        <w:trPr>
          <w:trHeight w:val="307"/>
        </w:trPr>
        <w:tc>
          <w:tcPr>
            <w:tcW w:w="2588" w:type="dxa"/>
            <w:gridSpan w:val="2"/>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5E9E181" w14:textId="77777777" w:rsidR="0059790B" w:rsidRPr="006A0B80" w:rsidRDefault="0059790B" w:rsidP="0059790B">
            <w:pPr>
              <w:spacing w:before="40" w:after="40"/>
              <w:rPr>
                <w:color w:val="000000"/>
                <w:sz w:val="20"/>
                <w:szCs w:val="20"/>
              </w:rPr>
            </w:pPr>
            <w:r w:rsidRPr="006A0B80">
              <w:rPr>
                <w:color w:val="000000"/>
                <w:sz w:val="20"/>
                <w:szCs w:val="20"/>
              </w:rPr>
              <w:t>The teaching on my course</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CD00D" w14:textId="77777777" w:rsidR="0059790B" w:rsidRPr="006A0B80" w:rsidRDefault="0059790B" w:rsidP="0059790B">
            <w:pPr>
              <w:spacing w:before="40" w:after="40"/>
              <w:jc w:val="right"/>
              <w:rPr>
                <w:color w:val="000000"/>
                <w:sz w:val="20"/>
                <w:szCs w:val="20"/>
              </w:rPr>
            </w:pPr>
            <w:r w:rsidRPr="006A0B80">
              <w:rPr>
                <w:color w:val="000000"/>
                <w:sz w:val="20"/>
                <w:szCs w:val="20"/>
              </w:rPr>
              <w:t>84.7</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679C8" w14:textId="77777777" w:rsidR="0059790B" w:rsidRPr="006A0B80" w:rsidRDefault="0059790B" w:rsidP="0059790B">
            <w:pPr>
              <w:spacing w:before="40" w:after="40"/>
              <w:jc w:val="right"/>
              <w:rPr>
                <w:color w:val="000000"/>
                <w:sz w:val="20"/>
                <w:szCs w:val="20"/>
              </w:rPr>
            </w:pPr>
            <w:r w:rsidRPr="006A0B80">
              <w:rPr>
                <w:color w:val="000000"/>
                <w:sz w:val="20"/>
                <w:szCs w:val="20"/>
              </w:rPr>
              <w:t>85.2</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ADFA0" w14:textId="77777777" w:rsidR="0059790B" w:rsidRPr="006A0B80" w:rsidRDefault="0059790B" w:rsidP="0059790B">
            <w:pPr>
              <w:spacing w:before="40" w:after="40"/>
              <w:jc w:val="right"/>
              <w:rPr>
                <w:color w:val="000000"/>
                <w:sz w:val="20"/>
                <w:szCs w:val="20"/>
              </w:rPr>
            </w:pPr>
            <w:r w:rsidRPr="006A0B80">
              <w:rPr>
                <w:color w:val="000000"/>
                <w:sz w:val="20"/>
                <w:szCs w:val="20"/>
              </w:rPr>
              <w:t>-0.5</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1BB2B" w14:textId="77777777" w:rsidR="0059790B" w:rsidRPr="006A0B80" w:rsidRDefault="0059790B" w:rsidP="0059790B">
            <w:pPr>
              <w:spacing w:before="40" w:after="40"/>
              <w:jc w:val="right"/>
              <w:rPr>
                <w:color w:val="000000"/>
                <w:sz w:val="20"/>
                <w:szCs w:val="20"/>
              </w:rPr>
            </w:pPr>
            <w:r w:rsidRPr="006A0B80">
              <w:rPr>
                <w:color w:val="000000"/>
                <w:sz w:val="20"/>
                <w:szCs w:val="20"/>
              </w:rPr>
              <w:t>-0.2</w:t>
            </w:r>
          </w:p>
        </w:tc>
        <w:tc>
          <w:tcPr>
            <w:tcW w:w="654" w:type="dxa"/>
            <w:tcBorders>
              <w:top w:val="single" w:sz="4" w:space="0" w:color="auto"/>
              <w:left w:val="nil"/>
              <w:bottom w:val="single" w:sz="4" w:space="0" w:color="auto"/>
              <w:right w:val="single" w:sz="4" w:space="0" w:color="auto"/>
            </w:tcBorders>
          </w:tcPr>
          <w:p w14:paraId="52162362" w14:textId="77777777" w:rsidR="0059790B" w:rsidRPr="006A0B80" w:rsidRDefault="0059790B" w:rsidP="0059790B">
            <w:pPr>
              <w:spacing w:before="40" w:after="40"/>
              <w:jc w:val="center"/>
              <w:rPr>
                <w:b/>
                <w:bCs/>
                <w:color w:val="000000"/>
                <w:sz w:val="20"/>
                <w:szCs w:val="20"/>
              </w:rPr>
            </w:pPr>
          </w:p>
        </w:tc>
        <w:tc>
          <w:tcPr>
            <w:tcW w:w="393" w:type="dxa"/>
            <w:tcBorders>
              <w:top w:val="single" w:sz="4" w:space="0" w:color="auto"/>
              <w:left w:val="single" w:sz="4" w:space="0" w:color="auto"/>
              <w:bottom w:val="single" w:sz="4" w:space="0" w:color="auto"/>
              <w:right w:val="single" w:sz="4" w:space="0" w:color="auto"/>
            </w:tcBorders>
          </w:tcPr>
          <w:p w14:paraId="36583A5F" w14:textId="77777777" w:rsidR="0059790B" w:rsidRPr="006A0B80" w:rsidRDefault="0059790B" w:rsidP="0059790B">
            <w:pPr>
              <w:spacing w:before="40" w:after="40"/>
              <w:jc w:val="center"/>
              <w:rPr>
                <w:b/>
                <w:bCs/>
                <w:color w:val="000000"/>
                <w:sz w:val="20"/>
                <w:szCs w:val="20"/>
              </w:rPr>
            </w:pPr>
          </w:p>
        </w:tc>
        <w:tc>
          <w:tcPr>
            <w:tcW w:w="261" w:type="dxa"/>
            <w:tcBorders>
              <w:top w:val="single" w:sz="4" w:space="0" w:color="auto"/>
              <w:left w:val="single" w:sz="4" w:space="0" w:color="auto"/>
              <w:bottom w:val="single" w:sz="4" w:space="0" w:color="auto"/>
              <w:right w:val="single" w:sz="4" w:space="0" w:color="auto"/>
            </w:tcBorders>
          </w:tcPr>
          <w:p w14:paraId="71C42B32" w14:textId="77777777" w:rsidR="0059790B" w:rsidRPr="006A0B80" w:rsidRDefault="0059790B" w:rsidP="0059790B">
            <w:pPr>
              <w:spacing w:before="40" w:after="40"/>
              <w:jc w:val="center"/>
              <w:rPr>
                <w:b/>
                <w:bCs/>
                <w:color w:val="000000"/>
                <w:sz w:val="20"/>
                <w:szCs w:val="20"/>
              </w:rPr>
            </w:pPr>
          </w:p>
        </w:tc>
        <w:tc>
          <w:tcPr>
            <w:tcW w:w="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A1175" w14:textId="77777777" w:rsidR="0059790B" w:rsidRPr="006A0B80" w:rsidRDefault="0059790B" w:rsidP="0059790B">
            <w:pPr>
              <w:spacing w:before="40" w:after="40"/>
              <w:jc w:val="center"/>
              <w:rPr>
                <w:b/>
                <w:bCs/>
                <w:color w:val="000000"/>
                <w:sz w:val="20"/>
                <w:szCs w:val="20"/>
              </w:rPr>
            </w:pP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C6562" w14:textId="77777777" w:rsidR="0059790B" w:rsidRPr="006A0B80" w:rsidRDefault="0059790B" w:rsidP="0059790B">
            <w:pPr>
              <w:spacing w:before="40" w:after="40"/>
              <w:jc w:val="center"/>
              <w:rPr>
                <w:b/>
                <w:bCs/>
                <w:color w:val="00B050"/>
                <w:sz w:val="20"/>
                <w:szCs w:val="20"/>
              </w:rPr>
            </w:pPr>
            <w:r w:rsidRPr="006A0B80">
              <w:rPr>
                <w:b/>
                <w:bCs/>
                <w:color w:val="00B050"/>
                <w:sz w:val="20"/>
                <w:szCs w:val="20"/>
              </w:rPr>
              <w:t> </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A3D10" w14:textId="77777777" w:rsidR="0059790B" w:rsidRPr="006A0B80" w:rsidRDefault="0059790B" w:rsidP="0059790B">
            <w:pPr>
              <w:spacing w:before="40" w:after="40"/>
              <w:jc w:val="center"/>
              <w:rPr>
                <w:b/>
                <w:bCs/>
                <w:color w:val="00B050"/>
                <w:sz w:val="20"/>
                <w:szCs w:val="20"/>
              </w:rPr>
            </w:pPr>
            <w:r w:rsidRPr="006A0B80">
              <w:rPr>
                <w:b/>
                <w:bCs/>
                <w:color w:val="00B050"/>
                <w:sz w:val="20"/>
                <w:szCs w:val="20"/>
              </w:rPr>
              <w:t> </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56E33" w14:textId="77777777" w:rsidR="0059790B" w:rsidRPr="006A0B80" w:rsidRDefault="0059790B" w:rsidP="0059790B">
            <w:pPr>
              <w:spacing w:before="40" w:after="40"/>
              <w:jc w:val="center"/>
              <w:rPr>
                <w:b/>
                <w:bCs/>
                <w:color w:val="00B050"/>
                <w:sz w:val="20"/>
                <w:szCs w:val="20"/>
              </w:rPr>
            </w:pPr>
            <w:r w:rsidRPr="006A0B80">
              <w:rPr>
                <w:b/>
                <w:bCs/>
                <w:color w:val="00B050"/>
                <w:sz w:val="20"/>
                <w:szCs w:val="20"/>
              </w:rPr>
              <w:t> </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156C5" w14:textId="77777777" w:rsidR="0059790B" w:rsidRPr="006A0B80" w:rsidRDefault="0059790B" w:rsidP="0059790B">
            <w:pPr>
              <w:spacing w:before="40" w:after="40"/>
              <w:jc w:val="center"/>
              <w:rPr>
                <w:b/>
                <w:bCs/>
                <w:color w:val="00B050"/>
                <w:sz w:val="20"/>
                <w:szCs w:val="20"/>
              </w:rPr>
            </w:pPr>
            <w:r w:rsidRPr="006A0B80">
              <w:rPr>
                <w:b/>
                <w:bCs/>
                <w:color w:val="00B050"/>
                <w:sz w:val="20"/>
                <w:szCs w:val="20"/>
              </w:rPr>
              <w:t> </w:t>
            </w:r>
          </w:p>
        </w:tc>
        <w:tc>
          <w:tcPr>
            <w:tcW w:w="3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A9EE8" w14:textId="77777777" w:rsidR="0059790B" w:rsidRPr="006A0B80" w:rsidRDefault="0059790B" w:rsidP="0059790B">
            <w:pPr>
              <w:spacing w:before="40" w:after="40"/>
              <w:jc w:val="center"/>
              <w:rPr>
                <w:b/>
                <w:bCs/>
                <w:color w:val="00B050"/>
                <w:sz w:val="20"/>
                <w:szCs w:val="20"/>
              </w:rPr>
            </w:pPr>
            <w:r w:rsidRPr="006A0B80">
              <w:rPr>
                <w:b/>
                <w:bCs/>
                <w:color w:val="00B050"/>
                <w:sz w:val="20"/>
                <w:szCs w:val="20"/>
              </w:rPr>
              <w:t> </w:t>
            </w:r>
          </w:p>
        </w:tc>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EEDDD" w14:textId="77777777" w:rsidR="0059790B" w:rsidRPr="006A0B80" w:rsidRDefault="0059790B" w:rsidP="0059790B">
            <w:pPr>
              <w:spacing w:before="40" w:after="40"/>
              <w:jc w:val="center"/>
              <w:rPr>
                <w:b/>
                <w:bCs/>
                <w:color w:val="00B050"/>
                <w:sz w:val="20"/>
                <w:szCs w:val="20"/>
              </w:rPr>
            </w:pPr>
            <w:r w:rsidRPr="006A0B80">
              <w:rPr>
                <w:b/>
                <w:bCs/>
                <w:color w:val="00B050"/>
                <w:sz w:val="20"/>
                <w:szCs w:val="20"/>
              </w:rPr>
              <w:t> </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83159" w14:textId="77777777" w:rsidR="0059790B" w:rsidRPr="006A0B80" w:rsidRDefault="0059790B" w:rsidP="0059790B">
            <w:pPr>
              <w:spacing w:before="40" w:after="40"/>
              <w:jc w:val="center"/>
              <w:rPr>
                <w:b/>
                <w:bCs/>
                <w:color w:val="00B050"/>
                <w:sz w:val="20"/>
                <w:szCs w:val="20"/>
              </w:rPr>
            </w:pPr>
            <w:r w:rsidRPr="006A0B80">
              <w:rPr>
                <w:b/>
                <w:bCs/>
                <w:color w:val="00B050"/>
                <w:sz w:val="20"/>
                <w:szCs w:val="20"/>
              </w:rPr>
              <w:t> </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9D2C4" w14:textId="77777777" w:rsidR="0059790B" w:rsidRPr="006A0B80" w:rsidRDefault="0059790B" w:rsidP="0059790B">
            <w:pPr>
              <w:spacing w:before="40" w:after="40"/>
              <w:jc w:val="center"/>
              <w:rPr>
                <w:b/>
                <w:bCs/>
                <w:color w:val="00B050"/>
                <w:sz w:val="20"/>
                <w:szCs w:val="20"/>
              </w:rPr>
            </w:pPr>
            <w:r w:rsidRPr="006A0B80">
              <w:rPr>
                <w:b/>
                <w:bCs/>
                <w:color w:val="00B050"/>
                <w:sz w:val="20"/>
                <w:szCs w:val="20"/>
              </w:rPr>
              <w:t> </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75BDB" w14:textId="77777777" w:rsidR="0059790B" w:rsidRPr="006A0B80" w:rsidRDefault="0059790B" w:rsidP="0059790B">
            <w:pPr>
              <w:spacing w:before="40" w:after="40"/>
              <w:jc w:val="center"/>
              <w:rPr>
                <w:b/>
                <w:bCs/>
                <w:color w:val="00B050"/>
                <w:sz w:val="20"/>
                <w:szCs w:val="20"/>
              </w:rPr>
            </w:pPr>
            <w:r w:rsidRPr="006A0B80">
              <w:rPr>
                <w:b/>
                <w:bCs/>
                <w:color w:val="00B050"/>
                <w:sz w:val="20"/>
                <w:szCs w:val="20"/>
              </w:rPr>
              <w:t> </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BB24E" w14:textId="77777777" w:rsidR="0059790B" w:rsidRPr="006A0B80" w:rsidRDefault="0059790B" w:rsidP="0059790B">
            <w:pPr>
              <w:spacing w:before="40" w:after="40"/>
              <w:jc w:val="center"/>
              <w:rPr>
                <w:b/>
                <w:bCs/>
                <w:color w:val="00B050"/>
                <w:sz w:val="20"/>
                <w:szCs w:val="20"/>
              </w:rPr>
            </w:pPr>
            <w:r w:rsidRPr="006A0B80">
              <w:rPr>
                <w:b/>
                <w:bCs/>
                <w:color w:val="00B050"/>
                <w:sz w:val="20"/>
                <w:szCs w:val="20"/>
              </w:rPr>
              <w:t> </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43AB1" w14:textId="77777777" w:rsidR="0059790B" w:rsidRPr="006A0B80" w:rsidRDefault="0059790B" w:rsidP="0059790B">
            <w:pPr>
              <w:spacing w:before="40" w:after="40"/>
              <w:jc w:val="center"/>
              <w:rPr>
                <w:b/>
                <w:bCs/>
                <w:color w:val="000000"/>
                <w:sz w:val="20"/>
                <w:szCs w:val="20"/>
              </w:rPr>
            </w:pPr>
            <w:r w:rsidRPr="006A0B80">
              <w:rPr>
                <w:b/>
                <w:bCs/>
                <w:color w:val="000000"/>
                <w:sz w:val="20"/>
                <w:szCs w:val="20"/>
              </w:rPr>
              <w:t> </w:t>
            </w:r>
          </w:p>
        </w:tc>
        <w:tc>
          <w:tcPr>
            <w:tcW w:w="7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C88C5" w14:textId="77777777" w:rsidR="0059790B" w:rsidRPr="006A0B80" w:rsidRDefault="0059790B" w:rsidP="0059790B">
            <w:pPr>
              <w:spacing w:before="40" w:after="40"/>
              <w:jc w:val="center"/>
              <w:rPr>
                <w:b/>
                <w:bCs/>
                <w:color w:val="000000"/>
                <w:sz w:val="20"/>
                <w:szCs w:val="20"/>
              </w:rPr>
            </w:pPr>
            <w:r w:rsidRPr="006A0B80">
              <w:rPr>
                <w:b/>
                <w:bCs/>
                <w:color w:val="000000"/>
                <w:sz w:val="20"/>
                <w:szCs w:val="20"/>
              </w:rPr>
              <w:t> </w:t>
            </w:r>
          </w:p>
        </w:tc>
        <w:tc>
          <w:tcPr>
            <w:tcW w:w="3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7B9B1" w14:textId="77777777" w:rsidR="0059790B" w:rsidRPr="006A0B80" w:rsidRDefault="0059790B" w:rsidP="0059790B">
            <w:pPr>
              <w:spacing w:before="40" w:after="40"/>
              <w:jc w:val="center"/>
              <w:rPr>
                <w:b/>
                <w:bCs/>
                <w:color w:val="000000"/>
                <w:sz w:val="20"/>
                <w:szCs w:val="20"/>
              </w:rPr>
            </w:pPr>
            <w:r w:rsidRPr="006A0B80">
              <w:rPr>
                <w:b/>
                <w:bCs/>
                <w:color w:val="000000"/>
                <w:sz w:val="20"/>
                <w:szCs w:val="20"/>
              </w:rPr>
              <w:t> </w:t>
            </w:r>
          </w:p>
        </w:tc>
      </w:tr>
      <w:tr w:rsidR="0059790B" w:rsidRPr="00A43427" w14:paraId="3E47B5E6" w14:textId="77777777" w:rsidTr="0059790B">
        <w:trPr>
          <w:trHeight w:val="307"/>
        </w:trPr>
        <w:tc>
          <w:tcPr>
            <w:tcW w:w="2588" w:type="dxa"/>
            <w:gridSpan w:val="2"/>
            <w:tcBorders>
              <w:top w:val="nil"/>
              <w:left w:val="single" w:sz="4" w:space="0" w:color="auto"/>
              <w:bottom w:val="single" w:sz="4" w:space="0" w:color="auto"/>
              <w:right w:val="nil"/>
            </w:tcBorders>
            <w:shd w:val="clear" w:color="auto" w:fill="F2F2F2" w:themeFill="background1" w:themeFillShade="F2"/>
            <w:noWrap/>
            <w:vAlign w:val="bottom"/>
            <w:hideMark/>
          </w:tcPr>
          <w:p w14:paraId="044A338B" w14:textId="77777777" w:rsidR="0059790B" w:rsidRPr="006A0B80" w:rsidRDefault="0059790B" w:rsidP="0059790B">
            <w:pPr>
              <w:spacing w:before="40" w:after="40"/>
              <w:rPr>
                <w:color w:val="000000"/>
                <w:sz w:val="20"/>
                <w:szCs w:val="20"/>
              </w:rPr>
            </w:pPr>
            <w:r w:rsidRPr="006A0B80">
              <w:rPr>
                <w:color w:val="000000"/>
                <w:sz w:val="20"/>
                <w:szCs w:val="20"/>
              </w:rPr>
              <w:t>Assessment and feedback</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80B87" w14:textId="77777777" w:rsidR="0059790B" w:rsidRPr="006A0B80" w:rsidRDefault="0059790B" w:rsidP="0059790B">
            <w:pPr>
              <w:spacing w:before="40" w:after="40"/>
              <w:jc w:val="right"/>
              <w:rPr>
                <w:color w:val="000000"/>
                <w:sz w:val="20"/>
                <w:szCs w:val="20"/>
              </w:rPr>
            </w:pPr>
            <w:r w:rsidRPr="006A0B80">
              <w:rPr>
                <w:color w:val="000000"/>
                <w:sz w:val="20"/>
                <w:szCs w:val="20"/>
              </w:rPr>
              <w:t>66.7</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EFE14" w14:textId="77777777" w:rsidR="0059790B" w:rsidRPr="006A0B80" w:rsidRDefault="0059790B" w:rsidP="0059790B">
            <w:pPr>
              <w:spacing w:before="40" w:after="40"/>
              <w:jc w:val="right"/>
              <w:rPr>
                <w:color w:val="000000"/>
                <w:sz w:val="20"/>
                <w:szCs w:val="20"/>
              </w:rPr>
            </w:pPr>
            <w:r w:rsidRPr="006A0B80">
              <w:rPr>
                <w:color w:val="000000"/>
                <w:sz w:val="20"/>
                <w:szCs w:val="20"/>
              </w:rPr>
              <w:t>71.7</w:t>
            </w:r>
          </w:p>
        </w:tc>
        <w:tc>
          <w:tcPr>
            <w:tcW w:w="788"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79F61C67" w14:textId="77777777" w:rsidR="0059790B" w:rsidRPr="006A0B80" w:rsidRDefault="0059790B" w:rsidP="0059790B">
            <w:pPr>
              <w:spacing w:before="40" w:after="40"/>
              <w:jc w:val="right"/>
              <w:rPr>
                <w:color w:val="000000"/>
                <w:sz w:val="20"/>
                <w:szCs w:val="20"/>
              </w:rPr>
            </w:pPr>
            <w:r w:rsidRPr="006A0B80">
              <w:rPr>
                <w:color w:val="000000"/>
                <w:sz w:val="20"/>
                <w:szCs w:val="20"/>
              </w:rPr>
              <w:t>-5.1</w:t>
            </w:r>
          </w:p>
        </w:tc>
        <w:tc>
          <w:tcPr>
            <w:tcW w:w="655"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1ACA522" w14:textId="77777777" w:rsidR="0059790B" w:rsidRPr="006A0B80" w:rsidRDefault="0059790B" w:rsidP="0059790B">
            <w:pPr>
              <w:spacing w:before="40" w:after="40"/>
              <w:jc w:val="right"/>
              <w:rPr>
                <w:color w:val="000000"/>
                <w:sz w:val="20"/>
                <w:szCs w:val="20"/>
              </w:rPr>
            </w:pPr>
            <w:r w:rsidRPr="006A0B80">
              <w:rPr>
                <w:color w:val="000000"/>
                <w:sz w:val="20"/>
                <w:szCs w:val="20"/>
              </w:rPr>
              <w:t>-2.1</w:t>
            </w:r>
          </w:p>
        </w:tc>
        <w:tc>
          <w:tcPr>
            <w:tcW w:w="654"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0748042A" w14:textId="77777777" w:rsidR="0059790B" w:rsidRPr="006A0B80" w:rsidRDefault="0059790B" w:rsidP="0059790B">
            <w:pPr>
              <w:spacing w:before="40" w:after="40"/>
              <w:jc w:val="center"/>
              <w:rPr>
                <w:b/>
                <w:bCs/>
                <w:color w:val="000000"/>
                <w:sz w:val="20"/>
                <w:szCs w:val="20"/>
              </w:rPr>
            </w:pPr>
            <w:r w:rsidRPr="006A0B80">
              <w:rPr>
                <w:b/>
                <w:bCs/>
                <w:color w:val="000000" w:themeColor="text1"/>
                <w:sz w:val="20"/>
                <w:szCs w:val="20"/>
              </w:rPr>
              <w:t>̶</w:t>
            </w:r>
          </w:p>
        </w:tc>
        <w:tc>
          <w:tcPr>
            <w:tcW w:w="393" w:type="dxa"/>
            <w:tcBorders>
              <w:top w:val="single" w:sz="4" w:space="0" w:color="auto"/>
              <w:left w:val="single" w:sz="4" w:space="0" w:color="auto"/>
              <w:bottom w:val="single" w:sz="4" w:space="0" w:color="auto"/>
              <w:right w:val="single" w:sz="4" w:space="0" w:color="auto"/>
            </w:tcBorders>
          </w:tcPr>
          <w:p w14:paraId="70D467A4" w14:textId="77777777" w:rsidR="0059790B" w:rsidRPr="006A0B80" w:rsidRDefault="0059790B" w:rsidP="0059790B">
            <w:pPr>
              <w:spacing w:before="40" w:after="40"/>
              <w:jc w:val="center"/>
              <w:rPr>
                <w:b/>
                <w:bCs/>
                <w:color w:val="000000"/>
                <w:sz w:val="20"/>
                <w:szCs w:val="20"/>
              </w:rPr>
            </w:pPr>
          </w:p>
        </w:tc>
        <w:tc>
          <w:tcPr>
            <w:tcW w:w="261" w:type="dxa"/>
            <w:tcBorders>
              <w:top w:val="single" w:sz="4" w:space="0" w:color="auto"/>
              <w:left w:val="single" w:sz="4" w:space="0" w:color="auto"/>
              <w:bottom w:val="single" w:sz="4" w:space="0" w:color="auto"/>
              <w:right w:val="single" w:sz="4" w:space="0" w:color="auto"/>
            </w:tcBorders>
          </w:tcPr>
          <w:p w14:paraId="1F98FB1C" w14:textId="77777777" w:rsidR="0059790B" w:rsidRPr="006A0B80" w:rsidRDefault="0059790B" w:rsidP="0059790B">
            <w:pPr>
              <w:spacing w:before="40" w:after="40"/>
              <w:jc w:val="center"/>
              <w:rPr>
                <w:b/>
                <w:bCs/>
                <w:color w:val="000000"/>
                <w:sz w:val="20"/>
                <w:szCs w:val="20"/>
              </w:rPr>
            </w:pPr>
          </w:p>
        </w:tc>
        <w:tc>
          <w:tcPr>
            <w:tcW w:w="394"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AE636D1" w14:textId="77777777" w:rsidR="0059790B" w:rsidRPr="006A0B80" w:rsidRDefault="0059790B" w:rsidP="0059790B">
            <w:pPr>
              <w:spacing w:before="40" w:after="40"/>
              <w:jc w:val="center"/>
              <w:rPr>
                <w:b/>
                <w:bCs/>
                <w:color w:val="000000"/>
                <w:sz w:val="20"/>
                <w:szCs w:val="20"/>
              </w:rPr>
            </w:pPr>
            <w:r w:rsidRPr="00C10FEA">
              <w:rPr>
                <w:b/>
                <w:bCs/>
                <w:color w:val="000000"/>
                <w:sz w:val="20"/>
                <w:szCs w:val="20"/>
              </w:rPr>
              <w:t>̶</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1BB00" w14:textId="77777777" w:rsidR="0059790B" w:rsidRPr="006A0B80" w:rsidRDefault="0059790B" w:rsidP="0059790B">
            <w:pPr>
              <w:spacing w:before="40" w:after="40"/>
              <w:jc w:val="center"/>
              <w:rPr>
                <w:b/>
                <w:bCs/>
                <w:color w:val="00B050"/>
                <w:sz w:val="20"/>
                <w:szCs w:val="20"/>
              </w:rPr>
            </w:pPr>
            <w:r w:rsidRPr="006A0B80">
              <w:rPr>
                <w:b/>
                <w:bCs/>
                <w:color w:val="00B050"/>
                <w:sz w:val="20"/>
                <w:szCs w:val="20"/>
              </w:rPr>
              <w:t> </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FEF5B" w14:textId="77777777" w:rsidR="0059790B" w:rsidRPr="006A0B80" w:rsidRDefault="0059790B" w:rsidP="0059790B">
            <w:pPr>
              <w:spacing w:before="40" w:after="40"/>
              <w:jc w:val="center"/>
              <w:rPr>
                <w:b/>
                <w:bCs/>
                <w:color w:val="00B050"/>
                <w:sz w:val="20"/>
                <w:szCs w:val="20"/>
              </w:rPr>
            </w:pPr>
            <w:r w:rsidRPr="006A0B80">
              <w:rPr>
                <w:b/>
                <w:bCs/>
                <w:color w:val="00B050"/>
                <w:sz w:val="20"/>
                <w:szCs w:val="20"/>
              </w:rPr>
              <w:t> </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E2F61" w14:textId="77777777" w:rsidR="0059790B" w:rsidRPr="006A0B80" w:rsidRDefault="0059790B" w:rsidP="0059790B">
            <w:pPr>
              <w:spacing w:before="40" w:after="40"/>
              <w:jc w:val="center"/>
              <w:rPr>
                <w:b/>
                <w:bCs/>
                <w:color w:val="00B050"/>
                <w:sz w:val="20"/>
                <w:szCs w:val="20"/>
              </w:rPr>
            </w:pPr>
            <w:r w:rsidRPr="006A0B80">
              <w:rPr>
                <w:b/>
                <w:bCs/>
                <w:color w:val="00B050"/>
                <w:sz w:val="20"/>
                <w:szCs w:val="20"/>
              </w:rPr>
              <w:t> </w:t>
            </w:r>
          </w:p>
        </w:tc>
        <w:tc>
          <w:tcPr>
            <w:tcW w:w="654"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EBC745B" w14:textId="77777777" w:rsidR="0059790B" w:rsidRPr="006A0B80" w:rsidRDefault="0059790B" w:rsidP="0059790B">
            <w:pPr>
              <w:spacing w:before="40" w:after="40"/>
              <w:jc w:val="center"/>
              <w:rPr>
                <w:b/>
                <w:bCs/>
                <w:color w:val="000000" w:themeColor="text1"/>
                <w:sz w:val="20"/>
                <w:szCs w:val="20"/>
              </w:rPr>
            </w:pPr>
            <w:r w:rsidRPr="006A0B80">
              <w:rPr>
                <w:b/>
                <w:bCs/>
                <w:color w:val="000000" w:themeColor="text1"/>
                <w:sz w:val="20"/>
                <w:szCs w:val="20"/>
              </w:rPr>
              <w:t>̶</w:t>
            </w:r>
          </w:p>
        </w:tc>
        <w:tc>
          <w:tcPr>
            <w:tcW w:w="3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891EA" w14:textId="77777777" w:rsidR="0059790B" w:rsidRPr="006A0B80" w:rsidRDefault="0059790B" w:rsidP="0059790B">
            <w:pPr>
              <w:spacing w:before="40" w:after="40"/>
              <w:jc w:val="center"/>
              <w:rPr>
                <w:b/>
                <w:bCs/>
                <w:color w:val="000000" w:themeColor="text1"/>
                <w:sz w:val="20"/>
                <w:szCs w:val="20"/>
              </w:rPr>
            </w:pPr>
            <w:r w:rsidRPr="006A0B80">
              <w:rPr>
                <w:b/>
                <w:bCs/>
                <w:color w:val="000000" w:themeColor="text1"/>
                <w:sz w:val="20"/>
                <w:szCs w:val="20"/>
              </w:rPr>
              <w:t> </w:t>
            </w:r>
          </w:p>
        </w:tc>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28318" w14:textId="77777777" w:rsidR="0059790B" w:rsidRPr="006A0B80" w:rsidRDefault="0059790B" w:rsidP="0059790B">
            <w:pPr>
              <w:spacing w:before="40" w:after="40"/>
              <w:jc w:val="center"/>
              <w:rPr>
                <w:b/>
                <w:bCs/>
                <w:color w:val="000000" w:themeColor="text1"/>
                <w:sz w:val="20"/>
                <w:szCs w:val="20"/>
              </w:rPr>
            </w:pPr>
            <w:r w:rsidRPr="006A0B80">
              <w:rPr>
                <w:b/>
                <w:bCs/>
                <w:color w:val="000000" w:themeColor="text1"/>
                <w:sz w:val="20"/>
                <w:szCs w:val="20"/>
              </w:rPr>
              <w:t> </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BF554" w14:textId="77777777" w:rsidR="0059790B" w:rsidRPr="006A0B80" w:rsidRDefault="0059790B" w:rsidP="0059790B">
            <w:pPr>
              <w:spacing w:before="40" w:after="40"/>
              <w:jc w:val="center"/>
              <w:rPr>
                <w:b/>
                <w:bCs/>
                <w:color w:val="000000" w:themeColor="text1"/>
                <w:sz w:val="20"/>
                <w:szCs w:val="20"/>
              </w:rPr>
            </w:pPr>
            <w:r w:rsidRPr="006A0B80">
              <w:rPr>
                <w:b/>
                <w:bCs/>
                <w:color w:val="000000" w:themeColor="text1"/>
                <w:sz w:val="20"/>
                <w:szCs w:val="20"/>
              </w:rPr>
              <w:t> </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F678B" w14:textId="77777777" w:rsidR="0059790B" w:rsidRPr="006A0B80" w:rsidRDefault="0059790B" w:rsidP="0059790B">
            <w:pPr>
              <w:spacing w:before="40" w:after="40"/>
              <w:jc w:val="center"/>
              <w:rPr>
                <w:b/>
                <w:bCs/>
                <w:color w:val="000000" w:themeColor="text1"/>
                <w:sz w:val="20"/>
                <w:szCs w:val="20"/>
              </w:rPr>
            </w:pPr>
            <w:r w:rsidRPr="006A0B80">
              <w:rPr>
                <w:b/>
                <w:bCs/>
                <w:color w:val="000000" w:themeColor="text1"/>
                <w:sz w:val="20"/>
                <w:szCs w:val="20"/>
              </w:rPr>
              <w:t> </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3F2AD" w14:textId="77777777" w:rsidR="0059790B" w:rsidRPr="006A0B80" w:rsidRDefault="0059790B" w:rsidP="0059790B">
            <w:pPr>
              <w:spacing w:before="40" w:after="40"/>
              <w:jc w:val="center"/>
              <w:rPr>
                <w:b/>
                <w:bCs/>
                <w:color w:val="000000" w:themeColor="text1"/>
                <w:sz w:val="20"/>
                <w:szCs w:val="20"/>
              </w:rPr>
            </w:pPr>
            <w:r w:rsidRPr="006A0B80">
              <w:rPr>
                <w:b/>
                <w:bCs/>
                <w:color w:val="000000" w:themeColor="text1"/>
                <w:sz w:val="20"/>
                <w:szCs w:val="20"/>
              </w:rPr>
              <w:t> </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18CA6" w14:textId="77777777" w:rsidR="0059790B" w:rsidRPr="006A0B80" w:rsidRDefault="0059790B" w:rsidP="0059790B">
            <w:pPr>
              <w:spacing w:before="40" w:after="40"/>
              <w:jc w:val="center"/>
              <w:rPr>
                <w:b/>
                <w:bCs/>
                <w:color w:val="000000" w:themeColor="text1"/>
                <w:sz w:val="20"/>
                <w:szCs w:val="20"/>
              </w:rPr>
            </w:pPr>
            <w:r w:rsidRPr="006A0B80">
              <w:rPr>
                <w:b/>
                <w:bCs/>
                <w:color w:val="000000" w:themeColor="text1"/>
                <w:sz w:val="20"/>
                <w:szCs w:val="20"/>
              </w:rPr>
              <w:t> </w:t>
            </w:r>
          </w:p>
        </w:tc>
        <w:tc>
          <w:tcPr>
            <w:tcW w:w="655"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76D7FD2" w14:textId="77777777" w:rsidR="0059790B" w:rsidRPr="006A0B80" w:rsidRDefault="0059790B" w:rsidP="0059790B">
            <w:pPr>
              <w:spacing w:before="40" w:after="40"/>
              <w:jc w:val="center"/>
              <w:rPr>
                <w:b/>
                <w:bCs/>
                <w:color w:val="000000" w:themeColor="text1"/>
                <w:sz w:val="20"/>
                <w:szCs w:val="20"/>
              </w:rPr>
            </w:pPr>
            <w:r w:rsidRPr="006A0B80">
              <w:rPr>
                <w:b/>
                <w:bCs/>
                <w:color w:val="000000" w:themeColor="text1"/>
                <w:sz w:val="20"/>
                <w:szCs w:val="20"/>
              </w:rPr>
              <w:t>̶</w:t>
            </w:r>
          </w:p>
        </w:tc>
        <w:tc>
          <w:tcPr>
            <w:tcW w:w="7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D41A8" w14:textId="77777777" w:rsidR="0059790B" w:rsidRPr="006A0B80" w:rsidRDefault="0059790B" w:rsidP="0059790B">
            <w:pPr>
              <w:spacing w:before="40" w:after="40"/>
              <w:jc w:val="center"/>
              <w:rPr>
                <w:b/>
                <w:bCs/>
                <w:color w:val="000000" w:themeColor="text1"/>
                <w:sz w:val="20"/>
                <w:szCs w:val="20"/>
              </w:rPr>
            </w:pPr>
            <w:r w:rsidRPr="006A0B80">
              <w:rPr>
                <w:b/>
                <w:bCs/>
                <w:color w:val="000000" w:themeColor="text1"/>
                <w:sz w:val="20"/>
                <w:szCs w:val="20"/>
              </w:rPr>
              <w:t> </w:t>
            </w:r>
          </w:p>
        </w:tc>
        <w:tc>
          <w:tcPr>
            <w:tcW w:w="3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C7D81" w14:textId="77777777" w:rsidR="0059790B" w:rsidRPr="006A0B80" w:rsidRDefault="0059790B" w:rsidP="0059790B">
            <w:pPr>
              <w:spacing w:before="40" w:after="40"/>
              <w:jc w:val="center"/>
              <w:rPr>
                <w:b/>
                <w:bCs/>
                <w:color w:val="00B050"/>
                <w:sz w:val="20"/>
                <w:szCs w:val="20"/>
              </w:rPr>
            </w:pPr>
            <w:r w:rsidRPr="006A0B80">
              <w:rPr>
                <w:b/>
                <w:bCs/>
                <w:color w:val="00B050"/>
                <w:sz w:val="20"/>
                <w:szCs w:val="20"/>
              </w:rPr>
              <w:t> </w:t>
            </w:r>
          </w:p>
        </w:tc>
      </w:tr>
      <w:tr w:rsidR="0059790B" w:rsidRPr="00A43427" w14:paraId="096EB551" w14:textId="77777777" w:rsidTr="0059790B">
        <w:trPr>
          <w:trHeight w:val="307"/>
        </w:trPr>
        <w:tc>
          <w:tcPr>
            <w:tcW w:w="2588" w:type="dxa"/>
            <w:gridSpan w:val="2"/>
            <w:tcBorders>
              <w:top w:val="nil"/>
              <w:left w:val="single" w:sz="4" w:space="0" w:color="auto"/>
              <w:bottom w:val="single" w:sz="4" w:space="0" w:color="auto"/>
              <w:right w:val="nil"/>
            </w:tcBorders>
            <w:shd w:val="clear" w:color="auto" w:fill="F2F2F2" w:themeFill="background1" w:themeFillShade="F2"/>
            <w:noWrap/>
            <w:vAlign w:val="bottom"/>
            <w:hideMark/>
          </w:tcPr>
          <w:p w14:paraId="601A1218" w14:textId="77777777" w:rsidR="0059790B" w:rsidRPr="006A0B80" w:rsidRDefault="0059790B" w:rsidP="0059790B">
            <w:pPr>
              <w:spacing w:before="40" w:after="40"/>
              <w:rPr>
                <w:color w:val="000000"/>
                <w:sz w:val="20"/>
                <w:szCs w:val="20"/>
              </w:rPr>
            </w:pPr>
            <w:r w:rsidRPr="006A0B80">
              <w:rPr>
                <w:color w:val="000000"/>
                <w:sz w:val="20"/>
                <w:szCs w:val="20"/>
              </w:rPr>
              <w:t>Academic support</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4FEE1" w14:textId="77777777" w:rsidR="0059790B" w:rsidRPr="006A0B80" w:rsidRDefault="0059790B" w:rsidP="0059790B">
            <w:pPr>
              <w:spacing w:before="40" w:after="40"/>
              <w:jc w:val="right"/>
              <w:rPr>
                <w:color w:val="000000"/>
                <w:sz w:val="20"/>
                <w:szCs w:val="20"/>
              </w:rPr>
            </w:pPr>
            <w:r w:rsidRPr="006A0B80">
              <w:rPr>
                <w:color w:val="000000"/>
                <w:sz w:val="20"/>
                <w:szCs w:val="20"/>
              </w:rPr>
              <w:t>79.2</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2E79E" w14:textId="77777777" w:rsidR="0059790B" w:rsidRPr="006A0B80" w:rsidRDefault="0059790B" w:rsidP="0059790B">
            <w:pPr>
              <w:spacing w:before="40" w:after="40"/>
              <w:jc w:val="right"/>
              <w:rPr>
                <w:color w:val="000000"/>
                <w:sz w:val="20"/>
                <w:szCs w:val="20"/>
              </w:rPr>
            </w:pPr>
            <w:r w:rsidRPr="006A0B80">
              <w:rPr>
                <w:color w:val="000000"/>
                <w:sz w:val="20"/>
                <w:szCs w:val="20"/>
              </w:rPr>
              <w:t>80.5</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C3EC2" w14:textId="77777777" w:rsidR="0059790B" w:rsidRPr="006A0B80" w:rsidRDefault="0059790B" w:rsidP="0059790B">
            <w:pPr>
              <w:spacing w:before="40" w:after="40"/>
              <w:jc w:val="right"/>
              <w:rPr>
                <w:color w:val="000000"/>
                <w:sz w:val="20"/>
                <w:szCs w:val="20"/>
              </w:rPr>
            </w:pPr>
            <w:r w:rsidRPr="006A0B80">
              <w:rPr>
                <w:color w:val="000000"/>
                <w:sz w:val="20"/>
                <w:szCs w:val="20"/>
              </w:rPr>
              <w:t>-1.3</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098AE" w14:textId="77777777" w:rsidR="0059790B" w:rsidRPr="006A0B80" w:rsidRDefault="0059790B" w:rsidP="0059790B">
            <w:pPr>
              <w:spacing w:before="40" w:after="40"/>
              <w:jc w:val="right"/>
              <w:rPr>
                <w:color w:val="000000"/>
                <w:sz w:val="20"/>
                <w:szCs w:val="20"/>
              </w:rPr>
            </w:pPr>
            <w:r w:rsidRPr="006A0B80">
              <w:rPr>
                <w:color w:val="000000"/>
                <w:sz w:val="20"/>
                <w:szCs w:val="20"/>
              </w:rPr>
              <w:t>-0.6</w:t>
            </w:r>
          </w:p>
        </w:tc>
        <w:tc>
          <w:tcPr>
            <w:tcW w:w="654" w:type="dxa"/>
            <w:tcBorders>
              <w:top w:val="single" w:sz="4" w:space="0" w:color="auto"/>
              <w:left w:val="nil"/>
              <w:bottom w:val="single" w:sz="4" w:space="0" w:color="auto"/>
              <w:right w:val="single" w:sz="4" w:space="0" w:color="auto"/>
            </w:tcBorders>
          </w:tcPr>
          <w:p w14:paraId="7F0E33E2" w14:textId="77777777" w:rsidR="0059790B" w:rsidRPr="006A0B80" w:rsidRDefault="0059790B" w:rsidP="0059790B">
            <w:pPr>
              <w:spacing w:before="40" w:after="40"/>
              <w:jc w:val="center"/>
              <w:rPr>
                <w:b/>
                <w:bCs/>
                <w:color w:val="000000"/>
                <w:sz w:val="20"/>
                <w:szCs w:val="20"/>
              </w:rPr>
            </w:pPr>
          </w:p>
        </w:tc>
        <w:tc>
          <w:tcPr>
            <w:tcW w:w="393" w:type="dxa"/>
            <w:tcBorders>
              <w:top w:val="single" w:sz="4" w:space="0" w:color="auto"/>
              <w:left w:val="single" w:sz="4" w:space="0" w:color="auto"/>
              <w:bottom w:val="single" w:sz="4" w:space="0" w:color="auto"/>
              <w:right w:val="single" w:sz="4" w:space="0" w:color="auto"/>
            </w:tcBorders>
          </w:tcPr>
          <w:p w14:paraId="5EE95BDD" w14:textId="77777777" w:rsidR="0059790B" w:rsidRPr="006A0B80" w:rsidRDefault="0059790B" w:rsidP="0059790B">
            <w:pPr>
              <w:spacing w:before="40" w:after="40"/>
              <w:jc w:val="center"/>
              <w:rPr>
                <w:b/>
                <w:bCs/>
                <w:color w:val="000000"/>
                <w:sz w:val="20"/>
                <w:szCs w:val="20"/>
              </w:rPr>
            </w:pPr>
          </w:p>
        </w:tc>
        <w:tc>
          <w:tcPr>
            <w:tcW w:w="261" w:type="dxa"/>
            <w:tcBorders>
              <w:top w:val="single" w:sz="4" w:space="0" w:color="auto"/>
              <w:left w:val="single" w:sz="4" w:space="0" w:color="auto"/>
              <w:bottom w:val="single" w:sz="4" w:space="0" w:color="auto"/>
              <w:right w:val="single" w:sz="4" w:space="0" w:color="auto"/>
            </w:tcBorders>
          </w:tcPr>
          <w:p w14:paraId="39760361" w14:textId="77777777" w:rsidR="0059790B" w:rsidRPr="006A0B80" w:rsidRDefault="0059790B" w:rsidP="0059790B">
            <w:pPr>
              <w:spacing w:before="40" w:after="40"/>
              <w:jc w:val="center"/>
              <w:rPr>
                <w:b/>
                <w:bCs/>
                <w:color w:val="000000"/>
                <w:sz w:val="20"/>
                <w:szCs w:val="20"/>
              </w:rPr>
            </w:pPr>
          </w:p>
        </w:tc>
        <w:tc>
          <w:tcPr>
            <w:tcW w:w="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C6EC2" w14:textId="77777777" w:rsidR="0059790B" w:rsidRPr="006A0B80" w:rsidRDefault="0059790B" w:rsidP="0059790B">
            <w:pPr>
              <w:spacing w:before="40" w:after="40"/>
              <w:jc w:val="center"/>
              <w:rPr>
                <w:b/>
                <w:bCs/>
                <w:color w:val="000000"/>
                <w:sz w:val="20"/>
                <w:szCs w:val="20"/>
              </w:rPr>
            </w:pP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21676" w14:textId="77777777" w:rsidR="0059790B" w:rsidRPr="006A0B80" w:rsidRDefault="0059790B" w:rsidP="0059790B">
            <w:pPr>
              <w:spacing w:before="40" w:after="40"/>
              <w:jc w:val="center"/>
              <w:rPr>
                <w:b/>
                <w:bCs/>
                <w:color w:val="00B050"/>
                <w:sz w:val="20"/>
                <w:szCs w:val="20"/>
              </w:rPr>
            </w:pPr>
            <w:r w:rsidRPr="006A0B80">
              <w:rPr>
                <w:b/>
                <w:bCs/>
                <w:color w:val="00B050"/>
                <w:sz w:val="20"/>
                <w:szCs w:val="20"/>
              </w:rPr>
              <w:t> </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4B529" w14:textId="77777777" w:rsidR="0059790B" w:rsidRPr="006A0B80" w:rsidRDefault="0059790B" w:rsidP="0059790B">
            <w:pPr>
              <w:spacing w:before="40" w:after="40"/>
              <w:jc w:val="center"/>
              <w:rPr>
                <w:b/>
                <w:bCs/>
                <w:color w:val="00B050"/>
                <w:sz w:val="20"/>
                <w:szCs w:val="20"/>
              </w:rPr>
            </w:pPr>
            <w:r w:rsidRPr="006A0B80">
              <w:rPr>
                <w:b/>
                <w:bCs/>
                <w:color w:val="00B050"/>
                <w:sz w:val="20"/>
                <w:szCs w:val="20"/>
              </w:rPr>
              <w:t> </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6CF52" w14:textId="77777777" w:rsidR="0059790B" w:rsidRPr="006A0B80" w:rsidRDefault="0059790B" w:rsidP="0059790B">
            <w:pPr>
              <w:spacing w:before="40" w:after="40"/>
              <w:jc w:val="center"/>
              <w:rPr>
                <w:b/>
                <w:bCs/>
                <w:color w:val="00B050"/>
                <w:sz w:val="20"/>
                <w:szCs w:val="20"/>
              </w:rPr>
            </w:pPr>
            <w:r w:rsidRPr="006A0B80">
              <w:rPr>
                <w:b/>
                <w:bCs/>
                <w:color w:val="00B050"/>
                <w:sz w:val="20"/>
                <w:szCs w:val="20"/>
              </w:rPr>
              <w:t> </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C4611" w14:textId="77777777" w:rsidR="0059790B" w:rsidRPr="006A0B80" w:rsidRDefault="0059790B" w:rsidP="0059790B">
            <w:pPr>
              <w:spacing w:before="40" w:after="40"/>
              <w:jc w:val="center"/>
              <w:rPr>
                <w:b/>
                <w:bCs/>
                <w:color w:val="00B050"/>
                <w:sz w:val="20"/>
                <w:szCs w:val="20"/>
              </w:rPr>
            </w:pPr>
            <w:r w:rsidRPr="006A0B80">
              <w:rPr>
                <w:b/>
                <w:bCs/>
                <w:color w:val="00B050"/>
                <w:sz w:val="20"/>
                <w:szCs w:val="20"/>
              </w:rPr>
              <w:t> </w:t>
            </w:r>
          </w:p>
        </w:tc>
        <w:tc>
          <w:tcPr>
            <w:tcW w:w="3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8ECBE" w14:textId="77777777" w:rsidR="0059790B" w:rsidRPr="006A0B80" w:rsidRDefault="0059790B" w:rsidP="0059790B">
            <w:pPr>
              <w:spacing w:before="40" w:after="40"/>
              <w:jc w:val="center"/>
              <w:rPr>
                <w:b/>
                <w:bCs/>
                <w:color w:val="00B050"/>
                <w:sz w:val="20"/>
                <w:szCs w:val="20"/>
              </w:rPr>
            </w:pPr>
            <w:r w:rsidRPr="006A0B80">
              <w:rPr>
                <w:b/>
                <w:bCs/>
                <w:color w:val="00B050"/>
                <w:sz w:val="20"/>
                <w:szCs w:val="20"/>
              </w:rPr>
              <w:t> </w:t>
            </w:r>
          </w:p>
        </w:tc>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F0487" w14:textId="77777777" w:rsidR="0059790B" w:rsidRPr="006A0B80" w:rsidRDefault="0059790B" w:rsidP="0059790B">
            <w:pPr>
              <w:spacing w:before="40" w:after="40"/>
              <w:jc w:val="center"/>
              <w:rPr>
                <w:b/>
                <w:bCs/>
                <w:color w:val="00B050"/>
                <w:sz w:val="20"/>
                <w:szCs w:val="20"/>
              </w:rPr>
            </w:pPr>
            <w:r w:rsidRPr="006A0B80">
              <w:rPr>
                <w:b/>
                <w:bCs/>
                <w:color w:val="00B050"/>
                <w:sz w:val="20"/>
                <w:szCs w:val="20"/>
              </w:rPr>
              <w:t> </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D57CF" w14:textId="77777777" w:rsidR="0059790B" w:rsidRPr="006A0B80" w:rsidRDefault="0059790B" w:rsidP="0059790B">
            <w:pPr>
              <w:spacing w:before="40" w:after="40"/>
              <w:jc w:val="center"/>
              <w:rPr>
                <w:b/>
                <w:bCs/>
                <w:color w:val="00B050"/>
                <w:sz w:val="20"/>
                <w:szCs w:val="20"/>
              </w:rPr>
            </w:pPr>
            <w:r w:rsidRPr="006A0B80">
              <w:rPr>
                <w:b/>
                <w:bCs/>
                <w:color w:val="00B050"/>
                <w:sz w:val="20"/>
                <w:szCs w:val="20"/>
              </w:rPr>
              <w:t> </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E4C7B" w14:textId="77777777" w:rsidR="0059790B" w:rsidRPr="006A0B80" w:rsidRDefault="0059790B" w:rsidP="0059790B">
            <w:pPr>
              <w:spacing w:before="40" w:after="40"/>
              <w:jc w:val="center"/>
              <w:rPr>
                <w:b/>
                <w:bCs/>
                <w:color w:val="00B050"/>
                <w:sz w:val="20"/>
                <w:szCs w:val="20"/>
              </w:rPr>
            </w:pPr>
            <w:r w:rsidRPr="006A0B80">
              <w:rPr>
                <w:b/>
                <w:bCs/>
                <w:color w:val="00B050"/>
                <w:sz w:val="20"/>
                <w:szCs w:val="20"/>
              </w:rPr>
              <w:t> </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8F1F0" w14:textId="77777777" w:rsidR="0059790B" w:rsidRPr="006A0B80" w:rsidRDefault="0059790B" w:rsidP="0059790B">
            <w:pPr>
              <w:spacing w:before="40" w:after="40"/>
              <w:jc w:val="center"/>
              <w:rPr>
                <w:b/>
                <w:bCs/>
                <w:color w:val="00B050"/>
                <w:sz w:val="20"/>
                <w:szCs w:val="20"/>
              </w:rPr>
            </w:pPr>
            <w:r w:rsidRPr="006A0B80">
              <w:rPr>
                <w:b/>
                <w:bCs/>
                <w:color w:val="00B050"/>
                <w:sz w:val="20"/>
                <w:szCs w:val="20"/>
              </w:rPr>
              <w:t> </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64334" w14:textId="77777777" w:rsidR="0059790B" w:rsidRPr="006A0B80" w:rsidRDefault="0059790B" w:rsidP="0059790B">
            <w:pPr>
              <w:spacing w:before="40" w:after="40"/>
              <w:jc w:val="center"/>
              <w:rPr>
                <w:b/>
                <w:bCs/>
                <w:color w:val="00B050"/>
                <w:sz w:val="20"/>
                <w:szCs w:val="20"/>
              </w:rPr>
            </w:pPr>
            <w:r w:rsidRPr="006A0B80">
              <w:rPr>
                <w:b/>
                <w:bCs/>
                <w:color w:val="00B050"/>
                <w:sz w:val="20"/>
                <w:szCs w:val="20"/>
              </w:rPr>
              <w:t> </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CF283" w14:textId="77777777" w:rsidR="0059790B" w:rsidRPr="006A0B80" w:rsidRDefault="0059790B" w:rsidP="0059790B">
            <w:pPr>
              <w:spacing w:before="40" w:after="40"/>
              <w:jc w:val="center"/>
              <w:rPr>
                <w:b/>
                <w:bCs/>
                <w:color w:val="00B050"/>
                <w:sz w:val="20"/>
                <w:szCs w:val="20"/>
              </w:rPr>
            </w:pPr>
            <w:r w:rsidRPr="006A0B80">
              <w:rPr>
                <w:b/>
                <w:bCs/>
                <w:color w:val="00B050"/>
                <w:sz w:val="20"/>
                <w:szCs w:val="20"/>
              </w:rPr>
              <w:t> </w:t>
            </w:r>
          </w:p>
        </w:tc>
        <w:tc>
          <w:tcPr>
            <w:tcW w:w="7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07683" w14:textId="77777777" w:rsidR="0059790B" w:rsidRPr="006A0B80" w:rsidRDefault="0059790B" w:rsidP="0059790B">
            <w:pPr>
              <w:spacing w:before="40" w:after="40"/>
              <w:jc w:val="center"/>
              <w:rPr>
                <w:b/>
                <w:bCs/>
                <w:color w:val="00B050"/>
                <w:sz w:val="20"/>
                <w:szCs w:val="20"/>
              </w:rPr>
            </w:pPr>
            <w:r w:rsidRPr="006A0B80">
              <w:rPr>
                <w:b/>
                <w:bCs/>
                <w:color w:val="00B050"/>
                <w:sz w:val="20"/>
                <w:szCs w:val="20"/>
              </w:rPr>
              <w:t> </w:t>
            </w:r>
          </w:p>
        </w:tc>
        <w:tc>
          <w:tcPr>
            <w:tcW w:w="3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F6125" w14:textId="77777777" w:rsidR="0059790B" w:rsidRPr="006A0B80" w:rsidRDefault="0059790B" w:rsidP="0059790B">
            <w:pPr>
              <w:spacing w:before="40" w:after="40"/>
              <w:jc w:val="center"/>
              <w:rPr>
                <w:b/>
                <w:bCs/>
                <w:color w:val="00B050"/>
                <w:sz w:val="20"/>
                <w:szCs w:val="20"/>
              </w:rPr>
            </w:pPr>
            <w:r w:rsidRPr="006A0B80">
              <w:rPr>
                <w:b/>
                <w:bCs/>
                <w:color w:val="00B050"/>
                <w:sz w:val="20"/>
                <w:szCs w:val="20"/>
              </w:rPr>
              <w:t> </w:t>
            </w:r>
          </w:p>
        </w:tc>
      </w:tr>
      <w:tr w:rsidR="0059790B" w:rsidRPr="00A43427" w14:paraId="56733E5C" w14:textId="77777777" w:rsidTr="0059790B">
        <w:trPr>
          <w:trHeight w:val="307"/>
        </w:trPr>
        <w:tc>
          <w:tcPr>
            <w:tcW w:w="2588" w:type="dxa"/>
            <w:gridSpan w:val="2"/>
            <w:tcBorders>
              <w:top w:val="nil"/>
              <w:left w:val="single" w:sz="4" w:space="0" w:color="auto"/>
              <w:bottom w:val="single" w:sz="4" w:space="0" w:color="auto"/>
              <w:right w:val="nil"/>
            </w:tcBorders>
            <w:shd w:val="clear" w:color="auto" w:fill="F2F2F2" w:themeFill="background1" w:themeFillShade="F2"/>
            <w:noWrap/>
            <w:vAlign w:val="bottom"/>
            <w:hideMark/>
          </w:tcPr>
          <w:p w14:paraId="772E94FA" w14:textId="77777777" w:rsidR="0059790B" w:rsidRPr="006A0B80" w:rsidRDefault="0059790B" w:rsidP="0059790B">
            <w:pPr>
              <w:spacing w:before="40" w:after="40"/>
              <w:rPr>
                <w:color w:val="000000"/>
                <w:sz w:val="20"/>
                <w:szCs w:val="20"/>
              </w:rPr>
            </w:pPr>
            <w:r w:rsidRPr="006A0B80">
              <w:rPr>
                <w:color w:val="000000"/>
                <w:sz w:val="20"/>
                <w:szCs w:val="20"/>
              </w:rPr>
              <w:t xml:space="preserve">Non-continuation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62FA2" w14:textId="77777777" w:rsidR="0059790B" w:rsidRPr="006A0B80" w:rsidRDefault="0059790B" w:rsidP="0059790B">
            <w:pPr>
              <w:spacing w:before="40" w:after="40"/>
              <w:jc w:val="right"/>
              <w:rPr>
                <w:color w:val="000000"/>
                <w:sz w:val="20"/>
                <w:szCs w:val="20"/>
              </w:rPr>
            </w:pPr>
            <w:r w:rsidRPr="006A0B80">
              <w:rPr>
                <w:color w:val="000000"/>
                <w:sz w:val="20"/>
                <w:szCs w:val="20"/>
              </w:rPr>
              <w:t>8.9</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E3A95" w14:textId="77777777" w:rsidR="0059790B" w:rsidRPr="006A0B80" w:rsidRDefault="0059790B" w:rsidP="0059790B">
            <w:pPr>
              <w:spacing w:before="40" w:after="40"/>
              <w:jc w:val="right"/>
              <w:rPr>
                <w:color w:val="000000"/>
                <w:sz w:val="20"/>
                <w:szCs w:val="20"/>
              </w:rPr>
            </w:pPr>
            <w:r w:rsidRPr="006A0B80">
              <w:rPr>
                <w:color w:val="000000"/>
                <w:sz w:val="20"/>
                <w:szCs w:val="20"/>
              </w:rPr>
              <w:t>7.2</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A5314" w14:textId="77777777" w:rsidR="0059790B" w:rsidRPr="006A0B80" w:rsidRDefault="0059790B" w:rsidP="0059790B">
            <w:pPr>
              <w:spacing w:before="40" w:after="40"/>
              <w:jc w:val="right"/>
              <w:rPr>
                <w:color w:val="000000"/>
                <w:sz w:val="20"/>
                <w:szCs w:val="20"/>
              </w:rPr>
            </w:pPr>
            <w:r w:rsidRPr="006A0B80">
              <w:rPr>
                <w:color w:val="000000"/>
                <w:sz w:val="20"/>
                <w:szCs w:val="20"/>
              </w:rPr>
              <w:t>-1.7</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1DDCA" w14:textId="77777777" w:rsidR="0059790B" w:rsidRPr="006A0B80" w:rsidRDefault="0059790B" w:rsidP="0059790B">
            <w:pPr>
              <w:spacing w:before="40" w:after="40"/>
              <w:jc w:val="right"/>
              <w:rPr>
                <w:color w:val="000000"/>
                <w:sz w:val="20"/>
                <w:szCs w:val="20"/>
              </w:rPr>
            </w:pPr>
            <w:r w:rsidRPr="006A0B80">
              <w:rPr>
                <w:color w:val="000000"/>
                <w:sz w:val="20"/>
                <w:szCs w:val="20"/>
              </w:rPr>
              <w:t>-1.1</w:t>
            </w:r>
          </w:p>
        </w:tc>
        <w:tc>
          <w:tcPr>
            <w:tcW w:w="654" w:type="dxa"/>
            <w:tcBorders>
              <w:top w:val="single" w:sz="4" w:space="0" w:color="auto"/>
              <w:left w:val="nil"/>
              <w:bottom w:val="single" w:sz="4" w:space="0" w:color="auto"/>
              <w:right w:val="single" w:sz="4" w:space="0" w:color="auto"/>
            </w:tcBorders>
          </w:tcPr>
          <w:p w14:paraId="4CC658B6" w14:textId="77777777" w:rsidR="0059790B" w:rsidRPr="006A0B80" w:rsidRDefault="0059790B" w:rsidP="0059790B">
            <w:pPr>
              <w:spacing w:before="40" w:after="40"/>
              <w:jc w:val="center"/>
              <w:rPr>
                <w:b/>
                <w:bCs/>
                <w:color w:val="000000" w:themeColor="text1"/>
                <w:sz w:val="20"/>
                <w:szCs w:val="20"/>
              </w:rPr>
            </w:pPr>
          </w:p>
        </w:tc>
        <w:tc>
          <w:tcPr>
            <w:tcW w:w="39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0461F26" w14:textId="77777777" w:rsidR="0059790B" w:rsidRPr="006A0B80" w:rsidRDefault="0059790B" w:rsidP="0059790B">
            <w:pPr>
              <w:spacing w:before="40" w:after="40"/>
              <w:jc w:val="center"/>
              <w:rPr>
                <w:b/>
                <w:bCs/>
                <w:color w:val="000000"/>
                <w:sz w:val="20"/>
                <w:szCs w:val="20"/>
              </w:rPr>
            </w:pPr>
            <w:r w:rsidRPr="006A0B80">
              <w:rPr>
                <w:b/>
                <w:bCs/>
                <w:color w:val="000000" w:themeColor="text1"/>
                <w:sz w:val="20"/>
                <w:szCs w:val="20"/>
              </w:rPr>
              <w:t>̶</w:t>
            </w:r>
          </w:p>
        </w:tc>
        <w:tc>
          <w:tcPr>
            <w:tcW w:w="261" w:type="dxa"/>
            <w:tcBorders>
              <w:top w:val="single" w:sz="4" w:space="0" w:color="auto"/>
              <w:left w:val="single" w:sz="4" w:space="0" w:color="auto"/>
              <w:bottom w:val="single" w:sz="4" w:space="0" w:color="auto"/>
              <w:right w:val="single" w:sz="4" w:space="0" w:color="auto"/>
            </w:tcBorders>
          </w:tcPr>
          <w:p w14:paraId="4D25D743" w14:textId="77777777" w:rsidR="0059790B" w:rsidRPr="006A0B80" w:rsidRDefault="0059790B" w:rsidP="0059790B">
            <w:pPr>
              <w:spacing w:before="40" w:after="40"/>
              <w:jc w:val="center"/>
              <w:rPr>
                <w:b/>
                <w:bCs/>
                <w:color w:val="000000"/>
                <w:sz w:val="20"/>
                <w:szCs w:val="20"/>
              </w:rPr>
            </w:pPr>
          </w:p>
        </w:tc>
        <w:tc>
          <w:tcPr>
            <w:tcW w:w="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FF2E4" w14:textId="77777777" w:rsidR="0059790B" w:rsidRPr="006A0B80" w:rsidRDefault="0059790B" w:rsidP="0059790B">
            <w:pPr>
              <w:spacing w:before="40" w:after="40"/>
              <w:jc w:val="center"/>
              <w:rPr>
                <w:b/>
                <w:bCs/>
                <w:color w:val="000000"/>
                <w:sz w:val="20"/>
                <w:szCs w:val="20"/>
              </w:rPr>
            </w:pP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5EE98" w14:textId="77777777" w:rsidR="0059790B" w:rsidRPr="006A0B80" w:rsidRDefault="0059790B" w:rsidP="0059790B">
            <w:pPr>
              <w:spacing w:before="40" w:after="40"/>
              <w:jc w:val="center"/>
              <w:rPr>
                <w:b/>
                <w:bCs/>
                <w:color w:val="00B050"/>
                <w:sz w:val="20"/>
                <w:szCs w:val="20"/>
              </w:rPr>
            </w:pPr>
            <w:r w:rsidRPr="006A0B80">
              <w:rPr>
                <w:b/>
                <w:bCs/>
                <w:color w:val="00B050"/>
                <w:sz w:val="20"/>
                <w:szCs w:val="20"/>
              </w:rPr>
              <w:t> </w:t>
            </w:r>
          </w:p>
        </w:tc>
        <w:tc>
          <w:tcPr>
            <w:tcW w:w="522" w:type="dxa"/>
            <w:tcBorders>
              <w:top w:val="single" w:sz="4" w:space="0" w:color="auto"/>
              <w:left w:val="single" w:sz="4" w:space="0" w:color="auto"/>
              <w:bottom w:val="single" w:sz="4" w:space="0" w:color="auto"/>
              <w:right w:val="single" w:sz="4" w:space="0" w:color="auto"/>
            </w:tcBorders>
            <w:shd w:val="thinDiagStripe" w:color="auto" w:fill="FFFFFF" w:themeFill="background1"/>
            <w:noWrap/>
            <w:vAlign w:val="center"/>
            <w:hideMark/>
          </w:tcPr>
          <w:p w14:paraId="472F07EC" w14:textId="77777777" w:rsidR="0059790B" w:rsidRPr="006A0B80" w:rsidRDefault="0059790B" w:rsidP="0059790B">
            <w:pPr>
              <w:spacing w:before="40" w:after="40"/>
              <w:jc w:val="center"/>
              <w:rPr>
                <w:b/>
                <w:bCs/>
                <w:color w:val="00B050"/>
                <w:sz w:val="20"/>
                <w:szCs w:val="20"/>
              </w:rPr>
            </w:pPr>
            <w:r w:rsidRPr="006A0B80">
              <w:rPr>
                <w:b/>
                <w:bCs/>
                <w:color w:val="00B050"/>
                <w:sz w:val="20"/>
                <w:szCs w:val="20"/>
              </w:rPr>
              <w:t> </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FC63E" w14:textId="77777777" w:rsidR="0059790B" w:rsidRPr="006A0B80" w:rsidRDefault="0059790B" w:rsidP="0059790B">
            <w:pPr>
              <w:spacing w:before="40" w:after="40"/>
              <w:jc w:val="center"/>
              <w:rPr>
                <w:b/>
                <w:bCs/>
                <w:color w:val="00B050"/>
                <w:sz w:val="20"/>
                <w:szCs w:val="20"/>
              </w:rPr>
            </w:pPr>
            <w:r w:rsidRPr="006A0B80">
              <w:rPr>
                <w:b/>
                <w:bCs/>
                <w:color w:val="00B050"/>
                <w:sz w:val="20"/>
                <w:szCs w:val="20"/>
              </w:rPr>
              <w:t> </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52CBC" w14:textId="77777777" w:rsidR="0059790B" w:rsidRPr="006A0B80" w:rsidRDefault="0059790B" w:rsidP="0059790B">
            <w:pPr>
              <w:spacing w:before="40" w:after="40"/>
              <w:jc w:val="center"/>
              <w:rPr>
                <w:b/>
                <w:bCs/>
                <w:color w:val="00B050"/>
                <w:sz w:val="20"/>
                <w:szCs w:val="20"/>
              </w:rPr>
            </w:pPr>
            <w:r w:rsidRPr="006A0B80">
              <w:rPr>
                <w:b/>
                <w:bCs/>
                <w:color w:val="00B050"/>
                <w:sz w:val="20"/>
                <w:szCs w:val="20"/>
              </w:rPr>
              <w:t> </w:t>
            </w:r>
          </w:p>
        </w:tc>
        <w:tc>
          <w:tcPr>
            <w:tcW w:w="3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21E03" w14:textId="77777777" w:rsidR="0059790B" w:rsidRPr="006A0B80" w:rsidRDefault="0059790B" w:rsidP="0059790B">
            <w:pPr>
              <w:spacing w:before="40" w:after="40"/>
              <w:jc w:val="center"/>
              <w:rPr>
                <w:b/>
                <w:bCs/>
                <w:color w:val="00B050"/>
                <w:sz w:val="20"/>
                <w:szCs w:val="20"/>
              </w:rPr>
            </w:pPr>
            <w:r w:rsidRPr="006A0B80">
              <w:rPr>
                <w:b/>
                <w:bCs/>
                <w:color w:val="00B050"/>
                <w:sz w:val="20"/>
                <w:szCs w:val="20"/>
              </w:rPr>
              <w:t> </w:t>
            </w:r>
          </w:p>
        </w:tc>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61A5A" w14:textId="77777777" w:rsidR="0059790B" w:rsidRPr="006A0B80" w:rsidRDefault="0059790B" w:rsidP="0059790B">
            <w:pPr>
              <w:spacing w:before="40" w:after="40"/>
              <w:jc w:val="center"/>
              <w:rPr>
                <w:b/>
                <w:bCs/>
                <w:color w:val="00B050"/>
                <w:sz w:val="20"/>
                <w:szCs w:val="20"/>
              </w:rPr>
            </w:pPr>
            <w:r w:rsidRPr="006A0B80">
              <w:rPr>
                <w:b/>
                <w:bCs/>
                <w:color w:val="00B050"/>
                <w:sz w:val="20"/>
                <w:szCs w:val="20"/>
              </w:rPr>
              <w:t> </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DD08E" w14:textId="77777777" w:rsidR="0059790B" w:rsidRPr="006A0B80" w:rsidRDefault="0059790B" w:rsidP="0059790B">
            <w:pPr>
              <w:spacing w:before="40" w:after="40"/>
              <w:jc w:val="center"/>
              <w:rPr>
                <w:b/>
                <w:bCs/>
                <w:color w:val="00B050"/>
                <w:sz w:val="20"/>
                <w:szCs w:val="20"/>
              </w:rPr>
            </w:pPr>
            <w:r w:rsidRPr="006A0B80">
              <w:rPr>
                <w:b/>
                <w:bCs/>
                <w:color w:val="00B050"/>
                <w:sz w:val="20"/>
                <w:szCs w:val="20"/>
              </w:rPr>
              <w:t> </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6939B" w14:textId="77777777" w:rsidR="0059790B" w:rsidRPr="006A0B80" w:rsidRDefault="0059790B" w:rsidP="0059790B">
            <w:pPr>
              <w:spacing w:before="40" w:after="40"/>
              <w:jc w:val="center"/>
              <w:rPr>
                <w:b/>
                <w:bCs/>
                <w:color w:val="00B050"/>
                <w:sz w:val="20"/>
                <w:szCs w:val="20"/>
              </w:rPr>
            </w:pPr>
            <w:r w:rsidRPr="006A0B80">
              <w:rPr>
                <w:b/>
                <w:bCs/>
                <w:color w:val="00B050"/>
                <w:sz w:val="20"/>
                <w:szCs w:val="20"/>
              </w:rPr>
              <w:t> </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967BD" w14:textId="77777777" w:rsidR="0059790B" w:rsidRPr="006A0B80" w:rsidRDefault="0059790B" w:rsidP="0059790B">
            <w:pPr>
              <w:spacing w:before="40" w:after="40"/>
              <w:jc w:val="center"/>
              <w:rPr>
                <w:b/>
                <w:bCs/>
                <w:color w:val="00B050"/>
                <w:sz w:val="20"/>
                <w:szCs w:val="20"/>
              </w:rPr>
            </w:pPr>
            <w:r w:rsidRPr="006A0B80">
              <w:rPr>
                <w:b/>
                <w:bCs/>
                <w:color w:val="00B050"/>
                <w:sz w:val="20"/>
                <w:szCs w:val="20"/>
              </w:rPr>
              <w:t> </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DB3F9" w14:textId="77777777" w:rsidR="0059790B" w:rsidRPr="006A0B80" w:rsidRDefault="0059790B" w:rsidP="0059790B">
            <w:pPr>
              <w:spacing w:before="40" w:after="40"/>
              <w:jc w:val="center"/>
              <w:rPr>
                <w:b/>
                <w:bCs/>
                <w:color w:val="00B050"/>
                <w:sz w:val="20"/>
                <w:szCs w:val="20"/>
              </w:rPr>
            </w:pPr>
            <w:r w:rsidRPr="006A0B80">
              <w:rPr>
                <w:b/>
                <w:bCs/>
                <w:color w:val="00B050"/>
                <w:sz w:val="20"/>
                <w:szCs w:val="20"/>
              </w:rPr>
              <w:t> </w:t>
            </w:r>
          </w:p>
        </w:tc>
        <w:tc>
          <w:tcPr>
            <w:tcW w:w="655" w:type="dxa"/>
            <w:tcBorders>
              <w:top w:val="single" w:sz="4" w:space="0" w:color="auto"/>
              <w:left w:val="single" w:sz="4" w:space="0" w:color="auto"/>
              <w:bottom w:val="single" w:sz="4" w:space="0" w:color="auto"/>
              <w:right w:val="single" w:sz="4" w:space="0" w:color="auto"/>
            </w:tcBorders>
            <w:shd w:val="thinDiagStripe" w:color="auto" w:fill="FFFFFF" w:themeFill="background1"/>
            <w:noWrap/>
            <w:vAlign w:val="bottom"/>
            <w:hideMark/>
          </w:tcPr>
          <w:p w14:paraId="7DBE2A19" w14:textId="77777777" w:rsidR="0059790B" w:rsidRPr="006A0B80" w:rsidRDefault="0059790B" w:rsidP="0059790B">
            <w:pPr>
              <w:spacing w:before="40" w:after="40"/>
              <w:jc w:val="center"/>
              <w:rPr>
                <w:b/>
                <w:bCs/>
                <w:color w:val="000000"/>
                <w:sz w:val="20"/>
                <w:szCs w:val="20"/>
              </w:rPr>
            </w:pPr>
            <w:r w:rsidRPr="006A0B80">
              <w:rPr>
                <w:b/>
                <w:bCs/>
                <w:color w:val="000000" w:themeColor="text1"/>
                <w:sz w:val="20"/>
                <w:szCs w:val="20"/>
              </w:rPr>
              <w:t> </w:t>
            </w:r>
          </w:p>
        </w:tc>
        <w:tc>
          <w:tcPr>
            <w:tcW w:w="784" w:type="dxa"/>
            <w:gridSpan w:val="2"/>
            <w:tcBorders>
              <w:top w:val="single" w:sz="4" w:space="0" w:color="auto"/>
              <w:left w:val="single" w:sz="4" w:space="0" w:color="auto"/>
              <w:bottom w:val="single" w:sz="4" w:space="0" w:color="auto"/>
              <w:right w:val="single" w:sz="4" w:space="0" w:color="auto"/>
            </w:tcBorders>
            <w:shd w:val="thinDiagStripe" w:color="auto" w:fill="FFFFFF" w:themeFill="background1"/>
            <w:noWrap/>
            <w:vAlign w:val="bottom"/>
            <w:hideMark/>
          </w:tcPr>
          <w:p w14:paraId="03620EB3" w14:textId="77777777" w:rsidR="0059790B" w:rsidRPr="006A0B80" w:rsidRDefault="0059790B" w:rsidP="0059790B">
            <w:pPr>
              <w:spacing w:before="40" w:after="40"/>
              <w:jc w:val="center"/>
              <w:rPr>
                <w:b/>
                <w:bCs/>
                <w:color w:val="000000"/>
                <w:sz w:val="20"/>
                <w:szCs w:val="20"/>
              </w:rPr>
            </w:pPr>
            <w:r w:rsidRPr="006A0B80">
              <w:rPr>
                <w:b/>
                <w:bCs/>
                <w:color w:val="000000" w:themeColor="text1"/>
                <w:sz w:val="20"/>
                <w:szCs w:val="20"/>
              </w:rPr>
              <w:t> </w:t>
            </w:r>
          </w:p>
        </w:tc>
        <w:tc>
          <w:tcPr>
            <w:tcW w:w="393" w:type="dxa"/>
            <w:tcBorders>
              <w:top w:val="single" w:sz="4" w:space="0" w:color="auto"/>
              <w:left w:val="single" w:sz="4" w:space="0" w:color="auto"/>
              <w:bottom w:val="single" w:sz="4" w:space="0" w:color="auto"/>
              <w:right w:val="single" w:sz="4" w:space="0" w:color="auto"/>
            </w:tcBorders>
            <w:shd w:val="thinDiagStripe" w:color="auto" w:fill="FFFFFF" w:themeFill="background1"/>
            <w:noWrap/>
            <w:vAlign w:val="bottom"/>
            <w:hideMark/>
          </w:tcPr>
          <w:p w14:paraId="63DAA831" w14:textId="77777777" w:rsidR="0059790B" w:rsidRPr="006A0B80" w:rsidRDefault="0059790B" w:rsidP="0059790B">
            <w:pPr>
              <w:spacing w:before="40" w:after="40"/>
              <w:jc w:val="center"/>
              <w:rPr>
                <w:b/>
                <w:bCs/>
                <w:color w:val="000000"/>
                <w:sz w:val="20"/>
                <w:szCs w:val="20"/>
              </w:rPr>
            </w:pPr>
            <w:r w:rsidRPr="006A0B80">
              <w:rPr>
                <w:b/>
                <w:bCs/>
                <w:color w:val="000000" w:themeColor="text1"/>
                <w:sz w:val="20"/>
                <w:szCs w:val="20"/>
              </w:rPr>
              <w:t> </w:t>
            </w:r>
          </w:p>
        </w:tc>
      </w:tr>
      <w:tr w:rsidR="0059790B" w:rsidRPr="00A43427" w14:paraId="378A0CEF" w14:textId="77777777" w:rsidTr="0059790B">
        <w:trPr>
          <w:trHeight w:val="307"/>
        </w:trPr>
        <w:tc>
          <w:tcPr>
            <w:tcW w:w="2588" w:type="dxa"/>
            <w:gridSpan w:val="2"/>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E2C321B" w14:textId="77777777" w:rsidR="0059790B" w:rsidRPr="006A0B80" w:rsidRDefault="0059790B" w:rsidP="0059790B">
            <w:pPr>
              <w:spacing w:before="40" w:after="40"/>
              <w:rPr>
                <w:color w:val="000000"/>
                <w:sz w:val="20"/>
                <w:szCs w:val="20"/>
              </w:rPr>
            </w:pPr>
            <w:r w:rsidRPr="006A0B80">
              <w:rPr>
                <w:color w:val="000000"/>
                <w:sz w:val="20"/>
                <w:szCs w:val="20"/>
              </w:rPr>
              <w:t>Employment or further study</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AF1C1" w14:textId="77777777" w:rsidR="0059790B" w:rsidRPr="006A0B80" w:rsidRDefault="0059790B" w:rsidP="0059790B">
            <w:pPr>
              <w:spacing w:before="40" w:after="40"/>
              <w:jc w:val="right"/>
              <w:rPr>
                <w:color w:val="000000"/>
                <w:sz w:val="20"/>
                <w:szCs w:val="20"/>
              </w:rPr>
            </w:pPr>
            <w:r w:rsidRPr="006A0B80">
              <w:rPr>
                <w:color w:val="000000"/>
                <w:sz w:val="20"/>
                <w:szCs w:val="20"/>
              </w:rPr>
              <w:t>92.9</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93895" w14:textId="77777777" w:rsidR="0059790B" w:rsidRPr="006A0B80" w:rsidRDefault="0059790B" w:rsidP="0059790B">
            <w:pPr>
              <w:spacing w:before="40" w:after="40"/>
              <w:jc w:val="right"/>
              <w:rPr>
                <w:color w:val="000000"/>
                <w:sz w:val="20"/>
                <w:szCs w:val="20"/>
              </w:rPr>
            </w:pPr>
            <w:r w:rsidRPr="006A0B80">
              <w:rPr>
                <w:color w:val="000000"/>
                <w:sz w:val="20"/>
                <w:szCs w:val="20"/>
              </w:rPr>
              <w:t>91.1</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C59D7" w14:textId="77777777" w:rsidR="0059790B" w:rsidRPr="006A0B80" w:rsidRDefault="0059790B" w:rsidP="0059790B">
            <w:pPr>
              <w:spacing w:before="40" w:after="40"/>
              <w:jc w:val="right"/>
              <w:rPr>
                <w:color w:val="000000"/>
                <w:sz w:val="20"/>
                <w:szCs w:val="20"/>
              </w:rPr>
            </w:pPr>
            <w:r w:rsidRPr="006A0B80">
              <w:rPr>
                <w:color w:val="000000"/>
                <w:sz w:val="20"/>
                <w:szCs w:val="20"/>
              </w:rPr>
              <w:t>1.8</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F38F1" w14:textId="77777777" w:rsidR="0059790B" w:rsidRPr="006A0B80" w:rsidRDefault="0059790B" w:rsidP="0059790B">
            <w:pPr>
              <w:spacing w:before="40" w:after="40"/>
              <w:jc w:val="right"/>
              <w:rPr>
                <w:color w:val="000000"/>
                <w:sz w:val="20"/>
                <w:szCs w:val="20"/>
              </w:rPr>
            </w:pPr>
            <w:r w:rsidRPr="006A0B80">
              <w:rPr>
                <w:color w:val="000000"/>
                <w:sz w:val="20"/>
                <w:szCs w:val="20"/>
              </w:rPr>
              <w:t>0.8</w:t>
            </w:r>
          </w:p>
        </w:tc>
        <w:tc>
          <w:tcPr>
            <w:tcW w:w="654" w:type="dxa"/>
            <w:tcBorders>
              <w:top w:val="single" w:sz="4" w:space="0" w:color="auto"/>
              <w:left w:val="nil"/>
              <w:bottom w:val="single" w:sz="4" w:space="0" w:color="auto"/>
              <w:right w:val="single" w:sz="4" w:space="0" w:color="auto"/>
            </w:tcBorders>
          </w:tcPr>
          <w:p w14:paraId="283832FE" w14:textId="77777777" w:rsidR="0059790B" w:rsidRPr="006A0B80" w:rsidRDefault="0059790B" w:rsidP="0059790B">
            <w:pPr>
              <w:spacing w:before="40" w:after="40"/>
              <w:jc w:val="center"/>
              <w:rPr>
                <w:bCs/>
                <w:color w:val="000000"/>
                <w:sz w:val="20"/>
                <w:szCs w:val="20"/>
              </w:rPr>
            </w:pPr>
          </w:p>
        </w:tc>
        <w:tc>
          <w:tcPr>
            <w:tcW w:w="3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91205" w14:textId="77777777" w:rsidR="0059790B" w:rsidRPr="006A0B80" w:rsidRDefault="0059790B" w:rsidP="0059790B">
            <w:pPr>
              <w:spacing w:before="40" w:after="40"/>
              <w:jc w:val="center"/>
              <w:rPr>
                <w:bCs/>
                <w:color w:val="000000"/>
                <w:sz w:val="20"/>
                <w:szCs w:val="20"/>
              </w:rPr>
            </w:pPr>
            <w:r w:rsidRPr="006A0B80">
              <w:rPr>
                <w:bCs/>
                <w:color w:val="000000"/>
                <w:sz w:val="20"/>
                <w:szCs w:val="20"/>
              </w:rPr>
              <w:t>n</w:t>
            </w:r>
          </w:p>
        </w:tc>
        <w:tc>
          <w:tcPr>
            <w:tcW w:w="261" w:type="dxa"/>
            <w:tcBorders>
              <w:top w:val="single" w:sz="4" w:space="0" w:color="auto"/>
              <w:left w:val="single" w:sz="4" w:space="0" w:color="auto"/>
              <w:bottom w:val="single" w:sz="4" w:space="0" w:color="auto"/>
              <w:right w:val="single" w:sz="4" w:space="0" w:color="auto"/>
            </w:tcBorders>
            <w:vAlign w:val="center"/>
          </w:tcPr>
          <w:p w14:paraId="6A04F1D3" w14:textId="77777777" w:rsidR="0059790B" w:rsidRPr="006A0B80" w:rsidRDefault="0059790B" w:rsidP="0059790B">
            <w:pPr>
              <w:spacing w:before="40" w:after="40"/>
              <w:jc w:val="center"/>
              <w:rPr>
                <w:bCs/>
                <w:color w:val="000000"/>
                <w:sz w:val="20"/>
                <w:szCs w:val="20"/>
              </w:rPr>
            </w:pPr>
          </w:p>
        </w:tc>
        <w:tc>
          <w:tcPr>
            <w:tcW w:w="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E2BB4" w14:textId="77777777" w:rsidR="0059790B" w:rsidRPr="006A0B80" w:rsidRDefault="0059790B" w:rsidP="0059790B">
            <w:pPr>
              <w:spacing w:before="40" w:after="40"/>
              <w:jc w:val="center"/>
              <w:rPr>
                <w:b/>
                <w:bCs/>
                <w:color w:val="000000"/>
                <w:sz w:val="20"/>
                <w:szCs w:val="20"/>
              </w:rPr>
            </w:pP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F827D" w14:textId="77777777" w:rsidR="0059790B" w:rsidRPr="006A0B80" w:rsidRDefault="0059790B" w:rsidP="0059790B">
            <w:pPr>
              <w:spacing w:before="40" w:after="40"/>
              <w:jc w:val="center"/>
              <w:rPr>
                <w:b/>
                <w:bCs/>
                <w:color w:val="FF0000"/>
                <w:sz w:val="20"/>
                <w:szCs w:val="20"/>
              </w:rPr>
            </w:pPr>
          </w:p>
        </w:tc>
        <w:tc>
          <w:tcPr>
            <w:tcW w:w="52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1E5DD70B" w14:textId="77777777" w:rsidR="0059790B" w:rsidRPr="006A0B80" w:rsidRDefault="0059790B" w:rsidP="0059790B">
            <w:pPr>
              <w:spacing w:before="40" w:after="40"/>
              <w:jc w:val="center"/>
              <w:rPr>
                <w:bCs/>
                <w:color w:val="FF0000"/>
                <w:sz w:val="20"/>
                <w:szCs w:val="20"/>
              </w:rPr>
            </w:pPr>
            <w:r w:rsidRPr="006A0B80">
              <w:rPr>
                <w:bCs/>
                <w:color w:val="000000" w:themeColor="text1"/>
                <w:sz w:val="20"/>
                <w:szCs w:val="20"/>
              </w:rPr>
              <w:t>n</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F8E7A" w14:textId="77777777" w:rsidR="0059790B" w:rsidRPr="006A0B80" w:rsidRDefault="0059790B" w:rsidP="0059790B">
            <w:pPr>
              <w:spacing w:before="40" w:after="40"/>
              <w:jc w:val="center"/>
              <w:rPr>
                <w:b/>
                <w:bCs/>
                <w:color w:val="FF0000"/>
                <w:sz w:val="20"/>
                <w:szCs w:val="2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98AC1" w14:textId="77777777" w:rsidR="0059790B" w:rsidRPr="006A0B80" w:rsidRDefault="0059790B" w:rsidP="0059790B">
            <w:pPr>
              <w:spacing w:before="40" w:after="40"/>
              <w:jc w:val="center"/>
              <w:rPr>
                <w:b/>
                <w:bCs/>
                <w:color w:val="FF0000"/>
                <w:sz w:val="20"/>
                <w:szCs w:val="20"/>
              </w:rPr>
            </w:pPr>
          </w:p>
        </w:tc>
        <w:tc>
          <w:tcPr>
            <w:tcW w:w="3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CDCF0" w14:textId="77777777" w:rsidR="0059790B" w:rsidRPr="006A0B80" w:rsidRDefault="0059790B" w:rsidP="0059790B">
            <w:pPr>
              <w:spacing w:before="40" w:after="40"/>
              <w:jc w:val="center"/>
              <w:rPr>
                <w:b/>
                <w:bCs/>
                <w:color w:val="FF0000"/>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4C052" w14:textId="77777777" w:rsidR="0059790B" w:rsidRPr="006A0B80" w:rsidRDefault="0059790B" w:rsidP="0059790B">
            <w:pPr>
              <w:spacing w:before="40" w:after="40"/>
              <w:jc w:val="center"/>
              <w:rPr>
                <w:b/>
                <w:bCs/>
                <w:color w:val="FF0000"/>
                <w:sz w:val="20"/>
                <w:szCs w:val="20"/>
              </w:rPr>
            </w:pP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30186" w14:textId="77777777" w:rsidR="0059790B" w:rsidRPr="006A0B80" w:rsidRDefault="0059790B" w:rsidP="0059790B">
            <w:pPr>
              <w:spacing w:before="40" w:after="40"/>
              <w:jc w:val="center"/>
              <w:rPr>
                <w:b/>
                <w:bCs/>
                <w:color w:val="FF0000"/>
                <w:sz w:val="20"/>
                <w:szCs w:val="2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E5590" w14:textId="77777777" w:rsidR="0059790B" w:rsidRPr="006A0B80" w:rsidRDefault="0059790B" w:rsidP="0059790B">
            <w:pPr>
              <w:spacing w:before="40" w:after="40"/>
              <w:jc w:val="center"/>
              <w:rPr>
                <w:b/>
                <w:bCs/>
                <w:color w:val="FF0000"/>
                <w:sz w:val="20"/>
                <w:szCs w:val="20"/>
              </w:rPr>
            </w:pPr>
          </w:p>
        </w:tc>
        <w:tc>
          <w:tcPr>
            <w:tcW w:w="52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28F52DA9" w14:textId="77777777" w:rsidR="0059790B" w:rsidRPr="006A0B80" w:rsidRDefault="0059790B" w:rsidP="0059790B">
            <w:pPr>
              <w:spacing w:before="40" w:after="40"/>
              <w:jc w:val="center"/>
              <w:rPr>
                <w:bCs/>
                <w:color w:val="FF0000"/>
                <w:sz w:val="20"/>
                <w:szCs w:val="20"/>
              </w:rPr>
            </w:pPr>
            <w:r w:rsidRPr="006A0B80">
              <w:rPr>
                <w:bCs/>
                <w:color w:val="000000" w:themeColor="text1"/>
                <w:sz w:val="20"/>
                <w:szCs w:val="20"/>
              </w:rPr>
              <w:t>n</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576A6" w14:textId="77777777" w:rsidR="0059790B" w:rsidRPr="006A0B80" w:rsidRDefault="0059790B" w:rsidP="0059790B">
            <w:pPr>
              <w:spacing w:before="40" w:after="40"/>
              <w:jc w:val="center"/>
              <w:rPr>
                <w:b/>
                <w:bCs/>
                <w:color w:val="FF0000"/>
                <w:sz w:val="20"/>
                <w:szCs w:val="20"/>
              </w:rPr>
            </w:pPr>
          </w:p>
        </w:tc>
        <w:tc>
          <w:tcPr>
            <w:tcW w:w="655" w:type="dxa"/>
            <w:tcBorders>
              <w:top w:val="single" w:sz="4" w:space="0" w:color="auto"/>
              <w:left w:val="single" w:sz="4" w:space="0" w:color="auto"/>
              <w:bottom w:val="single" w:sz="4" w:space="0" w:color="auto"/>
              <w:right w:val="single" w:sz="4" w:space="0" w:color="auto"/>
            </w:tcBorders>
            <w:shd w:val="thinDiagStripe" w:color="auto" w:fill="FFFFFF" w:themeFill="background1"/>
            <w:noWrap/>
            <w:vAlign w:val="bottom"/>
            <w:hideMark/>
          </w:tcPr>
          <w:p w14:paraId="5E05985E" w14:textId="77777777" w:rsidR="0059790B" w:rsidRPr="006A0B80" w:rsidRDefault="0059790B" w:rsidP="0059790B">
            <w:pPr>
              <w:spacing w:before="40" w:after="40"/>
              <w:jc w:val="center"/>
              <w:rPr>
                <w:b/>
                <w:bCs/>
                <w:color w:val="FF0000"/>
                <w:sz w:val="20"/>
                <w:szCs w:val="20"/>
              </w:rPr>
            </w:pPr>
            <w:r w:rsidRPr="006A0B80">
              <w:rPr>
                <w:b/>
                <w:bCs/>
                <w:color w:val="000000" w:themeColor="text1"/>
                <w:sz w:val="20"/>
                <w:szCs w:val="20"/>
              </w:rPr>
              <w:t> </w:t>
            </w:r>
          </w:p>
        </w:tc>
        <w:tc>
          <w:tcPr>
            <w:tcW w:w="784" w:type="dxa"/>
            <w:gridSpan w:val="2"/>
            <w:tcBorders>
              <w:top w:val="single" w:sz="4" w:space="0" w:color="auto"/>
              <w:left w:val="single" w:sz="4" w:space="0" w:color="auto"/>
              <w:bottom w:val="single" w:sz="4" w:space="0" w:color="auto"/>
              <w:right w:val="single" w:sz="4" w:space="0" w:color="auto"/>
            </w:tcBorders>
            <w:shd w:val="thinDiagStripe" w:color="auto" w:fill="FFFFFF" w:themeFill="background1"/>
            <w:noWrap/>
            <w:vAlign w:val="bottom"/>
            <w:hideMark/>
          </w:tcPr>
          <w:p w14:paraId="17B334BA" w14:textId="77777777" w:rsidR="0059790B" w:rsidRPr="006A0B80" w:rsidRDefault="0059790B" w:rsidP="0059790B">
            <w:pPr>
              <w:spacing w:before="40" w:after="40"/>
              <w:jc w:val="center"/>
              <w:rPr>
                <w:b/>
                <w:bCs/>
                <w:color w:val="FF0000"/>
                <w:sz w:val="20"/>
                <w:szCs w:val="20"/>
              </w:rPr>
            </w:pPr>
            <w:r w:rsidRPr="006A0B80">
              <w:rPr>
                <w:b/>
                <w:bCs/>
                <w:color w:val="000000" w:themeColor="text1"/>
                <w:sz w:val="20"/>
                <w:szCs w:val="20"/>
              </w:rPr>
              <w:t> </w:t>
            </w:r>
          </w:p>
        </w:tc>
        <w:tc>
          <w:tcPr>
            <w:tcW w:w="393" w:type="dxa"/>
            <w:tcBorders>
              <w:top w:val="single" w:sz="4" w:space="0" w:color="auto"/>
              <w:left w:val="single" w:sz="4" w:space="0" w:color="auto"/>
              <w:bottom w:val="single" w:sz="4" w:space="0" w:color="auto"/>
              <w:right w:val="single" w:sz="4" w:space="0" w:color="auto"/>
            </w:tcBorders>
            <w:shd w:val="thinDiagStripe" w:color="auto" w:fill="FFFFFF" w:themeFill="background1"/>
            <w:noWrap/>
            <w:vAlign w:val="bottom"/>
            <w:hideMark/>
          </w:tcPr>
          <w:p w14:paraId="50FA9099" w14:textId="77777777" w:rsidR="0059790B" w:rsidRPr="006A0B80" w:rsidRDefault="0059790B" w:rsidP="0059790B">
            <w:pPr>
              <w:spacing w:before="40" w:after="40"/>
              <w:jc w:val="center"/>
              <w:rPr>
                <w:b/>
                <w:bCs/>
                <w:color w:val="000000"/>
                <w:sz w:val="20"/>
                <w:szCs w:val="20"/>
              </w:rPr>
            </w:pPr>
            <w:r w:rsidRPr="006A0B80">
              <w:rPr>
                <w:b/>
                <w:bCs/>
                <w:color w:val="000000" w:themeColor="text1"/>
                <w:sz w:val="20"/>
                <w:szCs w:val="20"/>
              </w:rPr>
              <w:t> </w:t>
            </w:r>
          </w:p>
        </w:tc>
      </w:tr>
      <w:tr w:rsidR="0059790B" w:rsidRPr="00A43427" w14:paraId="1186E7E7" w14:textId="77777777" w:rsidTr="0059790B">
        <w:trPr>
          <w:trHeight w:val="307"/>
        </w:trPr>
        <w:tc>
          <w:tcPr>
            <w:tcW w:w="2588" w:type="dxa"/>
            <w:gridSpan w:val="2"/>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461EEE03" w14:textId="77777777" w:rsidR="0059790B" w:rsidRPr="006A0B80" w:rsidRDefault="0059790B" w:rsidP="0059790B">
            <w:pPr>
              <w:spacing w:before="40" w:after="40"/>
              <w:rPr>
                <w:color w:val="000000"/>
                <w:sz w:val="20"/>
                <w:szCs w:val="20"/>
              </w:rPr>
            </w:pPr>
            <w:r>
              <w:rPr>
                <w:color w:val="000000"/>
                <w:sz w:val="20"/>
                <w:szCs w:val="20"/>
              </w:rPr>
              <w:t>Highly skilled employment</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9DC3FB" w14:textId="77777777" w:rsidR="0059790B" w:rsidRPr="006A0B80" w:rsidRDefault="0059790B" w:rsidP="0059790B">
            <w:pPr>
              <w:spacing w:before="40" w:after="40"/>
              <w:jc w:val="right"/>
              <w:rPr>
                <w:color w:val="000000"/>
                <w:sz w:val="20"/>
                <w:szCs w:val="20"/>
              </w:rPr>
            </w:pPr>
            <w:r>
              <w:rPr>
                <w:color w:val="000000"/>
                <w:sz w:val="20"/>
                <w:szCs w:val="20"/>
              </w:rPr>
              <w:t>73.0</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743452" w14:textId="77777777" w:rsidR="0059790B" w:rsidRPr="006A0B80" w:rsidRDefault="0059790B" w:rsidP="0059790B">
            <w:pPr>
              <w:spacing w:before="40" w:after="40"/>
              <w:jc w:val="right"/>
              <w:rPr>
                <w:color w:val="000000"/>
                <w:sz w:val="20"/>
                <w:szCs w:val="20"/>
              </w:rPr>
            </w:pPr>
            <w:r>
              <w:rPr>
                <w:color w:val="000000"/>
                <w:sz w:val="20"/>
                <w:szCs w:val="20"/>
              </w:rPr>
              <w:t>70.2</w:t>
            </w:r>
          </w:p>
        </w:tc>
        <w:tc>
          <w:tcPr>
            <w:tcW w:w="788"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2B081A36" w14:textId="77777777" w:rsidR="0059790B" w:rsidRPr="006A0B80" w:rsidRDefault="0059790B" w:rsidP="0059790B">
            <w:pPr>
              <w:spacing w:before="40" w:after="40"/>
              <w:jc w:val="right"/>
              <w:rPr>
                <w:color w:val="000000"/>
                <w:sz w:val="20"/>
                <w:szCs w:val="20"/>
              </w:rPr>
            </w:pPr>
            <w:r>
              <w:rPr>
                <w:color w:val="000000"/>
                <w:sz w:val="20"/>
                <w:szCs w:val="20"/>
              </w:rPr>
              <w:t>2.2</w:t>
            </w:r>
          </w:p>
        </w:tc>
        <w:tc>
          <w:tcPr>
            <w:tcW w:w="65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70E25D16" w14:textId="77777777" w:rsidR="0059790B" w:rsidRPr="006A0B80" w:rsidRDefault="0059790B" w:rsidP="0059790B">
            <w:pPr>
              <w:spacing w:before="40" w:after="40"/>
              <w:jc w:val="right"/>
              <w:rPr>
                <w:color w:val="000000"/>
                <w:sz w:val="20"/>
                <w:szCs w:val="20"/>
              </w:rPr>
            </w:pPr>
            <w:r>
              <w:rPr>
                <w:color w:val="000000"/>
                <w:sz w:val="20"/>
                <w:szCs w:val="20"/>
              </w:rPr>
              <w:t>2.1</w:t>
            </w:r>
          </w:p>
        </w:tc>
        <w:tc>
          <w:tcPr>
            <w:tcW w:w="654" w:type="dxa"/>
            <w:tcBorders>
              <w:top w:val="single" w:sz="4" w:space="0" w:color="auto"/>
              <w:left w:val="nil"/>
              <w:bottom w:val="single" w:sz="4" w:space="0" w:color="auto"/>
              <w:right w:val="single" w:sz="4" w:space="0" w:color="auto"/>
            </w:tcBorders>
            <w:shd w:val="clear" w:color="auto" w:fill="D6E3BC" w:themeFill="accent3" w:themeFillTint="66"/>
          </w:tcPr>
          <w:p w14:paraId="3719FC2B" w14:textId="77777777" w:rsidR="0059790B" w:rsidRPr="006A0B80" w:rsidRDefault="0059790B" w:rsidP="0059790B">
            <w:pPr>
              <w:spacing w:before="40" w:after="40"/>
              <w:jc w:val="center"/>
              <w:rPr>
                <w:bCs/>
                <w:color w:val="000000"/>
                <w:sz w:val="20"/>
                <w:szCs w:val="20"/>
              </w:rPr>
            </w:pPr>
            <w:r>
              <w:rPr>
                <w:bCs/>
                <w:color w:val="000000"/>
                <w:sz w:val="20"/>
                <w:szCs w:val="20"/>
              </w:rPr>
              <w:t>+</w:t>
            </w:r>
          </w:p>
        </w:tc>
        <w:tc>
          <w:tcPr>
            <w:tcW w:w="3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BDC1A" w14:textId="77777777" w:rsidR="0059790B" w:rsidRPr="006A0B80" w:rsidRDefault="0059790B" w:rsidP="0059790B">
            <w:pPr>
              <w:spacing w:before="40" w:after="40"/>
              <w:jc w:val="center"/>
              <w:rPr>
                <w:bCs/>
                <w:color w:val="000000"/>
                <w:sz w:val="20"/>
                <w:szCs w:val="20"/>
              </w:rPr>
            </w:pPr>
            <w:r>
              <w:rPr>
                <w:bCs/>
                <w:color w:val="000000"/>
                <w:sz w:val="20"/>
                <w:szCs w:val="20"/>
              </w:rPr>
              <w:t>n</w:t>
            </w:r>
          </w:p>
        </w:tc>
        <w:tc>
          <w:tcPr>
            <w:tcW w:w="261" w:type="dxa"/>
            <w:tcBorders>
              <w:top w:val="single" w:sz="4" w:space="0" w:color="auto"/>
              <w:left w:val="single" w:sz="4" w:space="0" w:color="auto"/>
              <w:bottom w:val="single" w:sz="4" w:space="0" w:color="auto"/>
              <w:right w:val="single" w:sz="4" w:space="0" w:color="auto"/>
            </w:tcBorders>
            <w:vAlign w:val="center"/>
          </w:tcPr>
          <w:p w14:paraId="4567D385" w14:textId="77777777" w:rsidR="0059790B" w:rsidRPr="006A0B80" w:rsidRDefault="0059790B" w:rsidP="0059790B">
            <w:pPr>
              <w:spacing w:before="40" w:after="40"/>
              <w:jc w:val="center"/>
              <w:rPr>
                <w:bCs/>
                <w:color w:val="000000"/>
                <w:sz w:val="20"/>
                <w:szCs w:val="20"/>
              </w:rPr>
            </w:pPr>
          </w:p>
        </w:tc>
        <w:tc>
          <w:tcPr>
            <w:tcW w:w="3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A7BBE" w14:textId="77777777" w:rsidR="0059790B" w:rsidRPr="006A0B80" w:rsidRDefault="0059790B" w:rsidP="0059790B">
            <w:pPr>
              <w:spacing w:before="40" w:after="40"/>
              <w:jc w:val="center"/>
              <w:rPr>
                <w:b/>
                <w:bCs/>
                <w:color w:val="000000"/>
                <w:sz w:val="20"/>
                <w:szCs w:val="20"/>
              </w:rPr>
            </w:pP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A0D79" w14:textId="77777777" w:rsidR="0059790B" w:rsidRPr="006A0B80" w:rsidRDefault="0059790B" w:rsidP="0059790B">
            <w:pPr>
              <w:spacing w:before="40" w:after="40"/>
              <w:jc w:val="center"/>
              <w:rPr>
                <w:b/>
                <w:bCs/>
                <w:color w:val="FF0000"/>
                <w:sz w:val="20"/>
                <w:szCs w:val="20"/>
              </w:rPr>
            </w:pPr>
          </w:p>
        </w:tc>
        <w:tc>
          <w:tcPr>
            <w:tcW w:w="52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343D8EA" w14:textId="77777777" w:rsidR="0059790B" w:rsidRPr="006A0B80" w:rsidRDefault="0059790B" w:rsidP="0059790B">
            <w:pPr>
              <w:spacing w:before="40" w:after="40"/>
              <w:jc w:val="center"/>
              <w:rPr>
                <w:bCs/>
                <w:color w:val="000000" w:themeColor="text1"/>
                <w:sz w:val="20"/>
                <w:szCs w:val="20"/>
              </w:rPr>
            </w:pPr>
            <w:r>
              <w:rPr>
                <w:bCs/>
                <w:color w:val="000000" w:themeColor="text1"/>
                <w:sz w:val="20"/>
                <w:szCs w:val="20"/>
              </w:rPr>
              <w:t>n</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E54972" w14:textId="77777777" w:rsidR="0059790B" w:rsidRPr="006A0B80" w:rsidRDefault="0059790B" w:rsidP="0059790B">
            <w:pPr>
              <w:spacing w:before="40" w:after="40"/>
              <w:jc w:val="center"/>
              <w:rPr>
                <w:b/>
                <w:bCs/>
                <w:color w:val="FF0000"/>
                <w:sz w:val="20"/>
                <w:szCs w:val="2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3F7C59" w14:textId="77777777" w:rsidR="0059790B" w:rsidRPr="006A0B80" w:rsidRDefault="0059790B" w:rsidP="0059790B">
            <w:pPr>
              <w:spacing w:before="40" w:after="40"/>
              <w:jc w:val="center"/>
              <w:rPr>
                <w:b/>
                <w:bCs/>
                <w:color w:val="FF0000"/>
                <w:sz w:val="20"/>
                <w:szCs w:val="20"/>
              </w:rPr>
            </w:pPr>
          </w:p>
        </w:tc>
        <w:tc>
          <w:tcPr>
            <w:tcW w:w="3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22552" w14:textId="77777777" w:rsidR="0059790B" w:rsidRPr="006A0B80" w:rsidRDefault="0059790B" w:rsidP="0059790B">
            <w:pPr>
              <w:spacing w:before="40" w:after="40"/>
              <w:jc w:val="center"/>
              <w:rPr>
                <w:b/>
                <w:bCs/>
                <w:color w:val="FF0000"/>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AE7D1A" w14:textId="77777777" w:rsidR="0059790B" w:rsidRPr="006A0B80" w:rsidRDefault="0059790B" w:rsidP="0059790B">
            <w:pPr>
              <w:spacing w:before="40" w:after="40"/>
              <w:jc w:val="center"/>
              <w:rPr>
                <w:b/>
                <w:bCs/>
                <w:color w:val="FF0000"/>
                <w:sz w:val="20"/>
                <w:szCs w:val="20"/>
              </w:rPr>
            </w:pP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21EC6" w14:textId="77777777" w:rsidR="0059790B" w:rsidRPr="006A0B80" w:rsidRDefault="0059790B" w:rsidP="0059790B">
            <w:pPr>
              <w:spacing w:before="40" w:after="40"/>
              <w:jc w:val="center"/>
              <w:rPr>
                <w:b/>
                <w:bCs/>
                <w:color w:val="FF0000"/>
                <w:sz w:val="20"/>
                <w:szCs w:val="2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33A9D" w14:textId="77777777" w:rsidR="0059790B" w:rsidRPr="006A0B80" w:rsidRDefault="0059790B" w:rsidP="0059790B">
            <w:pPr>
              <w:spacing w:before="40" w:after="40"/>
              <w:jc w:val="center"/>
              <w:rPr>
                <w:b/>
                <w:bCs/>
                <w:color w:val="FF0000"/>
                <w:sz w:val="20"/>
                <w:szCs w:val="20"/>
              </w:rPr>
            </w:pPr>
          </w:p>
        </w:tc>
        <w:tc>
          <w:tcPr>
            <w:tcW w:w="52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8CC8B13" w14:textId="77777777" w:rsidR="0059790B" w:rsidRPr="006A0B80" w:rsidRDefault="0059790B" w:rsidP="0059790B">
            <w:pPr>
              <w:spacing w:before="40" w:after="40"/>
              <w:jc w:val="center"/>
              <w:rPr>
                <w:bCs/>
                <w:color w:val="000000" w:themeColor="text1"/>
                <w:sz w:val="20"/>
                <w:szCs w:val="20"/>
              </w:rPr>
            </w:pPr>
            <w:r>
              <w:rPr>
                <w:bCs/>
                <w:color w:val="000000" w:themeColor="text1"/>
                <w:sz w:val="20"/>
                <w:szCs w:val="20"/>
              </w:rPr>
              <w:t>n</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0436D" w14:textId="77777777" w:rsidR="0059790B" w:rsidRPr="006A0B80" w:rsidRDefault="0059790B" w:rsidP="0059790B">
            <w:pPr>
              <w:spacing w:before="40" w:after="40"/>
              <w:jc w:val="center"/>
              <w:rPr>
                <w:b/>
                <w:bCs/>
                <w:color w:val="FF0000"/>
                <w:sz w:val="20"/>
                <w:szCs w:val="20"/>
              </w:rPr>
            </w:pPr>
          </w:p>
        </w:tc>
        <w:tc>
          <w:tcPr>
            <w:tcW w:w="655" w:type="dxa"/>
            <w:tcBorders>
              <w:top w:val="single" w:sz="4" w:space="0" w:color="auto"/>
              <w:left w:val="single" w:sz="4" w:space="0" w:color="auto"/>
              <w:bottom w:val="single" w:sz="4" w:space="0" w:color="auto"/>
              <w:right w:val="single" w:sz="4" w:space="0" w:color="auto"/>
            </w:tcBorders>
            <w:shd w:val="thinDiagStripe" w:color="auto" w:fill="FFFFFF" w:themeFill="background1"/>
            <w:noWrap/>
            <w:vAlign w:val="bottom"/>
          </w:tcPr>
          <w:p w14:paraId="3727792D" w14:textId="77777777" w:rsidR="0059790B" w:rsidRPr="006A0B80" w:rsidRDefault="0059790B" w:rsidP="0059790B">
            <w:pPr>
              <w:spacing w:before="40" w:after="40"/>
              <w:jc w:val="center"/>
              <w:rPr>
                <w:b/>
                <w:bCs/>
                <w:color w:val="000000" w:themeColor="text1"/>
                <w:sz w:val="20"/>
                <w:szCs w:val="20"/>
              </w:rPr>
            </w:pPr>
          </w:p>
        </w:tc>
        <w:tc>
          <w:tcPr>
            <w:tcW w:w="784" w:type="dxa"/>
            <w:gridSpan w:val="2"/>
            <w:tcBorders>
              <w:top w:val="single" w:sz="4" w:space="0" w:color="auto"/>
              <w:left w:val="single" w:sz="4" w:space="0" w:color="auto"/>
              <w:bottom w:val="single" w:sz="4" w:space="0" w:color="auto"/>
              <w:right w:val="single" w:sz="4" w:space="0" w:color="auto"/>
            </w:tcBorders>
            <w:shd w:val="thinDiagStripe" w:color="auto" w:fill="FFFFFF" w:themeFill="background1"/>
            <w:noWrap/>
            <w:vAlign w:val="bottom"/>
          </w:tcPr>
          <w:p w14:paraId="00607F41" w14:textId="77777777" w:rsidR="0059790B" w:rsidRPr="006A0B80" w:rsidRDefault="0059790B" w:rsidP="0059790B">
            <w:pPr>
              <w:spacing w:before="40" w:after="40"/>
              <w:jc w:val="center"/>
              <w:rPr>
                <w:b/>
                <w:bCs/>
                <w:color w:val="000000" w:themeColor="text1"/>
                <w:sz w:val="20"/>
                <w:szCs w:val="20"/>
              </w:rPr>
            </w:pPr>
          </w:p>
        </w:tc>
        <w:tc>
          <w:tcPr>
            <w:tcW w:w="393" w:type="dxa"/>
            <w:tcBorders>
              <w:top w:val="single" w:sz="4" w:space="0" w:color="auto"/>
              <w:left w:val="single" w:sz="4" w:space="0" w:color="auto"/>
              <w:bottom w:val="single" w:sz="4" w:space="0" w:color="auto"/>
              <w:right w:val="single" w:sz="4" w:space="0" w:color="auto"/>
            </w:tcBorders>
            <w:shd w:val="thinDiagStripe" w:color="auto" w:fill="FFFFFF" w:themeFill="background1"/>
            <w:noWrap/>
            <w:vAlign w:val="bottom"/>
          </w:tcPr>
          <w:p w14:paraId="10FE942B" w14:textId="77777777" w:rsidR="0059790B" w:rsidRPr="006A0B80" w:rsidRDefault="0059790B" w:rsidP="0059790B">
            <w:pPr>
              <w:spacing w:before="40" w:after="40"/>
              <w:jc w:val="center"/>
              <w:rPr>
                <w:b/>
                <w:bCs/>
                <w:color w:val="000000" w:themeColor="text1"/>
                <w:sz w:val="20"/>
                <w:szCs w:val="20"/>
              </w:rPr>
            </w:pPr>
          </w:p>
        </w:tc>
      </w:tr>
    </w:tbl>
    <w:p w14:paraId="7F7B4630" w14:textId="77777777" w:rsidR="0059790B" w:rsidRPr="00175396" w:rsidRDefault="0059790B" w:rsidP="0059790B">
      <w:pPr>
        <w:spacing w:after="0"/>
        <w:rPr>
          <w:sz w:val="12"/>
          <w:szCs w:val="12"/>
        </w:rPr>
      </w:pPr>
    </w:p>
    <w:p w14:paraId="37409774" w14:textId="77777777" w:rsidR="0059790B" w:rsidRPr="00D35CEB" w:rsidRDefault="0059790B" w:rsidP="0059790B">
      <w:pPr>
        <w:spacing w:after="0"/>
        <w:ind w:left="-567"/>
        <w:rPr>
          <w:sz w:val="20"/>
          <w:szCs w:val="20"/>
        </w:rPr>
      </w:pPr>
      <w:r w:rsidRPr="00D35CEB">
        <w:rPr>
          <w:sz w:val="20"/>
          <w:szCs w:val="20"/>
        </w:rPr>
        <w:t>Key</w:t>
      </w:r>
    </w:p>
    <w:tbl>
      <w:tblPr>
        <w:tblW w:w="0" w:type="auto"/>
        <w:tblInd w:w="-431" w:type="dxa"/>
        <w:tblLook w:val="04A0" w:firstRow="1" w:lastRow="0" w:firstColumn="1" w:lastColumn="0" w:noHBand="0" w:noVBand="1"/>
      </w:tblPr>
      <w:tblGrid>
        <w:gridCol w:w="460"/>
        <w:gridCol w:w="6670"/>
      </w:tblGrid>
      <w:tr w:rsidR="0059790B" w:rsidRPr="00D35CEB" w14:paraId="2CDB4404" w14:textId="77777777" w:rsidTr="0059790B">
        <w:trPr>
          <w:trHeight w:val="91"/>
        </w:trPr>
        <w:tc>
          <w:tcPr>
            <w:tcW w:w="460" w:type="dxa"/>
            <w:shd w:val="clear" w:color="auto" w:fill="D6E3BC" w:themeFill="accent3" w:themeFillTint="66"/>
          </w:tcPr>
          <w:p w14:paraId="43FF1E79" w14:textId="77777777" w:rsidR="0059790B" w:rsidRPr="00175396" w:rsidRDefault="0059790B" w:rsidP="0059790B">
            <w:pPr>
              <w:spacing w:after="0"/>
              <w:jc w:val="center"/>
              <w:rPr>
                <w:sz w:val="16"/>
                <w:szCs w:val="16"/>
              </w:rPr>
            </w:pPr>
            <w:r w:rsidRPr="00175396">
              <w:rPr>
                <w:sz w:val="16"/>
                <w:szCs w:val="16"/>
              </w:rPr>
              <w:t>+</w:t>
            </w:r>
          </w:p>
        </w:tc>
        <w:tc>
          <w:tcPr>
            <w:tcW w:w="6670" w:type="dxa"/>
          </w:tcPr>
          <w:p w14:paraId="2D40DFED" w14:textId="77777777" w:rsidR="0059790B" w:rsidRPr="00175396" w:rsidRDefault="0059790B" w:rsidP="0059790B">
            <w:pPr>
              <w:spacing w:after="0"/>
              <w:rPr>
                <w:sz w:val="16"/>
                <w:szCs w:val="16"/>
              </w:rPr>
            </w:pPr>
            <w:r w:rsidRPr="00175396">
              <w:rPr>
                <w:sz w:val="16"/>
                <w:szCs w:val="16"/>
              </w:rPr>
              <w:t>The indicator for that year or split is significantly above benchmark</w:t>
            </w:r>
          </w:p>
        </w:tc>
      </w:tr>
      <w:tr w:rsidR="0059790B" w:rsidRPr="00D35CEB" w14:paraId="46F0B218" w14:textId="77777777" w:rsidTr="0059790B">
        <w:trPr>
          <w:trHeight w:val="111"/>
        </w:trPr>
        <w:tc>
          <w:tcPr>
            <w:tcW w:w="460" w:type="dxa"/>
            <w:shd w:val="clear" w:color="auto" w:fill="F2DBDB" w:themeFill="accent2" w:themeFillTint="33"/>
          </w:tcPr>
          <w:p w14:paraId="72CD1AC7" w14:textId="77777777" w:rsidR="0059790B" w:rsidRPr="00175396" w:rsidRDefault="0059790B" w:rsidP="0059790B">
            <w:pPr>
              <w:spacing w:after="0"/>
              <w:jc w:val="center"/>
              <w:rPr>
                <w:sz w:val="16"/>
                <w:szCs w:val="16"/>
              </w:rPr>
            </w:pPr>
            <w:r w:rsidRPr="00175396">
              <w:rPr>
                <w:sz w:val="16"/>
                <w:szCs w:val="16"/>
              </w:rPr>
              <w:t>-</w:t>
            </w:r>
          </w:p>
        </w:tc>
        <w:tc>
          <w:tcPr>
            <w:tcW w:w="6670" w:type="dxa"/>
          </w:tcPr>
          <w:p w14:paraId="41892F84" w14:textId="77777777" w:rsidR="0059790B" w:rsidRPr="00175396" w:rsidRDefault="0059790B" w:rsidP="0059790B">
            <w:pPr>
              <w:spacing w:after="0"/>
              <w:rPr>
                <w:sz w:val="16"/>
                <w:szCs w:val="16"/>
              </w:rPr>
            </w:pPr>
            <w:r w:rsidRPr="00175396">
              <w:rPr>
                <w:sz w:val="16"/>
                <w:szCs w:val="16"/>
              </w:rPr>
              <w:t>The indicator for that year or split is significantly below benchmark</w:t>
            </w:r>
          </w:p>
        </w:tc>
      </w:tr>
      <w:tr w:rsidR="0059790B" w:rsidRPr="00D35CEB" w14:paraId="56B51444" w14:textId="77777777" w:rsidTr="0059790B">
        <w:trPr>
          <w:trHeight w:val="111"/>
        </w:trPr>
        <w:tc>
          <w:tcPr>
            <w:tcW w:w="460" w:type="dxa"/>
            <w:tcBorders>
              <w:bottom w:val="single" w:sz="4" w:space="0" w:color="auto"/>
            </w:tcBorders>
            <w:shd w:val="clear" w:color="auto" w:fill="DBE5F1" w:themeFill="accent1" w:themeFillTint="33"/>
          </w:tcPr>
          <w:p w14:paraId="1AED2614" w14:textId="77777777" w:rsidR="0059790B" w:rsidRPr="00175396" w:rsidRDefault="0059790B" w:rsidP="0059790B">
            <w:pPr>
              <w:spacing w:after="0"/>
              <w:jc w:val="center"/>
              <w:rPr>
                <w:sz w:val="16"/>
                <w:szCs w:val="16"/>
              </w:rPr>
            </w:pPr>
            <w:r w:rsidRPr="00175396">
              <w:rPr>
                <w:sz w:val="16"/>
                <w:szCs w:val="16"/>
              </w:rPr>
              <w:t>n</w:t>
            </w:r>
          </w:p>
        </w:tc>
        <w:tc>
          <w:tcPr>
            <w:tcW w:w="6670" w:type="dxa"/>
          </w:tcPr>
          <w:p w14:paraId="16DA7B33" w14:textId="77777777" w:rsidR="0059790B" w:rsidRPr="00175396" w:rsidRDefault="0059790B" w:rsidP="0059790B">
            <w:pPr>
              <w:spacing w:after="0"/>
              <w:rPr>
                <w:sz w:val="16"/>
                <w:szCs w:val="16"/>
              </w:rPr>
            </w:pPr>
            <w:r w:rsidRPr="00175396">
              <w:rPr>
                <w:sz w:val="16"/>
                <w:szCs w:val="16"/>
              </w:rPr>
              <w:t>Not reportable (fewer than 10 students or the response rate is too low)</w:t>
            </w:r>
          </w:p>
        </w:tc>
      </w:tr>
      <w:tr w:rsidR="0059790B" w:rsidRPr="00D35CEB" w14:paraId="0EC59AAA" w14:textId="77777777" w:rsidTr="0059790B">
        <w:trPr>
          <w:trHeight w:val="117"/>
        </w:trPr>
        <w:tc>
          <w:tcPr>
            <w:tcW w:w="460" w:type="dxa"/>
            <w:shd w:val="thinDiagStripe" w:color="auto" w:fill="auto"/>
          </w:tcPr>
          <w:p w14:paraId="7BD74C24" w14:textId="77777777" w:rsidR="0059790B" w:rsidRPr="00175396" w:rsidRDefault="0059790B" w:rsidP="0059790B">
            <w:pPr>
              <w:spacing w:after="0"/>
              <w:rPr>
                <w:sz w:val="16"/>
                <w:szCs w:val="16"/>
              </w:rPr>
            </w:pPr>
          </w:p>
        </w:tc>
        <w:tc>
          <w:tcPr>
            <w:tcW w:w="6670" w:type="dxa"/>
          </w:tcPr>
          <w:p w14:paraId="0D91004F" w14:textId="77777777" w:rsidR="0059790B" w:rsidRPr="00175396" w:rsidRDefault="0059790B" w:rsidP="0059790B">
            <w:pPr>
              <w:spacing w:after="0"/>
              <w:rPr>
                <w:sz w:val="16"/>
                <w:szCs w:val="16"/>
              </w:rPr>
            </w:pPr>
            <w:r w:rsidRPr="00175396">
              <w:rPr>
                <w:sz w:val="16"/>
                <w:szCs w:val="16"/>
              </w:rPr>
              <w:t>Not applicable</w:t>
            </w:r>
          </w:p>
        </w:tc>
      </w:tr>
    </w:tbl>
    <w:p w14:paraId="32313F5A" w14:textId="77777777" w:rsidR="000630C2" w:rsidRDefault="000630C2" w:rsidP="0059790B">
      <w:pPr>
        <w:rPr>
          <w:sz w:val="20"/>
          <w:szCs w:val="20"/>
        </w:rPr>
        <w:sectPr w:rsidR="000630C2" w:rsidSect="0059790B">
          <w:pgSz w:w="16838" w:h="11906" w:orient="landscape" w:code="9"/>
          <w:pgMar w:top="1134" w:right="1701" w:bottom="1134" w:left="1134" w:header="437" w:footer="266" w:gutter="0"/>
          <w:cols w:space="720"/>
          <w:titlePg/>
          <w:docGrid w:linePitch="326"/>
        </w:sectPr>
      </w:pPr>
    </w:p>
    <w:p w14:paraId="63BF95DF" w14:textId="77777777" w:rsidR="000630C2" w:rsidRDefault="000630C2" w:rsidP="000630C2">
      <w:pPr>
        <w:pStyle w:val="Heading2"/>
      </w:pPr>
      <w:bookmarkStart w:id="120" w:name="_Toc450148026"/>
      <w:bookmarkStart w:id="121" w:name="_Toc450886596"/>
      <w:r>
        <w:lastRenderedPageBreak/>
        <w:t>Annex D</w:t>
      </w:r>
      <w:r w:rsidRPr="00B10922">
        <w:t xml:space="preserve">: </w:t>
      </w:r>
      <w:r>
        <w:t>Summary of potential unintended consequences on TEF metrics and proposed mitigations</w:t>
      </w:r>
      <w:bookmarkEnd w:id="120"/>
      <w:bookmarkEnd w:id="121"/>
    </w:p>
    <w:p w14:paraId="47E57C54" w14:textId="77777777" w:rsidR="000630C2" w:rsidRDefault="000630C2" w:rsidP="000630C2">
      <w:pPr>
        <w:pStyle w:val="ListParagraph"/>
        <w:numPr>
          <w:ilvl w:val="0"/>
          <w:numId w:val="18"/>
        </w:numPr>
        <w:tabs>
          <w:tab w:val="left" w:pos="142"/>
        </w:tabs>
        <w:spacing w:after="0"/>
        <w:ind w:left="142" w:hanging="568"/>
        <w:rPr>
          <w:rFonts w:ascii="Arial" w:hAnsi="Arial" w:cs="Arial"/>
          <w:sz w:val="24"/>
          <w:szCs w:val="24"/>
        </w:rPr>
      </w:pPr>
      <w:r w:rsidRPr="00AF7684">
        <w:rPr>
          <w:rFonts w:ascii="Arial" w:hAnsi="Arial" w:cs="Arial"/>
          <w:sz w:val="24"/>
          <w:szCs w:val="24"/>
        </w:rPr>
        <w:t xml:space="preserve">The </w:t>
      </w:r>
      <w:r w:rsidRPr="00AF7684">
        <w:rPr>
          <w:rFonts w:ascii="Arial" w:hAnsi="Arial" w:cs="Arial"/>
          <w:b/>
          <w:sz w:val="24"/>
          <w:szCs w:val="24"/>
        </w:rPr>
        <w:t>BIS Select Committee</w:t>
      </w:r>
      <w:r w:rsidRPr="00AF7684">
        <w:rPr>
          <w:rFonts w:ascii="Arial" w:hAnsi="Arial" w:cs="Arial"/>
          <w:sz w:val="24"/>
          <w:szCs w:val="24"/>
        </w:rPr>
        <w:t xml:space="preserve"> highlighted their concerns in their report: The Teaching Excellence Framework: Assessing quality in Higher Education</w:t>
      </w:r>
      <w:r w:rsidRPr="00FE2F3E">
        <w:rPr>
          <w:rStyle w:val="FootnoteReference"/>
          <w:rFonts w:eastAsia="Times New Roman" w:cs="Times New Roman"/>
          <w:b/>
          <w:bCs/>
          <w:color w:val="000000"/>
          <w:sz w:val="18"/>
          <w:szCs w:val="18"/>
        </w:rPr>
        <w:footnoteReference w:id="39"/>
      </w:r>
      <w:r w:rsidRPr="00AF7684">
        <w:rPr>
          <w:rFonts w:ascii="Arial" w:hAnsi="Arial" w:cs="Arial"/>
          <w:sz w:val="24"/>
          <w:szCs w:val="24"/>
        </w:rPr>
        <w:t xml:space="preserve"> that “there could be unintended consequences, which could arise from an institution seeking to optimise its score on each metric.” It requested that BIS include an assessment of the unintended consequences and proposed mitigations in the Technical Consultation. The following table responds to their request:</w:t>
      </w:r>
    </w:p>
    <w:p w14:paraId="49DF8712" w14:textId="77777777" w:rsidR="000630C2" w:rsidRPr="00AF7684" w:rsidRDefault="000630C2" w:rsidP="000630C2">
      <w:pPr>
        <w:pStyle w:val="ListParagraph"/>
        <w:tabs>
          <w:tab w:val="left" w:pos="142"/>
        </w:tabs>
        <w:spacing w:after="0"/>
        <w:ind w:left="142"/>
        <w:rPr>
          <w:rFonts w:ascii="Arial" w:hAnsi="Arial" w:cs="Arial"/>
          <w:sz w:val="24"/>
          <w:szCs w:val="24"/>
        </w:rPr>
      </w:pPr>
    </w:p>
    <w:p w14:paraId="1F4D8E3D" w14:textId="77777777" w:rsidR="000630C2" w:rsidRDefault="000630C2" w:rsidP="000630C2">
      <w:pPr>
        <w:pStyle w:val="ListParagraph"/>
        <w:numPr>
          <w:ilvl w:val="0"/>
          <w:numId w:val="18"/>
        </w:numPr>
        <w:tabs>
          <w:tab w:val="left" w:pos="142"/>
        </w:tabs>
        <w:spacing w:after="0"/>
        <w:ind w:left="142" w:hanging="568"/>
        <w:rPr>
          <w:rFonts w:ascii="Arial" w:hAnsi="Arial" w:cs="Arial"/>
          <w:b/>
          <w:sz w:val="24"/>
          <w:szCs w:val="24"/>
        </w:rPr>
      </w:pPr>
      <w:r w:rsidRPr="00AF7684">
        <w:rPr>
          <w:rFonts w:ascii="Arial" w:hAnsi="Arial" w:cs="Arial"/>
          <w:b/>
          <w:sz w:val="24"/>
          <w:szCs w:val="24"/>
        </w:rPr>
        <w:t>Table 3: Mitigations for the metrics for the TEF in Year Two</w:t>
      </w:r>
    </w:p>
    <w:p w14:paraId="7D5685AF" w14:textId="77777777" w:rsidR="000630C2" w:rsidRDefault="000630C2" w:rsidP="000630C2">
      <w:pPr>
        <w:tabs>
          <w:tab w:val="left" w:pos="142"/>
        </w:tabs>
        <w:spacing w:after="0"/>
        <w:rPr>
          <w:rFonts w:cs="Arial"/>
          <w:b/>
        </w:rPr>
      </w:pPr>
    </w:p>
    <w:tbl>
      <w:tblPr>
        <w:tblStyle w:val="Table-bluegrid"/>
        <w:tblW w:w="5000" w:type="pct"/>
        <w:tblLayout w:type="fixed"/>
        <w:tblLook w:val="01E0" w:firstRow="1" w:lastRow="1" w:firstColumn="1" w:lastColumn="1" w:noHBand="0" w:noVBand="0"/>
      </w:tblPr>
      <w:tblGrid>
        <w:gridCol w:w="1951"/>
        <w:gridCol w:w="2269"/>
        <w:gridCol w:w="4109"/>
        <w:gridCol w:w="5890"/>
      </w:tblGrid>
      <w:tr w:rsidR="000630C2" w:rsidRPr="0028755F" w14:paraId="0079C81F" w14:textId="77777777" w:rsidTr="003327AA">
        <w:trPr>
          <w:cnfStyle w:val="100000000000" w:firstRow="1" w:lastRow="0" w:firstColumn="0" w:lastColumn="0" w:oddVBand="0" w:evenVBand="0" w:oddHBand="0" w:evenHBand="0" w:firstRowFirstColumn="0" w:firstRowLastColumn="0" w:lastRowFirstColumn="0" w:lastRowLastColumn="0"/>
          <w:trHeight w:val="166"/>
        </w:trPr>
        <w:tc>
          <w:tcPr>
            <w:tcW w:w="686" w:type="pct"/>
          </w:tcPr>
          <w:p w14:paraId="7B538E5F" w14:textId="77777777" w:rsidR="000630C2" w:rsidRPr="0095568B" w:rsidRDefault="000630C2" w:rsidP="003327AA">
            <w:pPr>
              <w:pStyle w:val="Tabletitle-WhiteSmall"/>
            </w:pPr>
            <w:r>
              <w:t>Data Source</w:t>
            </w:r>
          </w:p>
        </w:tc>
        <w:tc>
          <w:tcPr>
            <w:tcW w:w="798" w:type="pct"/>
          </w:tcPr>
          <w:p w14:paraId="4F89BFD5" w14:textId="77777777" w:rsidR="000630C2" w:rsidRPr="0095568B" w:rsidRDefault="000630C2" w:rsidP="003327AA">
            <w:pPr>
              <w:pStyle w:val="Tabletitle-WhiteSmall"/>
            </w:pPr>
            <w:r>
              <w:t>Metric(s)</w:t>
            </w:r>
          </w:p>
        </w:tc>
        <w:tc>
          <w:tcPr>
            <w:tcW w:w="1445" w:type="pct"/>
          </w:tcPr>
          <w:p w14:paraId="729128D1" w14:textId="77777777" w:rsidR="000630C2" w:rsidRPr="00E814F8" w:rsidRDefault="000630C2" w:rsidP="003327AA">
            <w:pPr>
              <w:pStyle w:val="Tabletitle-WhiteSmall"/>
            </w:pPr>
            <w:r>
              <w:t>Associated risk of unintended consequence</w:t>
            </w:r>
          </w:p>
        </w:tc>
        <w:tc>
          <w:tcPr>
            <w:tcW w:w="2071" w:type="pct"/>
          </w:tcPr>
          <w:p w14:paraId="45D7BCFB" w14:textId="77777777" w:rsidR="000630C2" w:rsidRDefault="000630C2" w:rsidP="003327AA">
            <w:pPr>
              <w:pStyle w:val="Tabletitle-WhiteSmall"/>
            </w:pPr>
            <w:r>
              <w:t>Proposed mitigations</w:t>
            </w:r>
          </w:p>
        </w:tc>
      </w:tr>
      <w:tr w:rsidR="000630C2" w:rsidRPr="00015C4E" w14:paraId="0E794A50" w14:textId="77777777" w:rsidTr="003327AA">
        <w:trPr>
          <w:trHeight w:val="342"/>
        </w:trPr>
        <w:tc>
          <w:tcPr>
            <w:tcW w:w="686" w:type="pct"/>
          </w:tcPr>
          <w:p w14:paraId="5AFF060E" w14:textId="77777777" w:rsidR="000630C2" w:rsidRPr="00EB512E" w:rsidRDefault="000630C2" w:rsidP="003327AA">
            <w:pPr>
              <w:rPr>
                <w:rFonts w:cs="Arial"/>
                <w:b/>
                <w:color w:val="000000"/>
                <w:sz w:val="22"/>
                <w:szCs w:val="22"/>
              </w:rPr>
            </w:pPr>
            <w:r w:rsidRPr="00EB512E">
              <w:rPr>
                <w:rFonts w:cs="Arial"/>
                <w:b/>
                <w:color w:val="000000"/>
                <w:sz w:val="22"/>
                <w:szCs w:val="22"/>
              </w:rPr>
              <w:t>National Student Survey</w:t>
            </w:r>
          </w:p>
          <w:p w14:paraId="04983B28" w14:textId="77777777" w:rsidR="000630C2" w:rsidRPr="00EB512E" w:rsidRDefault="000630C2" w:rsidP="003327AA">
            <w:pPr>
              <w:rPr>
                <w:rFonts w:cs="Arial"/>
                <w:b/>
                <w:color w:val="000000"/>
                <w:sz w:val="22"/>
                <w:szCs w:val="22"/>
              </w:rPr>
            </w:pPr>
          </w:p>
          <w:p w14:paraId="5F2213F8" w14:textId="77777777" w:rsidR="000630C2" w:rsidRPr="00EB512E" w:rsidRDefault="000630C2" w:rsidP="003327AA">
            <w:pPr>
              <w:pStyle w:val="Tabletext-Small"/>
              <w:rPr>
                <w:sz w:val="22"/>
                <w:szCs w:val="22"/>
              </w:rPr>
            </w:pPr>
          </w:p>
        </w:tc>
        <w:tc>
          <w:tcPr>
            <w:tcW w:w="798" w:type="pct"/>
          </w:tcPr>
          <w:p w14:paraId="3964F1E7" w14:textId="77777777" w:rsidR="000630C2" w:rsidRPr="00EB512E" w:rsidRDefault="000630C2" w:rsidP="003327AA">
            <w:pPr>
              <w:pStyle w:val="Pa25"/>
              <w:numPr>
                <w:ilvl w:val="0"/>
                <w:numId w:val="15"/>
              </w:numPr>
              <w:spacing w:after="120"/>
              <w:ind w:left="318" w:hanging="318"/>
              <w:rPr>
                <w:rFonts w:ascii="Arial" w:eastAsia="Times New Roman" w:hAnsi="Arial" w:cs="Arial"/>
                <w:color w:val="000000"/>
                <w:sz w:val="22"/>
                <w:szCs w:val="22"/>
              </w:rPr>
            </w:pPr>
            <w:r w:rsidRPr="00EB512E">
              <w:rPr>
                <w:rFonts w:ascii="Arial" w:eastAsia="Times New Roman" w:hAnsi="Arial" w:cs="Arial"/>
                <w:color w:val="000000"/>
                <w:sz w:val="22"/>
                <w:szCs w:val="22"/>
              </w:rPr>
              <w:t>The teaching on my course</w:t>
            </w:r>
          </w:p>
          <w:p w14:paraId="70A0F877" w14:textId="77777777" w:rsidR="000630C2" w:rsidRDefault="000630C2" w:rsidP="003327AA">
            <w:pPr>
              <w:pStyle w:val="ListParagraph"/>
              <w:numPr>
                <w:ilvl w:val="0"/>
                <w:numId w:val="15"/>
              </w:numPr>
              <w:spacing w:after="120"/>
              <w:ind w:left="318" w:hanging="318"/>
              <w:rPr>
                <w:rFonts w:ascii="Arial" w:hAnsi="Arial" w:cs="Arial"/>
                <w:color w:val="000000"/>
              </w:rPr>
            </w:pPr>
            <w:r w:rsidRPr="00EB512E">
              <w:rPr>
                <w:rFonts w:ascii="Arial" w:hAnsi="Arial" w:cs="Arial"/>
                <w:color w:val="000000"/>
              </w:rPr>
              <w:t>Assessment and feedback</w:t>
            </w:r>
          </w:p>
          <w:p w14:paraId="6A68ED5B" w14:textId="77777777" w:rsidR="000630C2" w:rsidRPr="00EB512E" w:rsidRDefault="000630C2" w:rsidP="003327AA">
            <w:pPr>
              <w:pStyle w:val="ListParagraph"/>
              <w:spacing w:after="120"/>
              <w:ind w:left="318"/>
              <w:rPr>
                <w:rFonts w:ascii="Arial" w:hAnsi="Arial" w:cs="Arial"/>
                <w:color w:val="000000"/>
              </w:rPr>
            </w:pPr>
          </w:p>
          <w:p w14:paraId="5666AD46" w14:textId="77777777" w:rsidR="000630C2" w:rsidRPr="00EB512E" w:rsidRDefault="000630C2" w:rsidP="003327AA">
            <w:pPr>
              <w:pStyle w:val="ListParagraph"/>
              <w:numPr>
                <w:ilvl w:val="0"/>
                <w:numId w:val="15"/>
              </w:numPr>
              <w:spacing w:after="120"/>
              <w:ind w:left="318" w:hanging="318"/>
              <w:rPr>
                <w:rFonts w:ascii="Arial" w:hAnsi="Arial" w:cs="Arial"/>
                <w:color w:val="000000"/>
              </w:rPr>
            </w:pPr>
            <w:r w:rsidRPr="00EB512E">
              <w:rPr>
                <w:rFonts w:ascii="Arial" w:hAnsi="Arial" w:cs="Arial"/>
                <w:color w:val="000000"/>
              </w:rPr>
              <w:t>Academic support</w:t>
            </w:r>
          </w:p>
          <w:p w14:paraId="3C1241E1" w14:textId="77777777" w:rsidR="000630C2" w:rsidRPr="00EB512E" w:rsidRDefault="000630C2" w:rsidP="003327AA">
            <w:pPr>
              <w:pStyle w:val="Tabletext-Small"/>
              <w:rPr>
                <w:sz w:val="22"/>
                <w:szCs w:val="22"/>
              </w:rPr>
            </w:pPr>
          </w:p>
        </w:tc>
        <w:tc>
          <w:tcPr>
            <w:tcW w:w="1445" w:type="pct"/>
          </w:tcPr>
          <w:p w14:paraId="23761A59" w14:textId="77777777" w:rsidR="000630C2" w:rsidRPr="00EB512E" w:rsidRDefault="000630C2" w:rsidP="003327AA">
            <w:pPr>
              <w:pStyle w:val="ListParagraph"/>
              <w:numPr>
                <w:ilvl w:val="0"/>
                <w:numId w:val="15"/>
              </w:numPr>
              <w:ind w:left="317" w:hanging="283"/>
              <w:rPr>
                <w:rFonts w:ascii="Arial" w:hAnsi="Arial" w:cs="Arial"/>
              </w:rPr>
            </w:pPr>
            <w:r w:rsidRPr="00EB512E">
              <w:rPr>
                <w:rFonts w:ascii="Arial" w:hAnsi="Arial" w:cs="Arial"/>
                <w:color w:val="000000"/>
                <w:u w:val="single"/>
              </w:rPr>
              <w:t xml:space="preserve">Risk </w:t>
            </w:r>
            <w:r w:rsidRPr="00EB512E">
              <w:rPr>
                <w:rFonts w:ascii="Arial" w:hAnsi="Arial" w:cs="Arial"/>
                <w:color w:val="000000"/>
              </w:rPr>
              <w:t xml:space="preserve">that the scores rely on student assessment, which is subjective </w:t>
            </w:r>
          </w:p>
          <w:p w14:paraId="04DD985C" w14:textId="77777777" w:rsidR="000630C2" w:rsidRPr="00EB512E" w:rsidRDefault="000630C2" w:rsidP="003327AA">
            <w:pPr>
              <w:pStyle w:val="ListParagraph"/>
              <w:ind w:left="317"/>
              <w:rPr>
                <w:rFonts w:ascii="Arial" w:hAnsi="Arial" w:cs="Arial"/>
              </w:rPr>
            </w:pPr>
          </w:p>
          <w:p w14:paraId="442AB499" w14:textId="77777777" w:rsidR="000630C2" w:rsidRDefault="000630C2" w:rsidP="003327AA">
            <w:pPr>
              <w:pStyle w:val="ListParagraph"/>
              <w:numPr>
                <w:ilvl w:val="0"/>
                <w:numId w:val="15"/>
              </w:numPr>
              <w:ind w:left="317" w:hanging="283"/>
              <w:rPr>
                <w:rFonts w:ascii="Arial" w:hAnsi="Arial" w:cs="Arial"/>
              </w:rPr>
            </w:pPr>
            <w:r w:rsidRPr="00EB512E">
              <w:rPr>
                <w:rFonts w:ascii="Arial" w:hAnsi="Arial" w:cs="Arial"/>
                <w:color w:val="000000"/>
                <w:u w:val="single"/>
              </w:rPr>
              <w:t>Possible unintended consequence</w:t>
            </w:r>
            <w:r w:rsidRPr="00EB512E">
              <w:rPr>
                <w:rFonts w:ascii="Arial" w:hAnsi="Arial" w:cs="Arial"/>
                <w:color w:val="000000"/>
              </w:rPr>
              <w:t xml:space="preserve"> that students may undermine the validity or “game” the NSS by reporting high/low scores with different aims in mind</w:t>
            </w:r>
            <w:r>
              <w:rPr>
                <w:rFonts w:ascii="Arial" w:hAnsi="Arial" w:cs="Arial"/>
                <w:color w:val="000000"/>
              </w:rPr>
              <w:t xml:space="preserve">. </w:t>
            </w:r>
            <w:r w:rsidRPr="008166AC">
              <w:rPr>
                <w:rFonts w:ascii="Arial" w:hAnsi="Arial" w:cs="Arial"/>
              </w:rPr>
              <w:t xml:space="preserve"> </w:t>
            </w:r>
          </w:p>
          <w:p w14:paraId="355F2DBF" w14:textId="77777777" w:rsidR="000630C2" w:rsidRPr="0059790B" w:rsidRDefault="000630C2" w:rsidP="003327AA">
            <w:pPr>
              <w:pStyle w:val="ListParagraph"/>
              <w:rPr>
                <w:rFonts w:ascii="Arial" w:hAnsi="Arial" w:cs="Arial"/>
              </w:rPr>
            </w:pPr>
          </w:p>
          <w:p w14:paraId="1F6ABBE6" w14:textId="77777777" w:rsidR="000630C2" w:rsidRPr="008166AC" w:rsidRDefault="000630C2" w:rsidP="003327AA">
            <w:pPr>
              <w:pStyle w:val="ListParagraph"/>
              <w:numPr>
                <w:ilvl w:val="0"/>
                <w:numId w:val="15"/>
              </w:numPr>
              <w:ind w:left="317" w:hanging="283"/>
              <w:rPr>
                <w:rFonts w:ascii="Arial" w:hAnsi="Arial" w:cs="Arial"/>
              </w:rPr>
            </w:pPr>
            <w:r w:rsidRPr="0059790B">
              <w:rPr>
                <w:rFonts w:ascii="Arial" w:hAnsi="Arial" w:cs="Arial"/>
                <w:color w:val="000000"/>
                <w:u w:val="single"/>
              </w:rPr>
              <w:t xml:space="preserve">Possible unintended consequence </w:t>
            </w:r>
            <w:r w:rsidRPr="0059790B">
              <w:rPr>
                <w:rFonts w:ascii="Arial" w:hAnsi="Arial" w:cs="Arial"/>
                <w:color w:val="000000"/>
              </w:rPr>
              <w:t>that students may boycott the NSS as a way of trying to stop the TEF.</w:t>
            </w:r>
          </w:p>
        </w:tc>
        <w:tc>
          <w:tcPr>
            <w:tcW w:w="2071" w:type="pct"/>
          </w:tcPr>
          <w:p w14:paraId="5CB73348" w14:textId="77777777" w:rsidR="000630C2" w:rsidRPr="00EB512E" w:rsidRDefault="000630C2" w:rsidP="003327AA">
            <w:pPr>
              <w:pStyle w:val="Pa25"/>
              <w:numPr>
                <w:ilvl w:val="0"/>
                <w:numId w:val="15"/>
              </w:numPr>
              <w:spacing w:after="120"/>
              <w:ind w:left="317" w:hanging="283"/>
              <w:rPr>
                <w:rFonts w:ascii="Arial" w:hAnsi="Arial" w:cs="Arial"/>
                <w:color w:val="000000"/>
                <w:sz w:val="22"/>
                <w:szCs w:val="22"/>
              </w:rPr>
            </w:pPr>
            <w:r w:rsidRPr="00EB512E">
              <w:rPr>
                <w:rFonts w:ascii="Arial" w:hAnsi="Arial" w:cs="Arial"/>
                <w:color w:val="000000"/>
                <w:sz w:val="22"/>
                <w:szCs w:val="22"/>
              </w:rPr>
              <w:t>Providers will be able to offer additional evidence of teaching quality in their submission to support their case.</w:t>
            </w:r>
          </w:p>
          <w:p w14:paraId="7B372AFE" w14:textId="77777777" w:rsidR="000630C2" w:rsidRPr="00EB512E" w:rsidRDefault="000630C2" w:rsidP="003327AA">
            <w:pPr>
              <w:pStyle w:val="Pa25"/>
              <w:numPr>
                <w:ilvl w:val="0"/>
                <w:numId w:val="15"/>
              </w:numPr>
              <w:spacing w:after="120"/>
              <w:ind w:left="317" w:hanging="283"/>
              <w:rPr>
                <w:rFonts w:ascii="Arial" w:hAnsi="Arial" w:cs="Arial"/>
                <w:color w:val="000000"/>
                <w:sz w:val="22"/>
                <w:szCs w:val="22"/>
              </w:rPr>
            </w:pPr>
            <w:r w:rsidRPr="00EB512E">
              <w:rPr>
                <w:rFonts w:ascii="Arial" w:hAnsi="Arial" w:cs="Arial"/>
                <w:color w:val="000000"/>
                <w:sz w:val="22"/>
                <w:szCs w:val="22"/>
              </w:rPr>
              <w:t xml:space="preserve">The NSS is overseen by HEFCE and </w:t>
            </w:r>
            <w:proofErr w:type="spellStart"/>
            <w:r w:rsidRPr="00EB512E">
              <w:rPr>
                <w:rFonts w:ascii="Arial" w:hAnsi="Arial" w:cs="Arial"/>
                <w:color w:val="000000"/>
                <w:sz w:val="22"/>
                <w:szCs w:val="22"/>
              </w:rPr>
              <w:t>Ipsos</w:t>
            </w:r>
            <w:proofErr w:type="spellEnd"/>
            <w:r w:rsidRPr="00EB512E">
              <w:rPr>
                <w:rFonts w:ascii="Arial" w:hAnsi="Arial" w:cs="Arial"/>
                <w:color w:val="000000"/>
                <w:sz w:val="22"/>
                <w:szCs w:val="22"/>
              </w:rPr>
              <w:t xml:space="preserve"> Mori and has the confidence of the sector. The measures are already well established as UKPIs which influence the reputation of a provider so the TEF may not give much additional impetus to gaming.</w:t>
            </w:r>
          </w:p>
        </w:tc>
      </w:tr>
      <w:tr w:rsidR="000630C2" w:rsidRPr="00015C4E" w14:paraId="419B7787" w14:textId="77777777" w:rsidTr="003327AA">
        <w:trPr>
          <w:trHeight w:val="342"/>
        </w:trPr>
        <w:tc>
          <w:tcPr>
            <w:tcW w:w="686" w:type="pct"/>
          </w:tcPr>
          <w:p w14:paraId="5E24923D" w14:textId="77777777" w:rsidR="000630C2" w:rsidRPr="00EB512E" w:rsidRDefault="000630C2" w:rsidP="003327AA">
            <w:pPr>
              <w:rPr>
                <w:rFonts w:cs="Arial"/>
                <w:b/>
                <w:sz w:val="22"/>
                <w:szCs w:val="22"/>
              </w:rPr>
            </w:pPr>
            <w:r w:rsidRPr="00EB512E">
              <w:rPr>
                <w:rFonts w:cs="Arial"/>
                <w:b/>
                <w:sz w:val="22"/>
                <w:szCs w:val="22"/>
              </w:rPr>
              <w:t xml:space="preserve">Non-continuation rates (drawn from HESA and </w:t>
            </w:r>
            <w:r w:rsidRPr="00EB512E">
              <w:rPr>
                <w:rFonts w:cs="Arial"/>
                <w:b/>
                <w:sz w:val="22"/>
                <w:szCs w:val="22"/>
              </w:rPr>
              <w:lastRenderedPageBreak/>
              <w:t xml:space="preserve">ILR student records) </w:t>
            </w:r>
          </w:p>
          <w:p w14:paraId="3C0B0A53" w14:textId="77777777" w:rsidR="000630C2" w:rsidRPr="00EB512E" w:rsidRDefault="000630C2" w:rsidP="003327AA">
            <w:pPr>
              <w:rPr>
                <w:rFonts w:cs="Arial"/>
                <w:b/>
                <w:color w:val="000000"/>
                <w:sz w:val="22"/>
                <w:szCs w:val="22"/>
              </w:rPr>
            </w:pPr>
          </w:p>
        </w:tc>
        <w:tc>
          <w:tcPr>
            <w:tcW w:w="798" w:type="pct"/>
          </w:tcPr>
          <w:p w14:paraId="0E97D5AB" w14:textId="77777777" w:rsidR="000630C2" w:rsidRPr="00EB512E" w:rsidRDefault="000630C2" w:rsidP="003327AA">
            <w:pPr>
              <w:pStyle w:val="Pa25"/>
              <w:numPr>
                <w:ilvl w:val="0"/>
                <w:numId w:val="15"/>
              </w:numPr>
              <w:spacing w:after="120"/>
              <w:ind w:left="318" w:hanging="318"/>
              <w:rPr>
                <w:rFonts w:ascii="Arial" w:eastAsia="Times New Roman" w:hAnsi="Arial" w:cs="Arial"/>
                <w:color w:val="000000"/>
                <w:sz w:val="22"/>
                <w:szCs w:val="22"/>
              </w:rPr>
            </w:pPr>
            <w:r w:rsidRPr="00EB512E">
              <w:rPr>
                <w:rFonts w:ascii="Arial" w:eastAsia="Times New Roman" w:hAnsi="Arial" w:cs="Arial"/>
                <w:color w:val="000000"/>
                <w:sz w:val="22"/>
                <w:szCs w:val="22"/>
              </w:rPr>
              <w:lastRenderedPageBreak/>
              <w:t>Non-continuation</w:t>
            </w:r>
          </w:p>
        </w:tc>
        <w:tc>
          <w:tcPr>
            <w:tcW w:w="1445" w:type="pct"/>
          </w:tcPr>
          <w:p w14:paraId="71ECA77B" w14:textId="77777777" w:rsidR="000630C2" w:rsidRPr="00EB512E" w:rsidRDefault="000630C2" w:rsidP="003327AA">
            <w:pPr>
              <w:pStyle w:val="ListParagraph"/>
              <w:numPr>
                <w:ilvl w:val="0"/>
                <w:numId w:val="16"/>
              </w:numPr>
              <w:spacing w:after="120"/>
              <w:ind w:left="317" w:hanging="317"/>
              <w:rPr>
                <w:rFonts w:ascii="Arial" w:hAnsi="Arial" w:cs="Arial"/>
              </w:rPr>
            </w:pPr>
            <w:r w:rsidRPr="00EB512E">
              <w:rPr>
                <w:rFonts w:ascii="Arial" w:hAnsi="Arial" w:cs="Arial"/>
                <w:u w:val="single"/>
              </w:rPr>
              <w:t xml:space="preserve">Risk </w:t>
            </w:r>
            <w:r w:rsidRPr="00EB512E">
              <w:rPr>
                <w:rFonts w:ascii="Arial" w:hAnsi="Arial" w:cs="Arial"/>
              </w:rPr>
              <w:t>that scores can be influenced by other factors besides teaching quality.</w:t>
            </w:r>
          </w:p>
          <w:p w14:paraId="1EE219E3" w14:textId="77777777" w:rsidR="000630C2" w:rsidRPr="00EB512E" w:rsidRDefault="000630C2" w:rsidP="003327AA">
            <w:pPr>
              <w:pStyle w:val="ListParagraph"/>
              <w:spacing w:after="120"/>
              <w:ind w:left="317" w:hanging="317"/>
              <w:rPr>
                <w:rFonts w:ascii="Arial" w:hAnsi="Arial" w:cs="Arial"/>
              </w:rPr>
            </w:pPr>
          </w:p>
          <w:p w14:paraId="6307EB36" w14:textId="77777777" w:rsidR="000630C2" w:rsidRPr="00EB512E" w:rsidRDefault="000630C2" w:rsidP="003327AA">
            <w:pPr>
              <w:pStyle w:val="ListParagraph"/>
              <w:numPr>
                <w:ilvl w:val="0"/>
                <w:numId w:val="15"/>
              </w:numPr>
              <w:ind w:left="317" w:hanging="283"/>
              <w:rPr>
                <w:rFonts w:ascii="Arial" w:hAnsi="Arial" w:cs="Arial"/>
                <w:color w:val="000000"/>
                <w:u w:val="single"/>
              </w:rPr>
            </w:pPr>
            <w:r w:rsidRPr="00EB512E">
              <w:rPr>
                <w:rFonts w:ascii="Arial" w:hAnsi="Arial" w:cs="Arial"/>
                <w:color w:val="000000"/>
                <w:u w:val="single"/>
              </w:rPr>
              <w:t>Possible unintended consequence</w:t>
            </w:r>
            <w:r w:rsidRPr="00EB512E">
              <w:rPr>
                <w:rFonts w:ascii="Arial" w:hAnsi="Arial" w:cs="Arial"/>
                <w:color w:val="000000"/>
              </w:rPr>
              <w:t xml:space="preserve"> that institutions wishing to improve retention can make courses less demanding, undermining efforts to improve quality.</w:t>
            </w:r>
            <w:r>
              <w:rPr>
                <w:noProof/>
              </w:rPr>
              <w:t xml:space="preserve"> </w:t>
            </w:r>
          </w:p>
        </w:tc>
        <w:tc>
          <w:tcPr>
            <w:tcW w:w="2071" w:type="pct"/>
          </w:tcPr>
          <w:p w14:paraId="41D756FA" w14:textId="77777777" w:rsidR="000630C2" w:rsidRPr="00EB512E" w:rsidRDefault="000630C2" w:rsidP="003327AA">
            <w:pPr>
              <w:pStyle w:val="ListParagraph"/>
              <w:numPr>
                <w:ilvl w:val="0"/>
                <w:numId w:val="16"/>
              </w:numPr>
              <w:ind w:left="317" w:hanging="283"/>
              <w:rPr>
                <w:rFonts w:ascii="Arial" w:hAnsi="Arial" w:cs="Arial"/>
              </w:rPr>
            </w:pPr>
            <w:r w:rsidRPr="00EB512E">
              <w:rPr>
                <w:rFonts w:ascii="Arial" w:hAnsi="Arial" w:cs="Arial"/>
              </w:rPr>
              <w:lastRenderedPageBreak/>
              <w:t xml:space="preserve">We have recognised that retention can be influenced by lots of different factors, which is why we have opted to link it to the Learning Environment, to reflect the </w:t>
            </w:r>
            <w:r w:rsidRPr="00EB512E">
              <w:rPr>
                <w:rFonts w:ascii="Arial" w:hAnsi="Arial" w:cs="Arial"/>
              </w:rPr>
              <w:lastRenderedPageBreak/>
              <w:t xml:space="preserve">breadth of different influences on this metric. The metric will also be benchmarked for student characteristics. </w:t>
            </w:r>
          </w:p>
          <w:p w14:paraId="7D307EEC" w14:textId="77777777" w:rsidR="000630C2" w:rsidRPr="00EB512E" w:rsidRDefault="000630C2" w:rsidP="003327AA">
            <w:pPr>
              <w:pStyle w:val="ListParagraph"/>
              <w:spacing w:after="0"/>
              <w:ind w:left="317"/>
              <w:rPr>
                <w:rFonts w:ascii="Arial" w:hAnsi="Arial" w:cs="Arial"/>
              </w:rPr>
            </w:pPr>
          </w:p>
          <w:p w14:paraId="48821639" w14:textId="77777777" w:rsidR="000630C2" w:rsidRPr="00EB512E" w:rsidRDefault="000630C2" w:rsidP="003327AA">
            <w:pPr>
              <w:pStyle w:val="Pa25"/>
              <w:numPr>
                <w:ilvl w:val="0"/>
                <w:numId w:val="15"/>
              </w:numPr>
              <w:ind w:left="317" w:hanging="283"/>
              <w:rPr>
                <w:rFonts w:ascii="Arial" w:hAnsi="Arial" w:cs="Arial"/>
                <w:color w:val="000000"/>
                <w:sz w:val="22"/>
                <w:szCs w:val="22"/>
              </w:rPr>
            </w:pPr>
            <w:r w:rsidRPr="00EB512E">
              <w:rPr>
                <w:rFonts w:ascii="Arial" w:hAnsi="Arial" w:cs="Arial"/>
                <w:sz w:val="22"/>
                <w:szCs w:val="22"/>
              </w:rPr>
              <w:t xml:space="preserve">There is a separate strand of work looking at how the sector can ensure that standards remain high across courses. </w:t>
            </w:r>
          </w:p>
        </w:tc>
      </w:tr>
      <w:tr w:rsidR="000630C2" w:rsidRPr="00015C4E" w14:paraId="3192DFA5" w14:textId="77777777" w:rsidTr="003327AA">
        <w:trPr>
          <w:trHeight w:val="342"/>
        </w:trPr>
        <w:tc>
          <w:tcPr>
            <w:tcW w:w="686" w:type="pct"/>
          </w:tcPr>
          <w:p w14:paraId="04454253" w14:textId="77777777" w:rsidR="000630C2" w:rsidRPr="00EB512E" w:rsidRDefault="000630C2" w:rsidP="003327AA">
            <w:pPr>
              <w:rPr>
                <w:rFonts w:cs="Arial"/>
                <w:b/>
                <w:sz w:val="22"/>
                <w:szCs w:val="22"/>
              </w:rPr>
            </w:pPr>
            <w:r w:rsidRPr="00EB512E">
              <w:rPr>
                <w:rFonts w:cs="Arial"/>
                <w:b/>
                <w:sz w:val="22"/>
                <w:szCs w:val="22"/>
              </w:rPr>
              <w:lastRenderedPageBreak/>
              <w:t>Rates of employment or further study, six months after graduation (drawn from the DLHE)</w:t>
            </w:r>
          </w:p>
          <w:p w14:paraId="700E1A2E" w14:textId="77777777" w:rsidR="000630C2" w:rsidRPr="00EB512E" w:rsidRDefault="000630C2" w:rsidP="003327AA">
            <w:pPr>
              <w:rPr>
                <w:rFonts w:cs="Arial"/>
                <w:b/>
                <w:color w:val="000000"/>
                <w:sz w:val="22"/>
                <w:szCs w:val="22"/>
              </w:rPr>
            </w:pPr>
          </w:p>
          <w:p w14:paraId="680F411B" w14:textId="77777777" w:rsidR="000630C2" w:rsidRPr="00EB512E" w:rsidRDefault="000630C2" w:rsidP="003327AA">
            <w:pPr>
              <w:rPr>
                <w:rFonts w:cs="Arial"/>
                <w:b/>
                <w:sz w:val="22"/>
                <w:szCs w:val="22"/>
              </w:rPr>
            </w:pPr>
          </w:p>
        </w:tc>
        <w:tc>
          <w:tcPr>
            <w:tcW w:w="798" w:type="pct"/>
          </w:tcPr>
          <w:p w14:paraId="2C41A651" w14:textId="77777777" w:rsidR="000630C2" w:rsidRPr="00EB512E" w:rsidRDefault="000630C2" w:rsidP="003327AA">
            <w:pPr>
              <w:pStyle w:val="ListParagraph"/>
              <w:numPr>
                <w:ilvl w:val="0"/>
                <w:numId w:val="17"/>
              </w:numPr>
              <w:ind w:left="317" w:hanging="284"/>
              <w:rPr>
                <w:rFonts w:ascii="Arial" w:hAnsi="Arial" w:cs="Arial"/>
                <w:color w:val="000000"/>
              </w:rPr>
            </w:pPr>
            <w:r w:rsidRPr="00EB512E">
              <w:rPr>
                <w:rFonts w:ascii="Arial" w:hAnsi="Arial" w:cs="Arial"/>
                <w:color w:val="000000"/>
              </w:rPr>
              <w:t>Employment or further study</w:t>
            </w:r>
          </w:p>
          <w:p w14:paraId="6D962E6A" w14:textId="77777777" w:rsidR="000630C2" w:rsidRPr="00EB512E" w:rsidRDefault="000630C2" w:rsidP="003327AA">
            <w:pPr>
              <w:pStyle w:val="ListParagraph"/>
              <w:ind w:left="317"/>
              <w:rPr>
                <w:rFonts w:ascii="Arial" w:hAnsi="Arial" w:cs="Arial"/>
                <w:color w:val="000000"/>
              </w:rPr>
            </w:pPr>
          </w:p>
          <w:p w14:paraId="357F932B" w14:textId="77777777" w:rsidR="000630C2" w:rsidRPr="00EB512E" w:rsidRDefault="000630C2" w:rsidP="003327AA">
            <w:pPr>
              <w:pStyle w:val="ListParagraph"/>
              <w:numPr>
                <w:ilvl w:val="0"/>
                <w:numId w:val="17"/>
              </w:numPr>
              <w:ind w:left="317" w:hanging="284"/>
              <w:rPr>
                <w:rFonts w:ascii="Arial" w:hAnsi="Arial" w:cs="Arial"/>
                <w:color w:val="000000"/>
              </w:rPr>
            </w:pPr>
            <w:r w:rsidRPr="00EB512E">
              <w:rPr>
                <w:rFonts w:ascii="Arial" w:hAnsi="Arial" w:cs="Arial"/>
                <w:color w:val="000000"/>
              </w:rPr>
              <w:t>Highly skilled jobs or further study (proposed)</w:t>
            </w:r>
          </w:p>
          <w:p w14:paraId="7A3D996E" w14:textId="77777777" w:rsidR="000630C2" w:rsidRPr="00EB512E" w:rsidRDefault="000630C2" w:rsidP="003327AA">
            <w:pPr>
              <w:rPr>
                <w:rFonts w:cs="Arial"/>
                <w:color w:val="000000"/>
                <w:sz w:val="22"/>
                <w:szCs w:val="22"/>
              </w:rPr>
            </w:pPr>
          </w:p>
        </w:tc>
        <w:tc>
          <w:tcPr>
            <w:tcW w:w="1445" w:type="pct"/>
          </w:tcPr>
          <w:p w14:paraId="283415BC" w14:textId="77777777" w:rsidR="000630C2" w:rsidRPr="00EB512E" w:rsidRDefault="000630C2" w:rsidP="003327AA">
            <w:pPr>
              <w:pStyle w:val="ListParagraph"/>
              <w:numPr>
                <w:ilvl w:val="0"/>
                <w:numId w:val="17"/>
              </w:numPr>
              <w:ind w:left="317" w:hanging="283"/>
              <w:rPr>
                <w:rFonts w:ascii="Arial" w:hAnsi="Arial" w:cs="Arial"/>
              </w:rPr>
            </w:pPr>
            <w:r w:rsidRPr="00EB512E">
              <w:rPr>
                <w:rFonts w:ascii="Arial" w:hAnsi="Arial" w:cs="Arial"/>
                <w:u w:val="single"/>
              </w:rPr>
              <w:t>Risk</w:t>
            </w:r>
            <w:r w:rsidRPr="00EB512E">
              <w:rPr>
                <w:rFonts w:ascii="Arial" w:hAnsi="Arial" w:cs="Arial"/>
              </w:rPr>
              <w:t xml:space="preserve"> that the DLHE measures employment outcomes too early. </w:t>
            </w:r>
          </w:p>
          <w:p w14:paraId="7132A20A" w14:textId="77777777" w:rsidR="000630C2" w:rsidRPr="00EB512E" w:rsidRDefault="000630C2" w:rsidP="003327AA">
            <w:pPr>
              <w:pStyle w:val="ListParagraph"/>
              <w:numPr>
                <w:ilvl w:val="0"/>
                <w:numId w:val="16"/>
              </w:numPr>
              <w:spacing w:after="120"/>
              <w:ind w:left="317" w:hanging="317"/>
              <w:rPr>
                <w:rFonts w:ascii="Arial" w:hAnsi="Arial" w:cs="Arial"/>
                <w:u w:val="single"/>
              </w:rPr>
            </w:pPr>
            <w:r w:rsidRPr="00EB512E">
              <w:rPr>
                <w:rFonts w:ascii="Arial" w:hAnsi="Arial" w:cs="Arial"/>
                <w:color w:val="000000"/>
                <w:u w:val="single"/>
              </w:rPr>
              <w:t>Possible unintended consequence</w:t>
            </w:r>
            <w:r w:rsidRPr="00EB512E">
              <w:rPr>
                <w:rFonts w:ascii="Arial" w:hAnsi="Arial" w:cs="Arial"/>
                <w:color w:val="000000"/>
              </w:rPr>
              <w:t xml:space="preserve"> that this may favour providers specialising in disciplines that tend to lead to higher salaries or encourage them to change student recruitment profile (</w:t>
            </w:r>
            <w:proofErr w:type="spellStart"/>
            <w:r w:rsidRPr="00EB512E">
              <w:rPr>
                <w:rFonts w:ascii="Arial" w:hAnsi="Arial" w:cs="Arial"/>
                <w:color w:val="000000"/>
              </w:rPr>
              <w:t>eg</w:t>
            </w:r>
            <w:proofErr w:type="spellEnd"/>
            <w:r w:rsidRPr="00EB512E">
              <w:rPr>
                <w:rFonts w:ascii="Arial" w:hAnsi="Arial" w:cs="Arial"/>
                <w:color w:val="000000"/>
              </w:rPr>
              <w:t xml:space="preserve"> taking fewer women, BME students and those from disadvantaged backgrounds).</w:t>
            </w:r>
          </w:p>
        </w:tc>
        <w:tc>
          <w:tcPr>
            <w:tcW w:w="2071" w:type="pct"/>
          </w:tcPr>
          <w:p w14:paraId="3E7F442E" w14:textId="77777777" w:rsidR="000630C2" w:rsidRPr="00EB512E" w:rsidRDefault="000630C2" w:rsidP="003327AA">
            <w:pPr>
              <w:pStyle w:val="Pa25"/>
              <w:numPr>
                <w:ilvl w:val="0"/>
                <w:numId w:val="17"/>
              </w:numPr>
              <w:ind w:left="317" w:hanging="283"/>
              <w:rPr>
                <w:rFonts w:ascii="Arial" w:hAnsi="Arial" w:cs="Arial"/>
                <w:color w:val="000000"/>
                <w:sz w:val="22"/>
                <w:szCs w:val="22"/>
              </w:rPr>
            </w:pPr>
            <w:r w:rsidRPr="00EB512E">
              <w:rPr>
                <w:rFonts w:ascii="Arial" w:hAnsi="Arial" w:cs="Arial"/>
                <w:color w:val="000000"/>
                <w:sz w:val="22"/>
                <w:szCs w:val="22"/>
              </w:rPr>
              <w:t xml:space="preserve">The metrics will be benchmarked by subject, which should provide a strong mitigation against any unintended consequences for providers favouring subjects that tend to lead to higher salaries. </w:t>
            </w:r>
          </w:p>
          <w:p w14:paraId="33677DF1" w14:textId="77777777" w:rsidR="000630C2" w:rsidRPr="00EB512E" w:rsidRDefault="000630C2" w:rsidP="003327AA">
            <w:pPr>
              <w:spacing w:after="0"/>
              <w:rPr>
                <w:sz w:val="22"/>
                <w:szCs w:val="22"/>
              </w:rPr>
            </w:pPr>
          </w:p>
          <w:p w14:paraId="2457493D" w14:textId="77777777" w:rsidR="000630C2" w:rsidRPr="00EB512E" w:rsidRDefault="000630C2" w:rsidP="003327AA">
            <w:pPr>
              <w:pStyle w:val="Pa25"/>
              <w:numPr>
                <w:ilvl w:val="0"/>
                <w:numId w:val="17"/>
              </w:numPr>
              <w:ind w:left="317" w:hanging="283"/>
              <w:rPr>
                <w:rFonts w:ascii="Arial" w:hAnsi="Arial" w:cs="Arial"/>
                <w:color w:val="000000"/>
                <w:sz w:val="22"/>
                <w:szCs w:val="22"/>
              </w:rPr>
            </w:pPr>
            <w:r w:rsidRPr="00EB512E">
              <w:rPr>
                <w:rFonts w:ascii="Arial" w:hAnsi="Arial" w:cs="Arial"/>
                <w:color w:val="000000"/>
                <w:sz w:val="22"/>
                <w:szCs w:val="22"/>
              </w:rPr>
              <w:t>We recognise that there are some types of subjects where it may take longer than 6 months for graduates to find employment and providers will be able to provide longer term destination data in their submission, if they feel that this demonstrates a better success rate.</w:t>
            </w:r>
          </w:p>
          <w:p w14:paraId="43A175F6" w14:textId="77777777" w:rsidR="000630C2" w:rsidRPr="00EB512E" w:rsidRDefault="000630C2" w:rsidP="003327AA">
            <w:pPr>
              <w:spacing w:after="0"/>
              <w:rPr>
                <w:sz w:val="22"/>
                <w:szCs w:val="22"/>
              </w:rPr>
            </w:pPr>
          </w:p>
          <w:p w14:paraId="24373F2D" w14:textId="77777777" w:rsidR="000630C2" w:rsidRPr="00EB512E" w:rsidRDefault="000630C2" w:rsidP="003327AA">
            <w:pPr>
              <w:pStyle w:val="Pa25"/>
              <w:numPr>
                <w:ilvl w:val="0"/>
                <w:numId w:val="17"/>
              </w:numPr>
              <w:ind w:left="317" w:hanging="283"/>
              <w:rPr>
                <w:rFonts w:ascii="Arial" w:hAnsi="Arial" w:cs="Arial"/>
                <w:sz w:val="22"/>
                <w:szCs w:val="22"/>
              </w:rPr>
            </w:pPr>
            <w:r w:rsidRPr="00EB512E">
              <w:rPr>
                <w:rFonts w:ascii="Arial" w:hAnsi="Arial" w:cs="Arial"/>
                <w:sz w:val="22"/>
                <w:szCs w:val="22"/>
              </w:rPr>
              <w:t>The potential for a provider to change their student recruitment profile is an issue that caused deep concern in the Green Paper response. The benchmarking process will mean that there is no advantage to specific student types. Providers must have an access agreement in place in order to participate in TEF.</w:t>
            </w:r>
          </w:p>
          <w:p w14:paraId="767F6EE5" w14:textId="77777777" w:rsidR="000630C2" w:rsidRPr="00EB512E" w:rsidRDefault="000630C2" w:rsidP="003327AA">
            <w:pPr>
              <w:spacing w:after="0"/>
              <w:rPr>
                <w:sz w:val="22"/>
                <w:szCs w:val="22"/>
              </w:rPr>
            </w:pPr>
          </w:p>
          <w:p w14:paraId="11CE4752" w14:textId="77777777" w:rsidR="000630C2" w:rsidRPr="00EB512E" w:rsidRDefault="000630C2" w:rsidP="003327AA">
            <w:pPr>
              <w:pStyle w:val="ListParagraph"/>
              <w:numPr>
                <w:ilvl w:val="0"/>
                <w:numId w:val="16"/>
              </w:numPr>
              <w:spacing w:after="0"/>
              <w:ind w:left="317" w:hanging="283"/>
              <w:rPr>
                <w:rFonts w:ascii="Arial" w:hAnsi="Arial" w:cs="Arial"/>
              </w:rPr>
            </w:pPr>
            <w:r w:rsidRPr="00EB512E">
              <w:rPr>
                <w:rFonts w:ascii="Arial" w:hAnsi="Arial" w:cs="Arial"/>
              </w:rPr>
              <w:t xml:space="preserve">To further mitigate any risk that providers are changing their student recruitment </w:t>
            </w:r>
            <w:proofErr w:type="gramStart"/>
            <w:r w:rsidRPr="00EB512E">
              <w:rPr>
                <w:rFonts w:ascii="Arial" w:hAnsi="Arial" w:cs="Arial"/>
              </w:rPr>
              <w:t>profile,</w:t>
            </w:r>
            <w:proofErr w:type="gramEnd"/>
            <w:r w:rsidRPr="00EB512E">
              <w:rPr>
                <w:rFonts w:ascii="Arial" w:hAnsi="Arial" w:cs="Arial"/>
              </w:rPr>
              <w:t xml:space="preserve"> the Minister will be writing to the Director for Fair Access and asking him to remain alert to any risk of these behaviours. </w:t>
            </w:r>
          </w:p>
        </w:tc>
      </w:tr>
    </w:tbl>
    <w:p w14:paraId="1F9E31F2" w14:textId="77777777" w:rsidR="000630C2" w:rsidRDefault="000630C2" w:rsidP="00702FF9">
      <w:pPr>
        <w:rPr>
          <w:rFonts w:cs="Arial"/>
        </w:rPr>
        <w:sectPr w:rsidR="000630C2" w:rsidSect="000630C2">
          <w:headerReference w:type="even" r:id="rId17"/>
          <w:headerReference w:type="default" r:id="rId18"/>
          <w:headerReference w:type="first" r:id="rId19"/>
          <w:pgSz w:w="16838" w:h="11906" w:orient="landscape" w:code="9"/>
          <w:pgMar w:top="1134" w:right="1701" w:bottom="1134" w:left="1134" w:header="437" w:footer="266" w:gutter="0"/>
          <w:cols w:space="720"/>
          <w:titlePg/>
          <w:docGrid w:linePitch="326"/>
        </w:sectPr>
      </w:pPr>
    </w:p>
    <w:p w14:paraId="732CCDE0" w14:textId="77777777" w:rsidR="000630C2" w:rsidRDefault="000630C2" w:rsidP="000630C2">
      <w:pPr>
        <w:pStyle w:val="Heading2"/>
      </w:pPr>
      <w:bookmarkStart w:id="122" w:name="_Toc450148027"/>
      <w:bookmarkStart w:id="123" w:name="_Toc450886597"/>
      <w:r>
        <w:lastRenderedPageBreak/>
        <w:t>Annex E</w:t>
      </w:r>
      <w:r w:rsidRPr="00B10922">
        <w:t xml:space="preserve">: </w:t>
      </w:r>
      <w:r>
        <w:t>Summary of questions</w:t>
      </w:r>
      <w:bookmarkEnd w:id="122"/>
      <w:bookmarkEnd w:id="123"/>
      <w:r>
        <w:t xml:space="preserve"> </w:t>
      </w:r>
    </w:p>
    <w:p w14:paraId="18E2FDD8" w14:textId="77777777" w:rsidR="000630C2" w:rsidRDefault="000630C2" w:rsidP="000630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Arial"/>
          <w:b/>
        </w:rPr>
      </w:pPr>
      <w:r w:rsidRPr="00301199">
        <w:rPr>
          <w:rFonts w:cs="Arial"/>
          <w:b/>
        </w:rPr>
        <w:t xml:space="preserve">Q1: </w:t>
      </w:r>
      <w:r w:rsidRPr="00301199">
        <w:rPr>
          <w:rFonts w:cs="Arial"/>
        </w:rPr>
        <w:t>Do you agree with the criteria proposed in Figure 4? Please outline your reasons and suggest any alternatives or additions.</w:t>
      </w:r>
      <w:r w:rsidRPr="00301199">
        <w:rPr>
          <w:rFonts w:cs="Arial"/>
          <w:b/>
        </w:rPr>
        <w:t xml:space="preserve"> </w:t>
      </w:r>
    </w:p>
    <w:p w14:paraId="5730F77F" w14:textId="77777777" w:rsidR="000630C2" w:rsidRPr="00230E26" w:rsidRDefault="000630C2" w:rsidP="000630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Arial"/>
          <w:b/>
          <w:sz w:val="12"/>
          <w:szCs w:val="12"/>
        </w:rPr>
      </w:pPr>
    </w:p>
    <w:p w14:paraId="0C93AD8A" w14:textId="77777777" w:rsidR="000630C2" w:rsidRDefault="000630C2" w:rsidP="000630C2">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rPr>
          <w:rFonts w:ascii="Arial" w:hAnsi="Arial" w:cs="Arial"/>
        </w:rPr>
      </w:pPr>
      <w:r w:rsidRPr="00706B72">
        <w:rPr>
          <w:rFonts w:ascii="Arial" w:hAnsi="Arial" w:cs="Arial"/>
          <w:b/>
        </w:rPr>
        <w:t xml:space="preserve">Q2: A) </w:t>
      </w:r>
      <w:r w:rsidRPr="00706B72">
        <w:rPr>
          <w:rFonts w:ascii="Arial" w:hAnsi="Arial" w:cs="Arial"/>
        </w:rPr>
        <w:t>How should we include a highly skilled employment metric as part of the TEF?</w:t>
      </w:r>
      <w:r>
        <w:rPr>
          <w:rFonts w:ascii="Arial" w:hAnsi="Arial" w:cs="Arial"/>
        </w:rPr>
        <w:t>;</w:t>
      </w:r>
      <w:r w:rsidRPr="00706B72">
        <w:rPr>
          <w:rFonts w:ascii="Arial" w:hAnsi="Arial" w:cs="Arial"/>
          <w:b/>
        </w:rPr>
        <w:t xml:space="preserve"> B) </w:t>
      </w:r>
      <w:r w:rsidRPr="00706B72">
        <w:rPr>
          <w:rFonts w:ascii="Arial" w:hAnsi="Arial" w:cs="Arial"/>
        </w:rPr>
        <w:t>If included as a core metric, should we adopt employment in Standard Occupational Classification (SOC) groups 1-3 as a measure of graduates entering highly skilled jobs?</w:t>
      </w:r>
      <w:r>
        <w:rPr>
          <w:rFonts w:ascii="Arial" w:hAnsi="Arial" w:cs="Arial"/>
        </w:rPr>
        <w:t xml:space="preserve">; </w:t>
      </w:r>
      <w:r w:rsidRPr="00706B72">
        <w:rPr>
          <w:rFonts w:ascii="Arial" w:hAnsi="Arial" w:cs="Arial"/>
          <w:b/>
        </w:rPr>
        <w:t xml:space="preserve">C) </w:t>
      </w:r>
      <w:r w:rsidRPr="00706B72">
        <w:rPr>
          <w:rFonts w:ascii="Arial" w:hAnsi="Arial" w:cs="Arial"/>
        </w:rPr>
        <w:t>Do you agree with our proposal to include all graduates in the calculation of the employment/destination metrics? Please outline your reasons and suggest any alternatives.</w:t>
      </w:r>
    </w:p>
    <w:p w14:paraId="187537EA" w14:textId="77777777" w:rsidR="000630C2" w:rsidRPr="00230E26" w:rsidRDefault="000630C2" w:rsidP="000630C2">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rPr>
          <w:rFonts w:ascii="Arial" w:hAnsi="Arial" w:cs="Arial"/>
          <w:sz w:val="12"/>
          <w:szCs w:val="12"/>
        </w:rPr>
      </w:pPr>
    </w:p>
    <w:p w14:paraId="63EEC8FF" w14:textId="77777777" w:rsidR="000630C2" w:rsidRPr="00DB7C87" w:rsidRDefault="000630C2" w:rsidP="000630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Arial"/>
          <w:b/>
        </w:rPr>
      </w:pPr>
      <w:r w:rsidRPr="00C93F09">
        <w:rPr>
          <w:rFonts w:cs="Arial"/>
          <w:b/>
        </w:rPr>
        <w:t>Q</w:t>
      </w:r>
      <w:r>
        <w:rPr>
          <w:rFonts w:cs="Arial"/>
          <w:b/>
        </w:rPr>
        <w:t>3</w:t>
      </w:r>
      <w:r w:rsidRPr="00520A42">
        <w:rPr>
          <w:rFonts w:cs="Arial"/>
        </w:rPr>
        <w:t xml:space="preserve">: </w:t>
      </w:r>
      <w:r w:rsidRPr="00DB7C87">
        <w:rPr>
          <w:rFonts w:cs="Arial"/>
          <w:b/>
        </w:rPr>
        <w:t xml:space="preserve">A) </w:t>
      </w:r>
      <w:r w:rsidRPr="0037246D">
        <w:rPr>
          <w:rFonts w:cs="Arial"/>
        </w:rPr>
        <w:t>Do you agree with the proposed a</w:t>
      </w:r>
      <w:r>
        <w:rPr>
          <w:rFonts w:cs="Arial"/>
        </w:rPr>
        <w:t xml:space="preserve">pproach for setting benchmarks?; </w:t>
      </w:r>
      <w:r w:rsidRPr="00DB7C87">
        <w:rPr>
          <w:rFonts w:cs="Arial"/>
          <w:b/>
        </w:rPr>
        <w:t>B)</w:t>
      </w:r>
      <w:r w:rsidRPr="0037246D">
        <w:rPr>
          <w:rFonts w:cs="Arial"/>
        </w:rPr>
        <w:t xml:space="preserve"> Do you agree with the proposed approach for flagging significant differences between indicator and benchmark (where differences exceed 2 standard deviations and 2 percentage points)?</w:t>
      </w:r>
      <w:r>
        <w:rPr>
          <w:rFonts w:cs="Arial"/>
          <w:b/>
        </w:rPr>
        <w:t xml:space="preserve"> </w:t>
      </w:r>
      <w:r w:rsidRPr="0037246D">
        <w:rPr>
          <w:rFonts w:cs="Arial"/>
        </w:rPr>
        <w:t>Please outline your reasons if you disagree.</w:t>
      </w:r>
    </w:p>
    <w:p w14:paraId="5AA1D94B" w14:textId="77777777" w:rsidR="000630C2" w:rsidRPr="00230E26" w:rsidRDefault="000630C2" w:rsidP="000630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Arial"/>
          <w:b/>
          <w:sz w:val="12"/>
          <w:szCs w:val="12"/>
        </w:rPr>
      </w:pPr>
    </w:p>
    <w:p w14:paraId="0E19F95A" w14:textId="77777777" w:rsidR="000630C2" w:rsidRDefault="000630C2" w:rsidP="000630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Arial"/>
        </w:rPr>
      </w:pPr>
      <w:r w:rsidRPr="00706B72">
        <w:rPr>
          <w:rFonts w:cs="Arial"/>
          <w:b/>
        </w:rPr>
        <w:t>Q4:</w:t>
      </w:r>
      <w:r w:rsidRPr="00706B72">
        <w:rPr>
          <w:rFonts w:cs="Arial"/>
        </w:rPr>
        <w:t xml:space="preserve"> Do you agree that TEF metrics should be averaged over the most r</w:t>
      </w:r>
      <w:r>
        <w:rPr>
          <w:rFonts w:cs="Arial"/>
        </w:rPr>
        <w:t xml:space="preserve">ecent three years of available </w:t>
      </w:r>
      <w:r w:rsidRPr="00706B72">
        <w:rPr>
          <w:rFonts w:cs="Arial"/>
        </w:rPr>
        <w:t>data? Please outline your reasons and suggest alternatives.</w:t>
      </w:r>
    </w:p>
    <w:p w14:paraId="157FA2C7" w14:textId="77777777" w:rsidR="000630C2" w:rsidRPr="00230E26" w:rsidRDefault="000630C2" w:rsidP="000630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Arial"/>
          <w:sz w:val="12"/>
          <w:szCs w:val="12"/>
        </w:rPr>
      </w:pPr>
    </w:p>
    <w:p w14:paraId="5C945ECB" w14:textId="64F75F0E" w:rsidR="000630C2" w:rsidRDefault="000630C2" w:rsidP="000630C2">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rPr>
          <w:rFonts w:ascii="Arial" w:hAnsi="Arial" w:cs="Arial"/>
        </w:rPr>
      </w:pPr>
      <w:r w:rsidRPr="00706B72">
        <w:rPr>
          <w:rFonts w:ascii="Arial" w:hAnsi="Arial" w:cs="Arial"/>
          <w:b/>
        </w:rPr>
        <w:t xml:space="preserve">Q5: </w:t>
      </w:r>
      <w:r w:rsidRPr="00706B72">
        <w:rPr>
          <w:rFonts w:ascii="Arial" w:hAnsi="Arial" w:cs="Arial"/>
        </w:rPr>
        <w:t>Do you agree the metrics should be split by the characteristics proposed above? Please outline your reasons and suggest alternatives.</w:t>
      </w:r>
    </w:p>
    <w:p w14:paraId="43057BEB" w14:textId="77777777" w:rsidR="000630C2" w:rsidRPr="00230E26" w:rsidRDefault="000630C2" w:rsidP="000630C2">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rPr>
          <w:rFonts w:ascii="Arial" w:hAnsi="Arial" w:cs="Arial"/>
          <w:b/>
          <w:sz w:val="12"/>
          <w:szCs w:val="12"/>
        </w:rPr>
      </w:pPr>
    </w:p>
    <w:p w14:paraId="446FCEF9" w14:textId="77777777" w:rsidR="000630C2" w:rsidRDefault="000630C2" w:rsidP="000630C2">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rPr>
          <w:rFonts w:ascii="Arial" w:hAnsi="Arial" w:cs="Arial"/>
        </w:rPr>
      </w:pPr>
      <w:r w:rsidRPr="00706B72">
        <w:rPr>
          <w:rFonts w:ascii="Arial" w:hAnsi="Arial" w:cs="Arial"/>
          <w:b/>
        </w:rPr>
        <w:t xml:space="preserve">Q6: </w:t>
      </w:r>
      <w:r w:rsidRPr="00706B72">
        <w:rPr>
          <w:rFonts w:ascii="Arial" w:hAnsi="Arial" w:cs="Arial"/>
        </w:rPr>
        <w:t>Do you agree with the contextual information that will be used to support TEF assessments proposed above? Please outline your reasons and suggest any alternatives or additions.</w:t>
      </w:r>
    </w:p>
    <w:p w14:paraId="1063EFD1" w14:textId="77777777" w:rsidR="000630C2" w:rsidRPr="00230E26" w:rsidRDefault="000630C2" w:rsidP="000630C2">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rPr>
          <w:rFonts w:ascii="Arial" w:hAnsi="Arial" w:cs="Arial"/>
          <w:b/>
          <w:sz w:val="12"/>
          <w:szCs w:val="12"/>
        </w:rPr>
      </w:pPr>
    </w:p>
    <w:p w14:paraId="64F3D1BB" w14:textId="77777777" w:rsidR="000630C2" w:rsidRDefault="000630C2" w:rsidP="000630C2">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rPr>
          <w:rFonts w:ascii="Arial" w:hAnsi="Arial" w:cs="Arial"/>
        </w:rPr>
      </w:pPr>
      <w:r w:rsidRPr="00520A42">
        <w:rPr>
          <w:rFonts w:ascii="Arial" w:hAnsi="Arial" w:cs="Arial"/>
          <w:b/>
        </w:rPr>
        <w:t xml:space="preserve">Q7: </w:t>
      </w:r>
      <w:r w:rsidRPr="00230E26">
        <w:rPr>
          <w:rFonts w:ascii="Arial" w:hAnsi="Arial" w:cs="Arial"/>
          <w:b/>
        </w:rPr>
        <w:t xml:space="preserve">A) </w:t>
      </w:r>
      <w:r w:rsidRPr="00230E26">
        <w:rPr>
          <w:rFonts w:ascii="Arial" w:hAnsi="Arial" w:cs="Arial"/>
        </w:rPr>
        <w:t>Do you agree with the proposed approach for the provider submission</w:t>
      </w:r>
      <w:proofErr w:type="gramStart"/>
      <w:r w:rsidRPr="00230E26">
        <w:rPr>
          <w:rFonts w:ascii="Arial" w:hAnsi="Arial" w:cs="Arial"/>
        </w:rPr>
        <w:t>?</w:t>
      </w:r>
      <w:r>
        <w:rPr>
          <w:rFonts w:ascii="Arial" w:hAnsi="Arial" w:cs="Arial"/>
        </w:rPr>
        <w:t>;</w:t>
      </w:r>
      <w:proofErr w:type="gramEnd"/>
      <w:r>
        <w:rPr>
          <w:rFonts w:ascii="Arial" w:hAnsi="Arial" w:cs="Arial"/>
        </w:rPr>
        <w:t xml:space="preserve"> </w:t>
      </w:r>
      <w:r w:rsidRPr="00230E26">
        <w:rPr>
          <w:rFonts w:ascii="Arial" w:hAnsi="Arial" w:cs="Arial"/>
          <w:b/>
        </w:rPr>
        <w:t xml:space="preserve">B) </w:t>
      </w:r>
      <w:r w:rsidRPr="00230E26">
        <w:rPr>
          <w:rFonts w:ascii="Arial" w:hAnsi="Arial" w:cs="Arial"/>
        </w:rPr>
        <w:t>Do you agree with the proposed 15 page limit?</w:t>
      </w:r>
      <w:r>
        <w:rPr>
          <w:rFonts w:ascii="Arial" w:hAnsi="Arial" w:cs="Arial"/>
        </w:rPr>
        <w:t xml:space="preserve"> </w:t>
      </w:r>
      <w:r w:rsidRPr="00230E26">
        <w:rPr>
          <w:rFonts w:ascii="Arial" w:hAnsi="Arial" w:cs="Arial"/>
        </w:rPr>
        <w:t>Please explain your reasons and outline any alternative suggestions.</w:t>
      </w:r>
    </w:p>
    <w:p w14:paraId="78C1E499" w14:textId="77777777" w:rsidR="000630C2" w:rsidRPr="00230E26" w:rsidRDefault="000630C2" w:rsidP="000630C2">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rPr>
          <w:rFonts w:ascii="Arial" w:hAnsi="Arial" w:cs="Arial"/>
          <w:sz w:val="12"/>
          <w:szCs w:val="12"/>
        </w:rPr>
      </w:pPr>
    </w:p>
    <w:p w14:paraId="416BB07A" w14:textId="77777777" w:rsidR="000630C2" w:rsidRPr="00520A42" w:rsidRDefault="000630C2" w:rsidP="000630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Arial"/>
        </w:rPr>
      </w:pPr>
      <w:r w:rsidRPr="00296F41">
        <w:rPr>
          <w:rFonts w:cs="Arial"/>
          <w:b/>
        </w:rPr>
        <w:t xml:space="preserve">Q8: </w:t>
      </w:r>
      <w:r w:rsidRPr="00520A42">
        <w:rPr>
          <w:rFonts w:cs="Arial"/>
        </w:rPr>
        <w:t>Without the list becoming exhaustive or prescriptive, we are keen to ensure that the examples of additional evidence included in Figure 6 reflect a diversity of approaches to delivery. Do you agree with the examples? Please outline your reasons and su</w:t>
      </w:r>
      <w:r>
        <w:rPr>
          <w:rFonts w:cs="Arial"/>
        </w:rPr>
        <w:t>ggest any additions</w:t>
      </w:r>
      <w:r w:rsidRPr="00520A42">
        <w:rPr>
          <w:rFonts w:cs="Arial"/>
        </w:rPr>
        <w:t xml:space="preserve"> or alternatives.</w:t>
      </w:r>
    </w:p>
    <w:p w14:paraId="5B5E0B90" w14:textId="77777777" w:rsidR="000630C2" w:rsidRPr="00230E26" w:rsidRDefault="000630C2" w:rsidP="000630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Arial"/>
          <w:b/>
          <w:sz w:val="12"/>
          <w:szCs w:val="12"/>
        </w:rPr>
      </w:pPr>
    </w:p>
    <w:p w14:paraId="41EE8BF2" w14:textId="5B6A5684" w:rsidR="000630C2" w:rsidRPr="00230E26" w:rsidRDefault="000630C2" w:rsidP="000630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Arial"/>
        </w:rPr>
      </w:pPr>
      <w:r w:rsidRPr="005D56C9">
        <w:rPr>
          <w:rFonts w:cs="Arial"/>
          <w:b/>
        </w:rPr>
        <w:t>Q</w:t>
      </w:r>
      <w:r>
        <w:rPr>
          <w:rFonts w:cs="Arial"/>
          <w:b/>
        </w:rPr>
        <w:t xml:space="preserve">9: </w:t>
      </w:r>
      <w:r w:rsidRPr="00230E26">
        <w:rPr>
          <w:rFonts w:cs="Arial"/>
          <w:b/>
        </w:rPr>
        <w:t xml:space="preserve">A) </w:t>
      </w:r>
      <w:r w:rsidRPr="00230E26">
        <w:rPr>
          <w:rFonts w:cs="Arial"/>
        </w:rPr>
        <w:t>Do you think the TEF should issue commendations</w:t>
      </w:r>
      <w:proofErr w:type="gramStart"/>
      <w:r w:rsidRPr="00230E26">
        <w:rPr>
          <w:rFonts w:cs="Arial"/>
        </w:rPr>
        <w:t>?;</w:t>
      </w:r>
      <w:proofErr w:type="gramEnd"/>
      <w:r>
        <w:rPr>
          <w:rFonts w:cs="Arial"/>
          <w:b/>
        </w:rPr>
        <w:t xml:space="preserve"> </w:t>
      </w:r>
      <w:r w:rsidRPr="00230E26">
        <w:rPr>
          <w:rFonts w:cs="Arial"/>
          <w:b/>
        </w:rPr>
        <w:t xml:space="preserve">B) </w:t>
      </w:r>
      <w:r w:rsidRPr="00230E26">
        <w:rPr>
          <w:rFonts w:cs="Arial"/>
        </w:rPr>
        <w:t xml:space="preserve">If so, do you agree with the areas identified above? Please indicate if you </w:t>
      </w:r>
      <w:r w:rsidR="00EB7132">
        <w:rPr>
          <w:rFonts w:cs="Arial"/>
        </w:rPr>
        <w:t xml:space="preserve">have </w:t>
      </w:r>
      <w:r w:rsidRPr="00230E26">
        <w:rPr>
          <w:rFonts w:cs="Arial"/>
        </w:rPr>
        <w:t>any additional or alternative suggestions for areas that might be covered by commendations.</w:t>
      </w:r>
    </w:p>
    <w:p w14:paraId="777BADAF" w14:textId="77777777" w:rsidR="000630C2" w:rsidRPr="00230E26" w:rsidRDefault="000630C2" w:rsidP="000630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Arial"/>
          <w:b/>
          <w:sz w:val="12"/>
          <w:szCs w:val="12"/>
        </w:rPr>
      </w:pPr>
    </w:p>
    <w:p w14:paraId="5EC30C8E" w14:textId="77777777" w:rsidR="000630C2" w:rsidRDefault="000630C2" w:rsidP="000630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Arial"/>
          <w:b/>
        </w:rPr>
      </w:pPr>
      <w:r w:rsidRPr="005D56C9">
        <w:rPr>
          <w:rFonts w:cs="Arial"/>
          <w:b/>
        </w:rPr>
        <w:t>Q</w:t>
      </w:r>
      <w:r>
        <w:rPr>
          <w:rFonts w:cs="Arial"/>
          <w:b/>
        </w:rPr>
        <w:t>10</w:t>
      </w:r>
      <w:r w:rsidRPr="005D56C9">
        <w:rPr>
          <w:rFonts w:cs="Arial"/>
          <w:b/>
        </w:rPr>
        <w:t xml:space="preserve">: </w:t>
      </w:r>
      <w:r w:rsidRPr="00520A42">
        <w:rPr>
          <w:rFonts w:cs="Arial"/>
        </w:rPr>
        <w:t>Do you agree with the assessment process proposed above? Please outline your reasons and any alternative suggestions. The proposed process is set within a relatively tight timescale, reflected in the key dates included in Annex B. Responses should be framed within this context</w:t>
      </w:r>
    </w:p>
    <w:p w14:paraId="7BC598B2" w14:textId="77777777" w:rsidR="000630C2" w:rsidRPr="00230E26" w:rsidRDefault="000630C2" w:rsidP="000630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Arial"/>
          <w:b/>
          <w:sz w:val="12"/>
          <w:szCs w:val="12"/>
        </w:rPr>
      </w:pPr>
    </w:p>
    <w:p w14:paraId="667FE131" w14:textId="213CA1F6" w:rsidR="000630C2" w:rsidRDefault="000630C2" w:rsidP="000630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Arial"/>
        </w:rPr>
      </w:pPr>
      <w:r w:rsidRPr="005D56C9">
        <w:rPr>
          <w:rFonts w:cs="Arial"/>
          <w:b/>
        </w:rPr>
        <w:t>Q</w:t>
      </w:r>
      <w:r>
        <w:rPr>
          <w:rFonts w:cs="Arial"/>
          <w:b/>
        </w:rPr>
        <w:t>11</w:t>
      </w:r>
      <w:r w:rsidRPr="005D56C9">
        <w:rPr>
          <w:rFonts w:cs="Arial"/>
          <w:b/>
        </w:rPr>
        <w:t xml:space="preserve">: </w:t>
      </w:r>
      <w:r w:rsidRPr="00520A42">
        <w:rPr>
          <w:rFonts w:cs="Arial"/>
        </w:rPr>
        <w:t>Do you agree that in the case of provi</w:t>
      </w:r>
      <w:r>
        <w:rPr>
          <w:rFonts w:cs="Arial"/>
        </w:rPr>
        <w:t>ders with less than three years</w:t>
      </w:r>
      <w:r w:rsidRPr="00520A42">
        <w:rPr>
          <w:rFonts w:cs="Arial"/>
        </w:rPr>
        <w:t xml:space="preserve"> of core metrics, </w:t>
      </w:r>
      <w:r w:rsidRPr="00230E26">
        <w:rPr>
          <w:rFonts w:cs="Arial"/>
        </w:rPr>
        <w:t xml:space="preserve">the duration of the award should reflect the number of </w:t>
      </w:r>
      <w:r w:rsidR="002A473D">
        <w:rPr>
          <w:rFonts w:cs="Arial"/>
        </w:rPr>
        <w:t>years of</w:t>
      </w:r>
      <w:r w:rsidRPr="00230E26">
        <w:rPr>
          <w:rFonts w:cs="Arial"/>
        </w:rPr>
        <w:t xml:space="preserve"> core metrics available?</w:t>
      </w:r>
      <w:r>
        <w:rPr>
          <w:rFonts w:cs="Arial"/>
        </w:rPr>
        <w:t xml:space="preserve"> Please outline your reasons. </w:t>
      </w:r>
      <w:r>
        <w:rPr>
          <w:rFonts w:cs="Arial"/>
          <w:b/>
        </w:rPr>
        <w:t xml:space="preserve">  </w:t>
      </w:r>
    </w:p>
    <w:p w14:paraId="52EF10CE" w14:textId="77777777" w:rsidR="000630C2" w:rsidRPr="00230E26" w:rsidRDefault="000630C2" w:rsidP="000630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Arial"/>
          <w:sz w:val="12"/>
          <w:szCs w:val="12"/>
        </w:rPr>
      </w:pPr>
    </w:p>
    <w:p w14:paraId="3864A047" w14:textId="77777777" w:rsidR="000630C2" w:rsidRPr="005D56C9" w:rsidRDefault="000630C2" w:rsidP="000630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Arial"/>
          <w:b/>
        </w:rPr>
      </w:pPr>
      <w:r>
        <w:rPr>
          <w:rFonts w:cs="Arial"/>
          <w:b/>
        </w:rPr>
        <w:t>Q12</w:t>
      </w:r>
      <w:r w:rsidRPr="005D56C9">
        <w:rPr>
          <w:rFonts w:cs="Arial"/>
          <w:b/>
        </w:rPr>
        <w:t xml:space="preserve"> </w:t>
      </w:r>
      <w:r w:rsidRPr="00230E26">
        <w:rPr>
          <w:rFonts w:cs="Arial"/>
        </w:rPr>
        <w:t>Do you agree with the descriptions of the different TEF ratings proposed in Figure 9? Please outline your reasons and any alternative suggestions.</w:t>
      </w:r>
    </w:p>
    <w:p w14:paraId="07659DC9" w14:textId="77777777" w:rsidR="000630C2" w:rsidRDefault="000630C2" w:rsidP="000630C2"/>
    <w:p w14:paraId="6062E143" w14:textId="77777777" w:rsidR="000630C2" w:rsidRDefault="000630C2" w:rsidP="000630C2"/>
    <w:p w14:paraId="4C68BEDA" w14:textId="77777777" w:rsidR="000630C2" w:rsidRDefault="000630C2" w:rsidP="000630C2">
      <w:pPr>
        <w:pStyle w:val="Heading2"/>
      </w:pPr>
      <w:bookmarkStart w:id="124" w:name="_Toc440620733"/>
      <w:bookmarkStart w:id="125" w:name="_Toc450148028"/>
      <w:bookmarkStart w:id="126" w:name="_Toc450886598"/>
      <w:r>
        <w:lastRenderedPageBreak/>
        <w:t>Annex F</w:t>
      </w:r>
      <w:r w:rsidRPr="000A01D3">
        <w:t>: Consultation principles</w:t>
      </w:r>
      <w:bookmarkEnd w:id="124"/>
      <w:bookmarkEnd w:id="125"/>
      <w:bookmarkEnd w:id="126"/>
    </w:p>
    <w:p w14:paraId="696E802B" w14:textId="77777777" w:rsidR="000630C2" w:rsidRPr="000A01D3" w:rsidRDefault="000630C2" w:rsidP="000630C2">
      <w:r w:rsidRPr="000A01D3">
        <w:t xml:space="preserve">The principles that </w:t>
      </w:r>
      <w:r>
        <w:t>g</w:t>
      </w:r>
      <w:r w:rsidRPr="000A01D3">
        <w:t>overnment departments and other public bodies should adopt for engaging stakeholders when developing policy and legislation are set out in the consultation principles</w:t>
      </w:r>
      <w:r>
        <w:t>:</w:t>
      </w:r>
      <w:r w:rsidRPr="000A01D3">
        <w:t xml:space="preserve"> </w:t>
      </w:r>
    </w:p>
    <w:p w14:paraId="4F37DCB1" w14:textId="77777777" w:rsidR="000630C2" w:rsidRDefault="00FF0106" w:rsidP="000630C2">
      <w:hyperlink r:id="rId20" w:history="1">
        <w:r w:rsidR="000630C2">
          <w:rPr>
            <w:rStyle w:val="Hyperlink"/>
          </w:rPr>
          <w:t>www.gov.uk/government/publications/consultation-principles-guidance</w:t>
        </w:r>
      </w:hyperlink>
    </w:p>
    <w:p w14:paraId="2D1A61CC" w14:textId="77777777" w:rsidR="000630C2" w:rsidRPr="003F1396" w:rsidRDefault="000630C2" w:rsidP="000630C2">
      <w:pPr>
        <w:pStyle w:val="Heading4"/>
      </w:pPr>
      <w:bookmarkStart w:id="127" w:name="_Toc440620734"/>
      <w:r w:rsidRPr="003F1396">
        <w:t>Comments or complaints on the conduct of this consultation</w:t>
      </w:r>
      <w:bookmarkEnd w:id="127"/>
    </w:p>
    <w:p w14:paraId="68268D5F" w14:textId="77777777" w:rsidR="000630C2" w:rsidRPr="000A01D3" w:rsidRDefault="000630C2" w:rsidP="000630C2">
      <w:pPr>
        <w:spacing w:after="0"/>
      </w:pPr>
      <w:r w:rsidRPr="000A01D3">
        <w:t>If you wish to comment on the conduct of this consultation or make a complaint about the way this consultation has been conducted, please write to:</w:t>
      </w:r>
    </w:p>
    <w:p w14:paraId="2A0A738B" w14:textId="77777777" w:rsidR="000630C2" w:rsidRPr="000A01D3" w:rsidRDefault="000630C2" w:rsidP="000630C2">
      <w:r>
        <w:t>Angela Rabess</w:t>
      </w:r>
      <w:r>
        <w:br/>
        <w:t>BIS Consultation Co-ordinator</w:t>
      </w:r>
      <w:r>
        <w:br/>
        <w:t>1 Victoria Street</w:t>
      </w:r>
      <w:r>
        <w:br/>
      </w:r>
      <w:r w:rsidRPr="000A01D3">
        <w:t xml:space="preserve">London </w:t>
      </w:r>
      <w:r>
        <w:br/>
      </w:r>
      <w:r w:rsidRPr="000A01D3">
        <w:t xml:space="preserve">SW1H 0ET </w:t>
      </w:r>
    </w:p>
    <w:p w14:paraId="6DFF62E6" w14:textId="77777777" w:rsidR="000630C2" w:rsidRPr="000A01D3" w:rsidRDefault="000630C2" w:rsidP="000630C2">
      <w:r>
        <w:t>Email</w:t>
      </w:r>
      <w:r w:rsidRPr="000A01D3">
        <w:t xml:space="preserve">: </w:t>
      </w:r>
      <w:hyperlink r:id="rId21" w:history="1">
        <w:r w:rsidRPr="002C2B8E">
          <w:rPr>
            <w:rStyle w:val="Hyperlink"/>
          </w:rPr>
          <w:t>angela.rabess@bis.gsi.gov.uk</w:t>
        </w:r>
      </w:hyperlink>
      <w:r>
        <w:t xml:space="preserve"> </w:t>
      </w:r>
    </w:p>
    <w:p w14:paraId="798215BA" w14:textId="77777777" w:rsidR="000630C2" w:rsidRDefault="000630C2" w:rsidP="000630C2">
      <w:r w:rsidRPr="000A01D3">
        <w:t>However if you wish to comment on the specific policy proposals you should contact</w:t>
      </w:r>
      <w:r>
        <w:t xml:space="preserve"> the TEF Technical Consultation mailbox</w:t>
      </w:r>
      <w:r w:rsidRPr="00426357">
        <w:t>.</w:t>
      </w:r>
      <w:r>
        <w:t xml:space="preserve"> </w:t>
      </w:r>
    </w:p>
    <w:p w14:paraId="0E886A4C" w14:textId="77777777" w:rsidR="000630C2" w:rsidRDefault="000630C2" w:rsidP="000630C2">
      <w:pPr>
        <w:pStyle w:val="Heading2"/>
      </w:pPr>
      <w:r>
        <w:br w:type="page"/>
      </w:r>
      <w:bookmarkStart w:id="128" w:name="_Toc440620737"/>
      <w:bookmarkStart w:id="129" w:name="_Toc450148029"/>
      <w:bookmarkStart w:id="130" w:name="_Toc450886599"/>
      <w:r>
        <w:lastRenderedPageBreak/>
        <w:t>Annex G</w:t>
      </w:r>
      <w:r w:rsidRPr="00B10922">
        <w:t xml:space="preserve">: </w:t>
      </w:r>
      <w:bookmarkEnd w:id="128"/>
      <w:r>
        <w:t>Technical Consultation – How to respond and confidentiality/data protection</w:t>
      </w:r>
      <w:bookmarkEnd w:id="129"/>
      <w:bookmarkEnd w:id="130"/>
      <w:r>
        <w:t xml:space="preserve">  </w:t>
      </w:r>
    </w:p>
    <w:p w14:paraId="2262A47A" w14:textId="77777777" w:rsidR="000630C2" w:rsidRPr="00011F22" w:rsidRDefault="000630C2" w:rsidP="000630C2">
      <w:pPr>
        <w:pStyle w:val="Heading4"/>
        <w:spacing w:after="0"/>
        <w:rPr>
          <w:iCs/>
        </w:rPr>
      </w:pPr>
      <w:r w:rsidRPr="00011F22">
        <w:t>How to respond</w:t>
      </w:r>
    </w:p>
    <w:p w14:paraId="3D4C9F02" w14:textId="77777777" w:rsidR="000630C2" w:rsidRDefault="000630C2" w:rsidP="000630C2">
      <w:pPr>
        <w:pStyle w:val="Numberedparagraph"/>
        <w:spacing w:after="0"/>
        <w:ind w:left="0"/>
      </w:pPr>
      <w:proofErr w:type="gramStart"/>
      <w:r w:rsidRPr="00430D7B">
        <w:t>When responding please state whether you are responding as an individual or representing the views of an organisation.</w:t>
      </w:r>
      <w:proofErr w:type="gramEnd"/>
      <w:r w:rsidRPr="00430D7B">
        <w:t xml:space="preserve"> If you are responding on behalf of an organisation, please make it clear who the organisation represents by selecting the appropriate interest group on the consultation </w:t>
      </w:r>
      <w:r>
        <w:t xml:space="preserve">response form </w:t>
      </w:r>
      <w:r w:rsidRPr="00430D7B">
        <w:t>and, where applicable, how the views of members were assembled</w:t>
      </w:r>
      <w:r>
        <w:t xml:space="preserve">. </w:t>
      </w:r>
    </w:p>
    <w:p w14:paraId="3F7CDC87" w14:textId="77777777" w:rsidR="000630C2" w:rsidRDefault="000630C2" w:rsidP="000630C2">
      <w:pPr>
        <w:pStyle w:val="Numberedparagraph"/>
        <w:spacing w:after="0"/>
        <w:ind w:left="0"/>
      </w:pPr>
    </w:p>
    <w:p w14:paraId="342507DA" w14:textId="7941E3EF" w:rsidR="000630C2" w:rsidRPr="000C7B45" w:rsidRDefault="000630C2" w:rsidP="000630C2">
      <w:pPr>
        <w:rPr>
          <w:rFonts w:ascii="Calibri" w:hAnsi="Calibri"/>
          <w:color w:val="1F497D"/>
          <w:sz w:val="22"/>
          <w:szCs w:val="22"/>
        </w:rPr>
      </w:pPr>
      <w:r w:rsidRPr="00430D7B">
        <w:t>You can reply to this consultation online at</w:t>
      </w:r>
      <w:r>
        <w:t xml:space="preserve"> </w:t>
      </w:r>
      <w:hyperlink r:id="rId22" w:history="1">
        <w:r>
          <w:rPr>
            <w:rStyle w:val="Hyperlink"/>
            <w:lang w:val="en"/>
          </w:rPr>
          <w:t>https://bisgovuk.citizenspace.com/he/tef-technical-consultation-year-2</w:t>
        </w:r>
      </w:hyperlink>
      <w:r w:rsidR="00C01FE7">
        <w:rPr>
          <w:rStyle w:val="help-block"/>
          <w:rFonts w:eastAsiaTheme="majorEastAsia"/>
          <w:lang w:val="en"/>
        </w:rPr>
        <w:t xml:space="preserve">. </w:t>
      </w:r>
      <w:r w:rsidRPr="00430D7B">
        <w:t>The consultation response form is available electronically on the consultation page</w:t>
      </w:r>
      <w:r>
        <w:t xml:space="preserve">.  </w:t>
      </w:r>
    </w:p>
    <w:p w14:paraId="0BAB03C0" w14:textId="77777777" w:rsidR="000630C2" w:rsidRPr="00430D7B" w:rsidRDefault="000630C2" w:rsidP="000630C2">
      <w:pPr>
        <w:pStyle w:val="Numberedparagraph"/>
        <w:spacing w:after="0"/>
        <w:ind w:left="0"/>
      </w:pPr>
      <w:r w:rsidRPr="001D22FA">
        <w:rPr>
          <w:b/>
        </w:rPr>
        <w:t>Responses can be submitted online, by email or by letter to</w:t>
      </w:r>
      <w:r w:rsidRPr="00430D7B">
        <w:t>:</w:t>
      </w:r>
    </w:p>
    <w:p w14:paraId="3ABB9027" w14:textId="77777777" w:rsidR="000630C2" w:rsidRDefault="000630C2" w:rsidP="000630C2">
      <w:pPr>
        <w:spacing w:after="0"/>
      </w:pPr>
      <w:r>
        <w:t>Adam Gray</w:t>
      </w:r>
      <w:r>
        <w:br/>
        <w:t>Higher Education</w:t>
      </w:r>
      <w:r>
        <w:br/>
      </w:r>
      <w:r w:rsidRPr="00430D7B">
        <w:t>Depart</w:t>
      </w:r>
      <w:r>
        <w:t>ment for</w:t>
      </w:r>
      <w:r w:rsidRPr="00430D7B">
        <w:t xml:space="preserve"> Business, Innovation and Skills </w:t>
      </w:r>
      <w:r>
        <w:br/>
        <w:t>Level 5, 1 Victoria Street</w:t>
      </w:r>
    </w:p>
    <w:p w14:paraId="4895F2DF" w14:textId="77777777" w:rsidR="000630C2" w:rsidRDefault="000630C2" w:rsidP="000630C2">
      <w:pPr>
        <w:spacing w:after="0"/>
      </w:pPr>
      <w:r>
        <w:t>London</w:t>
      </w:r>
    </w:p>
    <w:p w14:paraId="3B933286" w14:textId="77777777" w:rsidR="000630C2" w:rsidRDefault="000630C2" w:rsidP="000630C2">
      <w:pPr>
        <w:spacing w:after="0"/>
      </w:pPr>
      <w:r w:rsidRPr="009D15D8">
        <w:t>SW1H 0ET</w:t>
      </w:r>
    </w:p>
    <w:p w14:paraId="19060C88" w14:textId="5B0E8973" w:rsidR="000630C2" w:rsidRDefault="000630C2" w:rsidP="000630C2">
      <w:pPr>
        <w:rPr>
          <w:rFonts w:eastAsiaTheme="minorHAnsi" w:cs="Arial"/>
          <w:color w:val="000000"/>
        </w:rPr>
      </w:pPr>
      <w:r>
        <w:br/>
      </w:r>
      <w:r w:rsidRPr="009D15D8">
        <w:rPr>
          <w:b/>
        </w:rPr>
        <w:t>Email:</w:t>
      </w:r>
      <w:r>
        <w:t xml:space="preserve"> </w:t>
      </w:r>
      <w:hyperlink r:id="rId23" w:history="1">
        <w:r w:rsidRPr="00157F41">
          <w:rPr>
            <w:rStyle w:val="Hyperlink"/>
            <w:rFonts w:eastAsiaTheme="minorHAnsi" w:cs="Arial"/>
          </w:rPr>
          <w:t>TEF.techconsultation@bis.gsi.gov.uk</w:t>
        </w:r>
      </w:hyperlink>
      <w:r w:rsidR="00C01FE7">
        <w:rPr>
          <w:rFonts w:eastAsiaTheme="minorHAnsi" w:cs="Arial"/>
          <w:color w:val="000000"/>
        </w:rPr>
        <w:t xml:space="preserve"> </w:t>
      </w:r>
    </w:p>
    <w:p w14:paraId="181B8CAF" w14:textId="77777777" w:rsidR="000630C2" w:rsidRDefault="000630C2" w:rsidP="000630C2">
      <w:r w:rsidRPr="00011F22">
        <w:rPr>
          <w:b/>
        </w:rPr>
        <w:t>The closing date for responses is</w:t>
      </w:r>
      <w:r>
        <w:t>: 12</w:t>
      </w:r>
      <w:r w:rsidRPr="00204845">
        <w:t>/</w:t>
      </w:r>
      <w:r>
        <w:t>07/2016</w:t>
      </w:r>
    </w:p>
    <w:p w14:paraId="73F0CFCA" w14:textId="77777777" w:rsidR="000630C2" w:rsidRDefault="000630C2" w:rsidP="000630C2">
      <w:pPr>
        <w:pStyle w:val="Numberedparagraph"/>
        <w:ind w:left="0"/>
      </w:pPr>
      <w:r w:rsidRPr="00BD2801">
        <w:t xml:space="preserve">You may </w:t>
      </w:r>
      <w:r w:rsidRPr="00430D7B">
        <w:t xml:space="preserve">make printed copies of this document without seeking permission. </w:t>
      </w:r>
      <w:r w:rsidRPr="000A01D3">
        <w:t xml:space="preserve">Other versions of the document in </w:t>
      </w:r>
      <w:r>
        <w:t>B</w:t>
      </w:r>
      <w:r w:rsidRPr="000A01D3">
        <w:t>raille, other languages or audio-cassette are available on request.</w:t>
      </w:r>
      <w:r>
        <w:t xml:space="preserve"> If you require a printed copy of the consultation document, you can request one using the contact details above.</w:t>
      </w:r>
    </w:p>
    <w:p w14:paraId="78607DC1" w14:textId="77777777" w:rsidR="000630C2" w:rsidRPr="00011F22" w:rsidRDefault="000630C2" w:rsidP="000630C2">
      <w:pPr>
        <w:pStyle w:val="Heading4"/>
      </w:pPr>
      <w:r w:rsidRPr="00011F22">
        <w:t>Confidentiality and data protection</w:t>
      </w:r>
    </w:p>
    <w:p w14:paraId="28C53B3E" w14:textId="77777777" w:rsidR="000630C2" w:rsidRDefault="000630C2" w:rsidP="000630C2">
      <w:pPr>
        <w:pStyle w:val="Numberedparagraph"/>
        <w:spacing w:after="0"/>
        <w:ind w:left="0"/>
      </w:pPr>
      <w:r w:rsidRPr="007A7D7D">
        <w:t>Information provided in response to this consultation, including personal information, may be subject to publication or release to other parties or to disclosure in accordance with the access to information regimes (these are primarily the Freedom of Information Act 2000 (FOIA), the Data Protection Act 1998 (DPA) and the Environmental Information Regulations 2004). There is also a statutory Code of Practice issued under section 45 of the FOIA with which public authorities must comply and which deals, amongst other things, with obligations of confidence.</w:t>
      </w:r>
    </w:p>
    <w:p w14:paraId="317E832E" w14:textId="77777777" w:rsidR="000630C2" w:rsidRDefault="000630C2" w:rsidP="000630C2">
      <w:pPr>
        <w:pStyle w:val="Numberedparagraph"/>
        <w:spacing w:after="0"/>
        <w:ind w:left="0"/>
      </w:pPr>
    </w:p>
    <w:p w14:paraId="5D7B4464" w14:textId="77777777" w:rsidR="000630C2" w:rsidRDefault="000630C2" w:rsidP="000630C2">
      <w:pPr>
        <w:pStyle w:val="Numberedparagraph"/>
        <w:ind w:left="0"/>
      </w:pPr>
      <w:r w:rsidRPr="007A7D7D">
        <w:t xml:space="preserve">If you want information, including personal data, that you provide to be treated in confidence, please explain to us what information you would like to be treated as confidential and why you regard the information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the </w:t>
      </w:r>
      <w:r>
        <w:t>d</w:t>
      </w:r>
      <w:r w:rsidRPr="007A7D7D">
        <w:t>epartment.</w:t>
      </w:r>
      <w:bookmarkStart w:id="131" w:name="_Toc450148030"/>
    </w:p>
    <w:p w14:paraId="5CFB9182" w14:textId="77777777" w:rsidR="000630C2" w:rsidRDefault="000630C2" w:rsidP="000630C2">
      <w:pPr>
        <w:pStyle w:val="Numberedparagraph"/>
        <w:ind w:left="0"/>
      </w:pPr>
    </w:p>
    <w:p w14:paraId="3A0A189F" w14:textId="77777777" w:rsidR="000630C2" w:rsidRDefault="000630C2" w:rsidP="000630C2">
      <w:pPr>
        <w:pStyle w:val="Heading2"/>
      </w:pPr>
      <w:bookmarkStart w:id="132" w:name="_Toc450886600"/>
      <w:r>
        <w:lastRenderedPageBreak/>
        <w:t>Annex H</w:t>
      </w:r>
      <w:r w:rsidRPr="00B10922">
        <w:t xml:space="preserve">: </w:t>
      </w:r>
      <w:r>
        <w:t>TEF Technical Consultation – Response Form</w:t>
      </w:r>
      <w:bookmarkEnd w:id="131"/>
      <w:bookmarkEnd w:id="132"/>
    </w:p>
    <w:p w14:paraId="305F50EC" w14:textId="77777777" w:rsidR="000630C2" w:rsidRDefault="000630C2" w:rsidP="000630C2">
      <w:pPr>
        <w:rPr>
          <w:b/>
        </w:rPr>
      </w:pPr>
      <w:r>
        <w:rPr>
          <w:b/>
        </w:rPr>
        <w:t>Name/Organisation:</w:t>
      </w:r>
    </w:p>
    <w:p w14:paraId="53B03A4F" w14:textId="77777777" w:rsidR="000630C2" w:rsidRPr="00E0397B" w:rsidRDefault="000630C2" w:rsidP="000630C2">
      <w:pPr>
        <w:rPr>
          <w:b/>
        </w:rPr>
      </w:pPr>
      <w:r w:rsidRPr="00E0397B">
        <w:rPr>
          <w:b/>
        </w:rPr>
        <w:t xml:space="preserve">Please tick the box that best describes you as a respondent to this consultation: </w:t>
      </w:r>
    </w:p>
    <w:tbl>
      <w:tblPr>
        <w:tblW w:w="3791" w:type="pct"/>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ayout w:type="fixed"/>
        <w:tblLook w:val="01E0" w:firstRow="1" w:lastRow="1" w:firstColumn="1" w:lastColumn="1" w:noHBand="0" w:noVBand="0"/>
      </w:tblPr>
      <w:tblGrid>
        <w:gridCol w:w="950"/>
        <w:gridCol w:w="6521"/>
      </w:tblGrid>
      <w:tr w:rsidR="000630C2" w:rsidRPr="00015C4E" w14:paraId="4AEF0595" w14:textId="77777777" w:rsidTr="003327AA">
        <w:trPr>
          <w:trHeight w:val="382"/>
          <w:tblHeader/>
        </w:trPr>
        <w:tc>
          <w:tcPr>
            <w:tcW w:w="636" w:type="pct"/>
          </w:tcPr>
          <w:p w14:paraId="2AB9DAF7" w14:textId="77777777" w:rsidR="000630C2" w:rsidRDefault="000630C2" w:rsidP="003327AA">
            <w:pPr>
              <w:pStyle w:val="Tabletitle-BlackNormal"/>
            </w:pPr>
          </w:p>
        </w:tc>
        <w:tc>
          <w:tcPr>
            <w:tcW w:w="4364" w:type="pct"/>
          </w:tcPr>
          <w:p w14:paraId="37120FA5" w14:textId="77777777" w:rsidR="000630C2" w:rsidRPr="001700BE" w:rsidRDefault="000630C2" w:rsidP="003327AA">
            <w:pPr>
              <w:pStyle w:val="Tabletitle-BlackNormal"/>
            </w:pPr>
            <w:r w:rsidRPr="001700BE">
              <w:t>Respondent type</w:t>
            </w:r>
          </w:p>
        </w:tc>
      </w:tr>
      <w:tr w:rsidR="000630C2" w:rsidRPr="00015C4E" w14:paraId="4C379A43" w14:textId="77777777" w:rsidTr="003327AA">
        <w:trPr>
          <w:trHeight w:val="442"/>
        </w:trPr>
        <w:tc>
          <w:tcPr>
            <w:tcW w:w="636" w:type="pct"/>
          </w:tcPr>
          <w:p w14:paraId="4EB5FA66" w14:textId="77777777" w:rsidR="000630C2" w:rsidRPr="00B10922" w:rsidRDefault="00FF0106" w:rsidP="003327AA">
            <w:pPr>
              <w:pStyle w:val="Tabletext-Normal"/>
            </w:pPr>
            <w:sdt>
              <w:sdtPr>
                <w:id w:val="-669944395"/>
                <w14:checkbox>
                  <w14:checked w14:val="0"/>
                  <w14:checkedState w14:val="2612" w14:font="MS Gothic"/>
                  <w14:uncheckedState w14:val="2610" w14:font="MS Gothic"/>
                </w14:checkbox>
              </w:sdtPr>
              <w:sdtContent>
                <w:r w:rsidR="000630C2">
                  <w:rPr>
                    <w:rFonts w:ascii="MS Gothic" w:eastAsia="MS Gothic" w:hAnsi="MS Gothic" w:hint="eastAsia"/>
                  </w:rPr>
                  <w:t>☐</w:t>
                </w:r>
              </w:sdtContent>
            </w:sdt>
          </w:p>
        </w:tc>
        <w:tc>
          <w:tcPr>
            <w:tcW w:w="4364" w:type="pct"/>
          </w:tcPr>
          <w:p w14:paraId="3653E9A8" w14:textId="77777777" w:rsidR="000630C2" w:rsidRPr="00B10922" w:rsidRDefault="000630C2" w:rsidP="003327AA">
            <w:pPr>
              <w:pStyle w:val="Tabletext-Normal"/>
              <w:ind w:left="0"/>
            </w:pPr>
            <w:r>
              <w:t>Alternative higher education provider (with designated courses)</w:t>
            </w:r>
          </w:p>
        </w:tc>
      </w:tr>
      <w:tr w:rsidR="000630C2" w:rsidRPr="00015C4E" w14:paraId="67492F4E" w14:textId="77777777" w:rsidTr="003327AA">
        <w:trPr>
          <w:trHeight w:val="227"/>
        </w:trPr>
        <w:sdt>
          <w:sdtPr>
            <w:id w:val="162217376"/>
            <w14:checkbox>
              <w14:checked w14:val="0"/>
              <w14:checkedState w14:val="2612" w14:font="MS Gothic"/>
              <w14:uncheckedState w14:val="2610" w14:font="MS Gothic"/>
            </w14:checkbox>
          </w:sdtPr>
          <w:sdtContent>
            <w:tc>
              <w:tcPr>
                <w:tcW w:w="636" w:type="pct"/>
              </w:tcPr>
              <w:p w14:paraId="0C25DA14" w14:textId="77777777" w:rsidR="000630C2" w:rsidRDefault="000630C2" w:rsidP="003327AA">
                <w:pPr>
                  <w:pStyle w:val="Tabletext-Normal"/>
                </w:pPr>
                <w:r>
                  <w:rPr>
                    <w:rFonts w:ascii="MS Gothic" w:eastAsia="MS Gothic" w:hAnsi="MS Gothic" w:hint="eastAsia"/>
                  </w:rPr>
                  <w:t>☐</w:t>
                </w:r>
              </w:p>
            </w:tc>
          </w:sdtContent>
        </w:sdt>
        <w:tc>
          <w:tcPr>
            <w:tcW w:w="4364" w:type="pct"/>
          </w:tcPr>
          <w:p w14:paraId="232BEDA9" w14:textId="77777777" w:rsidR="000630C2" w:rsidRPr="00B10922" w:rsidRDefault="000630C2" w:rsidP="003327AA">
            <w:pPr>
              <w:pStyle w:val="Tabletext-Normal"/>
              <w:ind w:left="0"/>
            </w:pPr>
            <w:r>
              <w:t>Alternative higher education provider (no designated courses)</w:t>
            </w:r>
          </w:p>
        </w:tc>
      </w:tr>
      <w:tr w:rsidR="000630C2" w:rsidRPr="00015C4E" w14:paraId="5BB69CCD" w14:textId="77777777" w:rsidTr="003327AA">
        <w:trPr>
          <w:trHeight w:val="227"/>
        </w:trPr>
        <w:sdt>
          <w:sdtPr>
            <w:id w:val="1774212666"/>
            <w14:checkbox>
              <w14:checked w14:val="0"/>
              <w14:checkedState w14:val="2612" w14:font="MS Gothic"/>
              <w14:uncheckedState w14:val="2610" w14:font="MS Gothic"/>
            </w14:checkbox>
          </w:sdtPr>
          <w:sdtContent>
            <w:tc>
              <w:tcPr>
                <w:tcW w:w="636" w:type="pct"/>
              </w:tcPr>
              <w:p w14:paraId="7DA8A50A" w14:textId="77777777" w:rsidR="000630C2" w:rsidRDefault="000630C2" w:rsidP="003327AA">
                <w:pPr>
                  <w:pStyle w:val="Tabletext-Normal"/>
                </w:pPr>
                <w:r>
                  <w:rPr>
                    <w:rFonts w:ascii="MS Gothic" w:eastAsia="MS Gothic" w:hAnsi="MS Gothic" w:hint="eastAsia"/>
                  </w:rPr>
                  <w:t>☐</w:t>
                </w:r>
              </w:p>
            </w:tc>
          </w:sdtContent>
        </w:sdt>
        <w:tc>
          <w:tcPr>
            <w:tcW w:w="4364" w:type="pct"/>
          </w:tcPr>
          <w:p w14:paraId="49D06B71" w14:textId="77777777" w:rsidR="000630C2" w:rsidRPr="00B10922" w:rsidRDefault="000630C2" w:rsidP="003327AA">
            <w:pPr>
              <w:pStyle w:val="Tabletext-Normal"/>
              <w:ind w:left="0"/>
            </w:pPr>
            <w:r>
              <w:t>Awarding organisation</w:t>
            </w:r>
          </w:p>
        </w:tc>
      </w:tr>
      <w:tr w:rsidR="000630C2" w:rsidRPr="00015C4E" w14:paraId="7CB6450A" w14:textId="77777777" w:rsidTr="003327AA">
        <w:trPr>
          <w:trHeight w:val="227"/>
        </w:trPr>
        <w:sdt>
          <w:sdtPr>
            <w:id w:val="1179774282"/>
            <w14:checkbox>
              <w14:checked w14:val="0"/>
              <w14:checkedState w14:val="2612" w14:font="MS Gothic"/>
              <w14:uncheckedState w14:val="2610" w14:font="MS Gothic"/>
            </w14:checkbox>
          </w:sdtPr>
          <w:sdtContent>
            <w:tc>
              <w:tcPr>
                <w:tcW w:w="636" w:type="pct"/>
              </w:tcPr>
              <w:p w14:paraId="07AA3AA5" w14:textId="77777777" w:rsidR="000630C2" w:rsidRDefault="000630C2" w:rsidP="003327AA">
                <w:pPr>
                  <w:pStyle w:val="Tabletext-Normal"/>
                </w:pPr>
                <w:r>
                  <w:rPr>
                    <w:rFonts w:ascii="MS Gothic" w:eastAsia="MS Gothic" w:hAnsi="MS Gothic" w:hint="eastAsia"/>
                  </w:rPr>
                  <w:t>☐</w:t>
                </w:r>
              </w:p>
            </w:tc>
          </w:sdtContent>
        </w:sdt>
        <w:tc>
          <w:tcPr>
            <w:tcW w:w="4364" w:type="pct"/>
          </w:tcPr>
          <w:p w14:paraId="28987B13" w14:textId="77777777" w:rsidR="000630C2" w:rsidRPr="00B10922" w:rsidRDefault="000630C2" w:rsidP="003327AA">
            <w:pPr>
              <w:pStyle w:val="Tabletext-Normal"/>
              <w:ind w:left="0"/>
            </w:pPr>
            <w:r>
              <w:t>Business/Employer</w:t>
            </w:r>
          </w:p>
        </w:tc>
      </w:tr>
      <w:tr w:rsidR="000630C2" w:rsidRPr="00015C4E" w14:paraId="4A8A7699" w14:textId="77777777" w:rsidTr="003327AA">
        <w:trPr>
          <w:trHeight w:val="227"/>
        </w:trPr>
        <w:sdt>
          <w:sdtPr>
            <w:id w:val="-1968420386"/>
            <w14:checkbox>
              <w14:checked w14:val="0"/>
              <w14:checkedState w14:val="2612" w14:font="MS Gothic"/>
              <w14:uncheckedState w14:val="2610" w14:font="MS Gothic"/>
            </w14:checkbox>
          </w:sdtPr>
          <w:sdtContent>
            <w:tc>
              <w:tcPr>
                <w:tcW w:w="636" w:type="pct"/>
              </w:tcPr>
              <w:p w14:paraId="77839939" w14:textId="77777777" w:rsidR="000630C2" w:rsidRDefault="000630C2" w:rsidP="003327AA">
                <w:pPr>
                  <w:pStyle w:val="Tabletext-Normal"/>
                </w:pPr>
                <w:r>
                  <w:rPr>
                    <w:rFonts w:ascii="MS Gothic" w:eastAsia="MS Gothic" w:hAnsi="MS Gothic" w:hint="eastAsia"/>
                  </w:rPr>
                  <w:t>☐</w:t>
                </w:r>
              </w:p>
            </w:tc>
          </w:sdtContent>
        </w:sdt>
        <w:tc>
          <w:tcPr>
            <w:tcW w:w="4364" w:type="pct"/>
          </w:tcPr>
          <w:p w14:paraId="0E9A2502" w14:textId="77777777" w:rsidR="000630C2" w:rsidRPr="00B10922" w:rsidRDefault="000630C2" w:rsidP="003327AA">
            <w:pPr>
              <w:pStyle w:val="Tabletext-Normal"/>
              <w:ind w:left="0"/>
            </w:pPr>
            <w:r>
              <w:t>Central government</w:t>
            </w:r>
          </w:p>
        </w:tc>
      </w:tr>
      <w:tr w:rsidR="000630C2" w:rsidRPr="00015C4E" w14:paraId="1EA4A038" w14:textId="77777777" w:rsidTr="003327AA">
        <w:trPr>
          <w:trHeight w:val="227"/>
        </w:trPr>
        <w:sdt>
          <w:sdtPr>
            <w:id w:val="466251364"/>
            <w14:checkbox>
              <w14:checked w14:val="0"/>
              <w14:checkedState w14:val="2612" w14:font="MS Gothic"/>
              <w14:uncheckedState w14:val="2610" w14:font="MS Gothic"/>
            </w14:checkbox>
          </w:sdtPr>
          <w:sdtContent>
            <w:tc>
              <w:tcPr>
                <w:tcW w:w="636" w:type="pct"/>
              </w:tcPr>
              <w:p w14:paraId="3CF4A040" w14:textId="77777777" w:rsidR="000630C2" w:rsidRDefault="000630C2" w:rsidP="003327AA">
                <w:pPr>
                  <w:pStyle w:val="Tabletext-Normal"/>
                </w:pPr>
                <w:r>
                  <w:rPr>
                    <w:rFonts w:ascii="MS Gothic" w:eastAsia="MS Gothic" w:hAnsi="MS Gothic" w:hint="eastAsia"/>
                  </w:rPr>
                  <w:t>☐</w:t>
                </w:r>
              </w:p>
            </w:tc>
          </w:sdtContent>
        </w:sdt>
        <w:tc>
          <w:tcPr>
            <w:tcW w:w="4364" w:type="pct"/>
          </w:tcPr>
          <w:p w14:paraId="0FB49AD5" w14:textId="77777777" w:rsidR="000630C2" w:rsidRPr="00B10922" w:rsidRDefault="000630C2" w:rsidP="003327AA">
            <w:pPr>
              <w:pStyle w:val="Tabletext-Normal"/>
              <w:ind w:left="0"/>
            </w:pPr>
            <w:r>
              <w:t>Charity or social enterprise</w:t>
            </w:r>
          </w:p>
        </w:tc>
      </w:tr>
      <w:tr w:rsidR="000630C2" w:rsidRPr="00015C4E" w14:paraId="4D2C6172" w14:textId="77777777" w:rsidTr="003327AA">
        <w:trPr>
          <w:trHeight w:val="227"/>
        </w:trPr>
        <w:sdt>
          <w:sdtPr>
            <w:id w:val="1106783306"/>
            <w14:checkbox>
              <w14:checked w14:val="0"/>
              <w14:checkedState w14:val="2612" w14:font="MS Gothic"/>
              <w14:uncheckedState w14:val="2610" w14:font="MS Gothic"/>
            </w14:checkbox>
          </w:sdtPr>
          <w:sdtContent>
            <w:tc>
              <w:tcPr>
                <w:tcW w:w="636" w:type="pct"/>
              </w:tcPr>
              <w:p w14:paraId="2CA338B8" w14:textId="77777777" w:rsidR="000630C2" w:rsidRDefault="000630C2" w:rsidP="003327AA">
                <w:pPr>
                  <w:pStyle w:val="Tabletext-Normal"/>
                </w:pPr>
                <w:r>
                  <w:rPr>
                    <w:rFonts w:ascii="MS Gothic" w:eastAsia="MS Gothic" w:hAnsi="MS Gothic" w:hint="eastAsia"/>
                  </w:rPr>
                  <w:t>☐</w:t>
                </w:r>
              </w:p>
            </w:tc>
          </w:sdtContent>
        </w:sdt>
        <w:tc>
          <w:tcPr>
            <w:tcW w:w="4364" w:type="pct"/>
          </w:tcPr>
          <w:p w14:paraId="0CC3C36A" w14:textId="77777777" w:rsidR="000630C2" w:rsidRPr="00B10922" w:rsidRDefault="000630C2" w:rsidP="003327AA">
            <w:pPr>
              <w:pStyle w:val="Tabletext-Normal"/>
              <w:ind w:left="0"/>
            </w:pPr>
            <w:r>
              <w:t>Further Education College</w:t>
            </w:r>
          </w:p>
        </w:tc>
      </w:tr>
      <w:tr w:rsidR="000630C2" w:rsidRPr="00015C4E" w14:paraId="34FBFD4C" w14:textId="77777777" w:rsidTr="003327AA">
        <w:trPr>
          <w:trHeight w:val="227"/>
        </w:trPr>
        <w:sdt>
          <w:sdtPr>
            <w:id w:val="1417217692"/>
            <w14:checkbox>
              <w14:checked w14:val="0"/>
              <w14:checkedState w14:val="2612" w14:font="MS Gothic"/>
              <w14:uncheckedState w14:val="2610" w14:font="MS Gothic"/>
            </w14:checkbox>
          </w:sdtPr>
          <w:sdtContent>
            <w:tc>
              <w:tcPr>
                <w:tcW w:w="636" w:type="pct"/>
              </w:tcPr>
              <w:p w14:paraId="3AA32523" w14:textId="77777777" w:rsidR="000630C2" w:rsidRDefault="000630C2" w:rsidP="003327AA">
                <w:pPr>
                  <w:pStyle w:val="Tabletext-Normal"/>
                </w:pPr>
                <w:r>
                  <w:rPr>
                    <w:rFonts w:ascii="MS Gothic" w:eastAsia="MS Gothic" w:hAnsi="MS Gothic" w:hint="eastAsia"/>
                  </w:rPr>
                  <w:t>☐</w:t>
                </w:r>
              </w:p>
            </w:tc>
          </w:sdtContent>
        </w:sdt>
        <w:tc>
          <w:tcPr>
            <w:tcW w:w="4364" w:type="pct"/>
          </w:tcPr>
          <w:p w14:paraId="1FD47793" w14:textId="77777777" w:rsidR="000630C2" w:rsidRPr="00B10922" w:rsidRDefault="000630C2" w:rsidP="003327AA">
            <w:pPr>
              <w:pStyle w:val="Tabletext-Normal"/>
              <w:ind w:left="0"/>
            </w:pPr>
            <w:r>
              <w:t>Higher Education Institution</w:t>
            </w:r>
          </w:p>
        </w:tc>
      </w:tr>
      <w:tr w:rsidR="000630C2" w:rsidRPr="00015C4E" w14:paraId="3226D512" w14:textId="77777777" w:rsidTr="003327AA">
        <w:trPr>
          <w:trHeight w:val="227"/>
        </w:trPr>
        <w:sdt>
          <w:sdtPr>
            <w:id w:val="-730452939"/>
            <w14:checkbox>
              <w14:checked w14:val="0"/>
              <w14:checkedState w14:val="2612" w14:font="MS Gothic"/>
              <w14:uncheckedState w14:val="2610" w14:font="MS Gothic"/>
            </w14:checkbox>
          </w:sdtPr>
          <w:sdtContent>
            <w:tc>
              <w:tcPr>
                <w:tcW w:w="636" w:type="pct"/>
              </w:tcPr>
              <w:p w14:paraId="42311D9B" w14:textId="77777777" w:rsidR="000630C2" w:rsidRDefault="000630C2" w:rsidP="003327AA">
                <w:pPr>
                  <w:pStyle w:val="Tabletext-Normal"/>
                </w:pPr>
                <w:r>
                  <w:rPr>
                    <w:rFonts w:ascii="MS Gothic" w:eastAsia="MS Gothic" w:hAnsi="MS Gothic" w:hint="eastAsia"/>
                  </w:rPr>
                  <w:t>☐</w:t>
                </w:r>
              </w:p>
            </w:tc>
          </w:sdtContent>
        </w:sdt>
        <w:tc>
          <w:tcPr>
            <w:tcW w:w="4364" w:type="pct"/>
          </w:tcPr>
          <w:p w14:paraId="7149AAB5" w14:textId="77777777" w:rsidR="000630C2" w:rsidRPr="00B10922" w:rsidRDefault="000630C2" w:rsidP="003327AA">
            <w:pPr>
              <w:pStyle w:val="Tabletext-Normal"/>
              <w:ind w:left="0"/>
            </w:pPr>
            <w:r>
              <w:t>Individual (Please describe any particular relevant interest; parent, student, teaching staff etc.)</w:t>
            </w:r>
          </w:p>
        </w:tc>
      </w:tr>
      <w:tr w:rsidR="000630C2" w:rsidRPr="00015C4E" w14:paraId="21669467" w14:textId="77777777" w:rsidTr="003327AA">
        <w:trPr>
          <w:trHeight w:val="227"/>
        </w:trPr>
        <w:sdt>
          <w:sdtPr>
            <w:id w:val="820691005"/>
            <w14:checkbox>
              <w14:checked w14:val="0"/>
              <w14:checkedState w14:val="2612" w14:font="MS Gothic"/>
              <w14:uncheckedState w14:val="2610" w14:font="MS Gothic"/>
            </w14:checkbox>
          </w:sdtPr>
          <w:sdtContent>
            <w:tc>
              <w:tcPr>
                <w:tcW w:w="636" w:type="pct"/>
              </w:tcPr>
              <w:p w14:paraId="16C8DBFF" w14:textId="77777777" w:rsidR="000630C2" w:rsidRDefault="000630C2" w:rsidP="003327AA">
                <w:pPr>
                  <w:pStyle w:val="Tabletext-Normal"/>
                </w:pPr>
                <w:r>
                  <w:rPr>
                    <w:rFonts w:ascii="MS Gothic" w:eastAsia="MS Gothic" w:hAnsi="MS Gothic" w:hint="eastAsia"/>
                  </w:rPr>
                  <w:t>☐</w:t>
                </w:r>
              </w:p>
            </w:tc>
          </w:sdtContent>
        </w:sdt>
        <w:tc>
          <w:tcPr>
            <w:tcW w:w="4364" w:type="pct"/>
          </w:tcPr>
          <w:p w14:paraId="32AC91EA" w14:textId="77777777" w:rsidR="000630C2" w:rsidRPr="00B10922" w:rsidRDefault="000630C2" w:rsidP="003327AA">
            <w:pPr>
              <w:pStyle w:val="Tabletext-Normal"/>
              <w:ind w:left="0"/>
            </w:pPr>
            <w:r>
              <w:t>Legal representative</w:t>
            </w:r>
          </w:p>
        </w:tc>
      </w:tr>
      <w:tr w:rsidR="000630C2" w:rsidRPr="00015C4E" w14:paraId="5FF45196" w14:textId="77777777" w:rsidTr="003327AA">
        <w:trPr>
          <w:trHeight w:val="227"/>
        </w:trPr>
        <w:sdt>
          <w:sdtPr>
            <w:id w:val="1332031392"/>
            <w14:checkbox>
              <w14:checked w14:val="0"/>
              <w14:checkedState w14:val="2612" w14:font="MS Gothic"/>
              <w14:uncheckedState w14:val="2610" w14:font="MS Gothic"/>
            </w14:checkbox>
          </w:sdtPr>
          <w:sdtContent>
            <w:tc>
              <w:tcPr>
                <w:tcW w:w="636" w:type="pct"/>
              </w:tcPr>
              <w:p w14:paraId="7757F773" w14:textId="77777777" w:rsidR="000630C2" w:rsidRDefault="000630C2" w:rsidP="003327AA">
                <w:pPr>
                  <w:pStyle w:val="Tabletext-Normal"/>
                </w:pPr>
                <w:r>
                  <w:rPr>
                    <w:rFonts w:ascii="MS Gothic" w:eastAsia="MS Gothic" w:hAnsi="MS Gothic" w:hint="eastAsia"/>
                  </w:rPr>
                  <w:t>☐</w:t>
                </w:r>
              </w:p>
            </w:tc>
          </w:sdtContent>
        </w:sdt>
        <w:tc>
          <w:tcPr>
            <w:tcW w:w="4364" w:type="pct"/>
          </w:tcPr>
          <w:p w14:paraId="04BCF449" w14:textId="77777777" w:rsidR="000630C2" w:rsidRPr="00B10922" w:rsidRDefault="000630C2" w:rsidP="003327AA">
            <w:pPr>
              <w:pStyle w:val="Tabletext-Normal"/>
            </w:pPr>
            <w:r>
              <w:t>Local Government</w:t>
            </w:r>
          </w:p>
        </w:tc>
      </w:tr>
      <w:tr w:rsidR="000630C2" w:rsidRPr="00015C4E" w14:paraId="7F86F588" w14:textId="77777777" w:rsidTr="003327AA">
        <w:trPr>
          <w:trHeight w:val="227"/>
        </w:trPr>
        <w:sdt>
          <w:sdtPr>
            <w:id w:val="-71049052"/>
            <w14:checkbox>
              <w14:checked w14:val="0"/>
              <w14:checkedState w14:val="2612" w14:font="MS Gothic"/>
              <w14:uncheckedState w14:val="2610" w14:font="MS Gothic"/>
            </w14:checkbox>
          </w:sdtPr>
          <w:sdtContent>
            <w:tc>
              <w:tcPr>
                <w:tcW w:w="636" w:type="pct"/>
              </w:tcPr>
              <w:p w14:paraId="3AEAC2C1" w14:textId="77777777" w:rsidR="000630C2" w:rsidRPr="00692C73" w:rsidRDefault="000630C2" w:rsidP="003327AA">
                <w:pPr>
                  <w:pStyle w:val="Tabletext-Normal"/>
                </w:pPr>
                <w:r w:rsidRPr="00692C73">
                  <w:rPr>
                    <w:rFonts w:eastAsia="MS Gothic" w:hint="eastAsia"/>
                  </w:rPr>
                  <w:t>☐</w:t>
                </w:r>
              </w:p>
            </w:tc>
          </w:sdtContent>
        </w:sdt>
        <w:tc>
          <w:tcPr>
            <w:tcW w:w="4364" w:type="pct"/>
          </w:tcPr>
          <w:p w14:paraId="5B3E4918" w14:textId="77777777" w:rsidR="000630C2" w:rsidRPr="00692C73" w:rsidRDefault="000630C2" w:rsidP="003327AA">
            <w:pPr>
              <w:pStyle w:val="Tabletext-Normal"/>
            </w:pPr>
            <w:r>
              <w:t>Professional Body</w:t>
            </w:r>
          </w:p>
        </w:tc>
      </w:tr>
      <w:tr w:rsidR="000630C2" w:rsidRPr="00015C4E" w14:paraId="2B0B33DE" w14:textId="77777777" w:rsidTr="003327AA">
        <w:trPr>
          <w:trHeight w:val="227"/>
        </w:trPr>
        <w:sdt>
          <w:sdtPr>
            <w:id w:val="-352268700"/>
            <w14:checkbox>
              <w14:checked w14:val="0"/>
              <w14:checkedState w14:val="2612" w14:font="MS Gothic"/>
              <w14:uncheckedState w14:val="2610" w14:font="MS Gothic"/>
            </w14:checkbox>
          </w:sdtPr>
          <w:sdtContent>
            <w:tc>
              <w:tcPr>
                <w:tcW w:w="636" w:type="pct"/>
              </w:tcPr>
              <w:p w14:paraId="77865E1C" w14:textId="77777777" w:rsidR="000630C2" w:rsidRPr="00692C73" w:rsidRDefault="000630C2" w:rsidP="003327AA">
                <w:pPr>
                  <w:pStyle w:val="Tabletext-Normal"/>
                </w:pPr>
                <w:r w:rsidRPr="00692C73">
                  <w:rPr>
                    <w:rFonts w:eastAsia="MS Gothic" w:hint="eastAsia"/>
                  </w:rPr>
                  <w:t>☐</w:t>
                </w:r>
              </w:p>
            </w:tc>
          </w:sdtContent>
        </w:sdt>
        <w:tc>
          <w:tcPr>
            <w:tcW w:w="4364" w:type="pct"/>
          </w:tcPr>
          <w:p w14:paraId="78D5542D" w14:textId="77777777" w:rsidR="000630C2" w:rsidRPr="00692C73" w:rsidRDefault="000630C2" w:rsidP="003327AA">
            <w:pPr>
              <w:pStyle w:val="Tabletext-Normal"/>
            </w:pPr>
            <w:r>
              <w:t>Representative Body</w:t>
            </w:r>
          </w:p>
        </w:tc>
      </w:tr>
      <w:tr w:rsidR="000630C2" w:rsidRPr="00015C4E" w14:paraId="5773B280" w14:textId="77777777" w:rsidTr="003327AA">
        <w:trPr>
          <w:trHeight w:val="227"/>
        </w:trPr>
        <w:sdt>
          <w:sdtPr>
            <w:id w:val="1880128650"/>
            <w14:checkbox>
              <w14:checked w14:val="0"/>
              <w14:checkedState w14:val="2612" w14:font="MS Gothic"/>
              <w14:uncheckedState w14:val="2610" w14:font="MS Gothic"/>
            </w14:checkbox>
          </w:sdtPr>
          <w:sdtContent>
            <w:tc>
              <w:tcPr>
                <w:tcW w:w="636" w:type="pct"/>
              </w:tcPr>
              <w:p w14:paraId="67D18651" w14:textId="77777777" w:rsidR="000630C2" w:rsidRPr="00692C73" w:rsidRDefault="000630C2" w:rsidP="003327AA">
                <w:pPr>
                  <w:pStyle w:val="Tabletext-Normal"/>
                </w:pPr>
                <w:r w:rsidRPr="00692C73">
                  <w:rPr>
                    <w:rFonts w:eastAsia="MS Gothic" w:hint="eastAsia"/>
                  </w:rPr>
                  <w:t>☐</w:t>
                </w:r>
              </w:p>
            </w:tc>
          </w:sdtContent>
        </w:sdt>
        <w:tc>
          <w:tcPr>
            <w:tcW w:w="4364" w:type="pct"/>
          </w:tcPr>
          <w:p w14:paraId="6C1AB3E1" w14:textId="77777777" w:rsidR="000630C2" w:rsidRPr="00692C73" w:rsidRDefault="000630C2" w:rsidP="003327AA">
            <w:pPr>
              <w:pStyle w:val="Tabletext-Normal"/>
            </w:pPr>
            <w:r>
              <w:t xml:space="preserve">Research Council </w:t>
            </w:r>
          </w:p>
        </w:tc>
      </w:tr>
      <w:tr w:rsidR="00567A83" w:rsidRPr="00015C4E" w14:paraId="0B3A2769" w14:textId="77777777" w:rsidTr="003327AA">
        <w:trPr>
          <w:trHeight w:val="227"/>
        </w:trPr>
        <w:sdt>
          <w:sdtPr>
            <w:id w:val="1768039416"/>
            <w14:checkbox>
              <w14:checked w14:val="0"/>
              <w14:checkedState w14:val="2612" w14:font="MS Gothic"/>
              <w14:uncheckedState w14:val="2610" w14:font="MS Gothic"/>
            </w14:checkbox>
          </w:sdtPr>
          <w:sdtContent>
            <w:tc>
              <w:tcPr>
                <w:tcW w:w="636" w:type="pct"/>
              </w:tcPr>
              <w:p w14:paraId="421F94CB" w14:textId="0D48FE7C" w:rsidR="00567A83" w:rsidRDefault="00567A83" w:rsidP="003327AA">
                <w:pPr>
                  <w:pStyle w:val="Tabletext-Normal"/>
                </w:pPr>
                <w:r w:rsidRPr="00692C73">
                  <w:rPr>
                    <w:rFonts w:eastAsia="MS Gothic" w:hint="eastAsia"/>
                  </w:rPr>
                  <w:t>☐</w:t>
                </w:r>
              </w:p>
            </w:tc>
          </w:sdtContent>
        </w:sdt>
        <w:tc>
          <w:tcPr>
            <w:tcW w:w="4364" w:type="pct"/>
          </w:tcPr>
          <w:p w14:paraId="509BFCB2" w14:textId="5D27219F" w:rsidR="00567A83" w:rsidRDefault="00567A83" w:rsidP="003327AA">
            <w:pPr>
              <w:pStyle w:val="Tabletext-Normal"/>
            </w:pPr>
            <w:r>
              <w:t>Student</w:t>
            </w:r>
          </w:p>
        </w:tc>
      </w:tr>
      <w:tr w:rsidR="000630C2" w:rsidRPr="00015C4E" w14:paraId="7009A689" w14:textId="77777777" w:rsidTr="003327AA">
        <w:trPr>
          <w:trHeight w:val="227"/>
        </w:trPr>
        <w:sdt>
          <w:sdtPr>
            <w:id w:val="1196974062"/>
            <w14:checkbox>
              <w14:checked w14:val="0"/>
              <w14:checkedState w14:val="2612" w14:font="MS Gothic"/>
              <w14:uncheckedState w14:val="2610" w14:font="MS Gothic"/>
            </w14:checkbox>
          </w:sdtPr>
          <w:sdtContent>
            <w:tc>
              <w:tcPr>
                <w:tcW w:w="636" w:type="pct"/>
              </w:tcPr>
              <w:p w14:paraId="0C93CAC5" w14:textId="77777777" w:rsidR="000630C2" w:rsidRPr="00692C73" w:rsidRDefault="000630C2" w:rsidP="003327AA">
                <w:pPr>
                  <w:pStyle w:val="Tabletext-Normal"/>
                </w:pPr>
                <w:r w:rsidRPr="00692C73">
                  <w:rPr>
                    <w:rFonts w:eastAsia="MS Gothic" w:hint="eastAsia"/>
                  </w:rPr>
                  <w:t>☐</w:t>
                </w:r>
              </w:p>
            </w:tc>
          </w:sdtContent>
        </w:sdt>
        <w:tc>
          <w:tcPr>
            <w:tcW w:w="4364" w:type="pct"/>
          </w:tcPr>
          <w:p w14:paraId="1CD69B1F" w14:textId="77777777" w:rsidR="000630C2" w:rsidRPr="00692C73" w:rsidRDefault="000630C2" w:rsidP="003327AA">
            <w:pPr>
              <w:pStyle w:val="Tabletext-Normal"/>
            </w:pPr>
            <w:r>
              <w:t>Trade Union or staff association</w:t>
            </w:r>
          </w:p>
        </w:tc>
      </w:tr>
      <w:tr w:rsidR="000630C2" w:rsidRPr="00015C4E" w14:paraId="7970E6C9" w14:textId="77777777" w:rsidTr="003327AA">
        <w:trPr>
          <w:trHeight w:val="227"/>
        </w:trPr>
        <w:sdt>
          <w:sdtPr>
            <w:id w:val="1530297600"/>
            <w14:checkbox>
              <w14:checked w14:val="0"/>
              <w14:checkedState w14:val="2612" w14:font="MS Gothic"/>
              <w14:uncheckedState w14:val="2610" w14:font="MS Gothic"/>
            </w14:checkbox>
          </w:sdtPr>
          <w:sdtContent>
            <w:tc>
              <w:tcPr>
                <w:tcW w:w="636" w:type="pct"/>
              </w:tcPr>
              <w:p w14:paraId="3D46D167" w14:textId="77777777" w:rsidR="000630C2" w:rsidRPr="00692C73" w:rsidRDefault="000630C2" w:rsidP="003327AA">
                <w:pPr>
                  <w:pStyle w:val="Tabletext-Normal"/>
                </w:pPr>
                <w:r w:rsidRPr="00692C73">
                  <w:rPr>
                    <w:rFonts w:eastAsia="MS Gothic" w:hint="eastAsia"/>
                  </w:rPr>
                  <w:t>☐</w:t>
                </w:r>
              </w:p>
            </w:tc>
          </w:sdtContent>
        </w:sdt>
        <w:tc>
          <w:tcPr>
            <w:tcW w:w="4364" w:type="pct"/>
          </w:tcPr>
          <w:p w14:paraId="60DC2B2A" w14:textId="77777777" w:rsidR="000630C2" w:rsidRPr="00692C73" w:rsidRDefault="000630C2" w:rsidP="003327AA">
            <w:pPr>
              <w:pStyle w:val="Tabletext-Normal"/>
            </w:pPr>
            <w:r>
              <w:t>Other (please describe)</w:t>
            </w:r>
          </w:p>
        </w:tc>
      </w:tr>
    </w:tbl>
    <w:p w14:paraId="7B52A8DF" w14:textId="77777777" w:rsidR="000630C2" w:rsidRDefault="000630C2" w:rsidP="000630C2">
      <w:bookmarkStart w:id="133" w:name="_Toc440559362"/>
    </w:p>
    <w:p w14:paraId="2D257CF5" w14:textId="77777777" w:rsidR="000630C2" w:rsidRDefault="000630C2" w:rsidP="000630C2"/>
    <w:p w14:paraId="123785EB" w14:textId="77777777" w:rsidR="000630C2" w:rsidRDefault="000630C2" w:rsidP="000630C2"/>
    <w:p w14:paraId="771943B6" w14:textId="77777777" w:rsidR="000630C2" w:rsidRDefault="000630C2" w:rsidP="000630C2">
      <w:pPr>
        <w:pStyle w:val="Question"/>
        <w:spacing w:after="0"/>
        <w:rPr>
          <w:b w:val="0"/>
        </w:rPr>
      </w:pPr>
    </w:p>
    <w:p w14:paraId="1F4797ED" w14:textId="77777777" w:rsidR="000630C2" w:rsidRDefault="000630C2" w:rsidP="000630C2">
      <w:pPr>
        <w:pStyle w:val="Question"/>
        <w:spacing w:after="0"/>
        <w:rPr>
          <w:b w:val="0"/>
        </w:rPr>
      </w:pPr>
    </w:p>
    <w:p w14:paraId="6A06D30B" w14:textId="77777777" w:rsidR="000630C2" w:rsidRDefault="000630C2" w:rsidP="000630C2">
      <w:pPr>
        <w:pStyle w:val="Question"/>
        <w:spacing w:after="0"/>
        <w:rPr>
          <w:b w:val="0"/>
        </w:rPr>
      </w:pPr>
    </w:p>
    <w:p w14:paraId="22DB4D0D" w14:textId="77777777" w:rsidR="000630C2" w:rsidRDefault="000630C2" w:rsidP="000630C2">
      <w:pPr>
        <w:pStyle w:val="Question"/>
        <w:spacing w:after="0"/>
        <w:rPr>
          <w:b w:val="0"/>
        </w:rPr>
      </w:pPr>
    </w:p>
    <w:p w14:paraId="5227AF75" w14:textId="77777777" w:rsidR="000630C2" w:rsidRDefault="000630C2" w:rsidP="000630C2">
      <w:pPr>
        <w:pStyle w:val="Question"/>
        <w:spacing w:after="0"/>
        <w:rPr>
          <w:b w:val="0"/>
        </w:rPr>
      </w:pPr>
    </w:p>
    <w:p w14:paraId="5782FD22" w14:textId="77777777" w:rsidR="000630C2" w:rsidRDefault="000630C2" w:rsidP="000630C2">
      <w:pPr>
        <w:pStyle w:val="Question"/>
        <w:spacing w:after="0"/>
        <w:rPr>
          <w:b w:val="0"/>
        </w:rPr>
      </w:pPr>
    </w:p>
    <w:p w14:paraId="5735F531" w14:textId="77777777" w:rsidR="000630C2" w:rsidRDefault="000630C2" w:rsidP="000630C2">
      <w:pPr>
        <w:pStyle w:val="Question"/>
        <w:spacing w:after="0"/>
        <w:rPr>
          <w:b w:val="0"/>
        </w:rPr>
      </w:pPr>
    </w:p>
    <w:p w14:paraId="4C0C2B99" w14:textId="77777777" w:rsidR="000630C2" w:rsidRDefault="000630C2" w:rsidP="000630C2">
      <w:pPr>
        <w:pStyle w:val="Question"/>
        <w:spacing w:after="0"/>
        <w:rPr>
          <w:b w:val="0"/>
        </w:rPr>
      </w:pPr>
    </w:p>
    <w:p w14:paraId="09F15B69" w14:textId="77777777" w:rsidR="000630C2" w:rsidRDefault="000630C2" w:rsidP="000630C2">
      <w:pPr>
        <w:pStyle w:val="Question"/>
        <w:spacing w:after="0"/>
        <w:rPr>
          <w:b w:val="0"/>
        </w:rPr>
      </w:pPr>
    </w:p>
    <w:p w14:paraId="0B4C81EC" w14:textId="77777777" w:rsidR="000630C2" w:rsidRDefault="000630C2" w:rsidP="000630C2">
      <w:pPr>
        <w:pStyle w:val="Question"/>
        <w:spacing w:after="0"/>
        <w:rPr>
          <w:b w:val="0"/>
        </w:rPr>
      </w:pPr>
    </w:p>
    <w:p w14:paraId="1120E5BF" w14:textId="77777777" w:rsidR="000630C2" w:rsidRDefault="000630C2" w:rsidP="000630C2">
      <w:pPr>
        <w:pStyle w:val="Question"/>
        <w:spacing w:after="0"/>
        <w:rPr>
          <w:b w:val="0"/>
        </w:rPr>
      </w:pPr>
    </w:p>
    <w:p w14:paraId="33C2B5A1" w14:textId="77777777" w:rsidR="000630C2" w:rsidRDefault="000630C2" w:rsidP="000630C2">
      <w:pPr>
        <w:pStyle w:val="Question"/>
        <w:spacing w:after="0"/>
        <w:rPr>
          <w:b w:val="0"/>
        </w:rPr>
      </w:pPr>
    </w:p>
    <w:p w14:paraId="189C2DDA" w14:textId="77777777" w:rsidR="000630C2" w:rsidRPr="00720608" w:rsidRDefault="000630C2" w:rsidP="000630C2">
      <w:pPr>
        <w:pStyle w:val="Question"/>
        <w:spacing w:after="0"/>
      </w:pPr>
      <w:r w:rsidRPr="00720608">
        <w:t>Question 1 (</w:t>
      </w:r>
      <w:r>
        <w:t>Chapter 1</w:t>
      </w:r>
      <w:r w:rsidRPr="00720608">
        <w:t>)</w:t>
      </w:r>
      <w:bookmarkEnd w:id="133"/>
    </w:p>
    <w:p w14:paraId="3A97B400" w14:textId="77777777" w:rsidR="000630C2" w:rsidRDefault="000630C2" w:rsidP="000630C2">
      <w:pPr>
        <w:spacing w:after="0"/>
        <w:rPr>
          <w:rFonts w:cs="Arial"/>
        </w:rPr>
      </w:pPr>
      <w:r w:rsidRPr="00301199">
        <w:rPr>
          <w:rFonts w:cs="Arial"/>
        </w:rPr>
        <w:t xml:space="preserve">Do you agree with the criteria proposed in Figure 4? </w:t>
      </w:r>
    </w:p>
    <w:p w14:paraId="68E1397E" w14:textId="77777777" w:rsidR="000630C2" w:rsidRPr="00E0397B" w:rsidRDefault="000630C2" w:rsidP="000630C2">
      <w:pPr>
        <w:spacing w:after="0"/>
      </w:pPr>
    </w:p>
    <w:p w14:paraId="23677A48" w14:textId="77777777" w:rsidR="000630C2" w:rsidRDefault="00FF0106" w:rsidP="000630C2">
      <w:sdt>
        <w:sdtPr>
          <w:id w:val="-902287944"/>
          <w14:checkbox>
            <w14:checked w14:val="0"/>
            <w14:checkedState w14:val="2612" w14:font="MS Gothic"/>
            <w14:uncheckedState w14:val="2610" w14:font="MS Gothic"/>
          </w14:checkbox>
        </w:sdtPr>
        <w:sdtContent>
          <w:r w:rsidR="000630C2" w:rsidRPr="00F448AE">
            <w:rPr>
              <w:rFonts w:eastAsia="MS Gothic" w:hint="eastAsia"/>
            </w:rPr>
            <w:t>☐</w:t>
          </w:r>
        </w:sdtContent>
      </w:sdt>
      <w:r w:rsidR="000630C2">
        <w:t>Yes</w:t>
      </w:r>
      <w:r w:rsidR="000630C2">
        <w:tab/>
      </w:r>
      <w:r w:rsidR="000630C2">
        <w:tab/>
      </w:r>
      <w:sdt>
        <w:sdtPr>
          <w:id w:val="728964619"/>
          <w14:checkbox>
            <w14:checked w14:val="0"/>
            <w14:checkedState w14:val="2612" w14:font="MS Gothic"/>
            <w14:uncheckedState w14:val="2610" w14:font="MS Gothic"/>
          </w14:checkbox>
        </w:sdtPr>
        <w:sdtContent>
          <w:r w:rsidR="000630C2">
            <w:rPr>
              <w:rFonts w:ascii="MS Gothic" w:eastAsia="MS Gothic" w:hAnsi="MS Gothic" w:hint="eastAsia"/>
            </w:rPr>
            <w:t>☐</w:t>
          </w:r>
        </w:sdtContent>
      </w:sdt>
      <w:r w:rsidR="000630C2">
        <w:t>No</w:t>
      </w:r>
      <w:r w:rsidR="000630C2">
        <w:tab/>
      </w:r>
      <w:r w:rsidR="000630C2">
        <w:tab/>
      </w:r>
      <w:sdt>
        <w:sdtPr>
          <w:id w:val="-532193081"/>
          <w14:checkbox>
            <w14:checked w14:val="0"/>
            <w14:checkedState w14:val="2612" w14:font="MS Gothic"/>
            <w14:uncheckedState w14:val="2610" w14:font="MS Gothic"/>
          </w14:checkbox>
        </w:sdtPr>
        <w:sdtContent>
          <w:r w:rsidR="000630C2" w:rsidRPr="00F448AE">
            <w:rPr>
              <w:rFonts w:eastAsia="MS Gothic" w:hint="eastAsia"/>
            </w:rPr>
            <w:t>☐</w:t>
          </w:r>
        </w:sdtContent>
      </w:sdt>
      <w:r w:rsidR="000630C2">
        <w:t xml:space="preserve"> </w:t>
      </w:r>
      <w:proofErr w:type="gramStart"/>
      <w:r w:rsidR="000630C2">
        <w:t>Not</w:t>
      </w:r>
      <w:proofErr w:type="gramEnd"/>
      <w:r w:rsidR="000630C2">
        <w:t xml:space="preserve"> sure</w:t>
      </w:r>
    </w:p>
    <w:p w14:paraId="7AC3BBA9" w14:textId="301F95A7" w:rsidR="00113188" w:rsidRDefault="000630C2" w:rsidP="00113188">
      <w:bookmarkStart w:id="134" w:name="_Toc440559363"/>
      <w:r>
        <w:t xml:space="preserve">Please outline your reasons and suggest any alternatives or additions. </w:t>
      </w:r>
    </w:p>
    <w:p w14:paraId="53CAD806" w14:textId="77777777" w:rsidR="000630C2" w:rsidRPr="00234815" w:rsidRDefault="000630C2" w:rsidP="000630C2"/>
    <w:p w14:paraId="27CE3D0A" w14:textId="2701D819" w:rsidR="000630C2" w:rsidRPr="00720608" w:rsidRDefault="000630C2" w:rsidP="000630C2">
      <w:pPr>
        <w:pStyle w:val="Question"/>
        <w:spacing w:after="0"/>
      </w:pPr>
      <w:r w:rsidRPr="00720608">
        <w:t>Ques</w:t>
      </w:r>
      <w:r w:rsidR="00867C7C">
        <w:t>tion</w:t>
      </w:r>
      <w:r>
        <w:t xml:space="preserve"> 2 (Chapter 3</w:t>
      </w:r>
      <w:r w:rsidRPr="00720608">
        <w:t>)</w:t>
      </w:r>
      <w:bookmarkEnd w:id="134"/>
    </w:p>
    <w:p w14:paraId="29AD5A06" w14:textId="63C66B1A" w:rsidR="003327AA" w:rsidRDefault="000630C2" w:rsidP="003327AA">
      <w:pPr>
        <w:spacing w:after="0"/>
      </w:pPr>
      <w:r>
        <w:t xml:space="preserve">A) </w:t>
      </w:r>
      <w:r w:rsidRPr="009B310E">
        <w:t>How should we include a highly skilled employ</w:t>
      </w:r>
      <w:r>
        <w:t>ment metric as part of the TEF?</w:t>
      </w:r>
    </w:p>
    <w:p w14:paraId="4E07C1BA" w14:textId="77777777" w:rsidR="003327AA" w:rsidRDefault="003327AA" w:rsidP="003327AA">
      <w:pPr>
        <w:spacing w:after="0"/>
      </w:pPr>
    </w:p>
    <w:p w14:paraId="7E103948" w14:textId="77777777" w:rsidR="000630C2" w:rsidRDefault="000630C2" w:rsidP="000630C2">
      <w:r>
        <w:t xml:space="preserve">B) </w:t>
      </w:r>
      <w:r w:rsidRPr="009B310E">
        <w:t>If included as a core metric, should we adopt employment in Standard Occupational Classification (SOC) groups 1-3 as a measure of graduates entering highly skilled jobs?</w:t>
      </w:r>
    </w:p>
    <w:p w14:paraId="74F2AE81" w14:textId="223B9B6D" w:rsidR="003327AA" w:rsidRDefault="00FF0106" w:rsidP="000630C2">
      <w:sdt>
        <w:sdtPr>
          <w:id w:val="982281726"/>
          <w14:checkbox>
            <w14:checked w14:val="0"/>
            <w14:checkedState w14:val="2612" w14:font="MS Gothic"/>
            <w14:uncheckedState w14:val="2610" w14:font="MS Gothic"/>
          </w14:checkbox>
        </w:sdtPr>
        <w:sdtContent>
          <w:r w:rsidR="000630C2" w:rsidRPr="00F448AE">
            <w:rPr>
              <w:rFonts w:eastAsia="MS Gothic" w:hint="eastAsia"/>
            </w:rPr>
            <w:t>☐</w:t>
          </w:r>
        </w:sdtContent>
      </w:sdt>
      <w:r w:rsidR="000630C2">
        <w:t xml:space="preserve"> Yes</w:t>
      </w:r>
      <w:r w:rsidR="000630C2">
        <w:tab/>
      </w:r>
      <w:r w:rsidR="000630C2">
        <w:tab/>
      </w:r>
      <w:sdt>
        <w:sdtPr>
          <w:id w:val="132300640"/>
          <w14:checkbox>
            <w14:checked w14:val="0"/>
            <w14:checkedState w14:val="2612" w14:font="MS Gothic"/>
            <w14:uncheckedState w14:val="2610" w14:font="MS Gothic"/>
          </w14:checkbox>
        </w:sdtPr>
        <w:sdtContent>
          <w:r w:rsidR="000630C2" w:rsidRPr="00F448AE">
            <w:rPr>
              <w:rFonts w:eastAsia="MS Gothic" w:hint="eastAsia"/>
            </w:rPr>
            <w:t>☐</w:t>
          </w:r>
        </w:sdtContent>
      </w:sdt>
      <w:r w:rsidR="000630C2">
        <w:t xml:space="preserve"> No</w:t>
      </w:r>
      <w:r w:rsidR="000630C2">
        <w:tab/>
      </w:r>
      <w:r w:rsidR="000630C2">
        <w:tab/>
      </w:r>
      <w:r w:rsidR="000630C2">
        <w:tab/>
      </w:r>
      <w:sdt>
        <w:sdtPr>
          <w:id w:val="870035898"/>
          <w14:checkbox>
            <w14:checked w14:val="0"/>
            <w14:checkedState w14:val="2612" w14:font="MS Gothic"/>
            <w14:uncheckedState w14:val="2610" w14:font="MS Gothic"/>
          </w14:checkbox>
        </w:sdtPr>
        <w:sdtContent>
          <w:r w:rsidR="000630C2" w:rsidRPr="00F448AE">
            <w:rPr>
              <w:rFonts w:eastAsia="MS Gothic" w:hint="eastAsia"/>
            </w:rPr>
            <w:t>☐</w:t>
          </w:r>
        </w:sdtContent>
      </w:sdt>
      <w:r w:rsidR="000630C2">
        <w:t xml:space="preserve"> </w:t>
      </w:r>
      <w:proofErr w:type="gramStart"/>
      <w:r w:rsidR="000630C2">
        <w:t>Not</w:t>
      </w:r>
      <w:proofErr w:type="gramEnd"/>
      <w:r w:rsidR="000630C2">
        <w:t xml:space="preserve"> sure</w:t>
      </w:r>
    </w:p>
    <w:p w14:paraId="73930083" w14:textId="77777777" w:rsidR="000630C2" w:rsidRDefault="000630C2" w:rsidP="000630C2">
      <w:r>
        <w:t xml:space="preserve">C) </w:t>
      </w:r>
      <w:r w:rsidRPr="009B310E">
        <w:t>Do you agree with our proposal to include all graduates in the calculation of the employment/destination metrics?</w:t>
      </w:r>
    </w:p>
    <w:p w14:paraId="041EA546" w14:textId="2D7E844A" w:rsidR="00113188" w:rsidRDefault="00FF0106" w:rsidP="000630C2">
      <w:sdt>
        <w:sdtPr>
          <w:id w:val="-1046597432"/>
          <w14:checkbox>
            <w14:checked w14:val="0"/>
            <w14:checkedState w14:val="2612" w14:font="MS Gothic"/>
            <w14:uncheckedState w14:val="2610" w14:font="MS Gothic"/>
          </w14:checkbox>
        </w:sdtPr>
        <w:sdtContent>
          <w:r w:rsidR="000630C2" w:rsidRPr="00F448AE">
            <w:rPr>
              <w:rFonts w:eastAsia="MS Gothic" w:hint="eastAsia"/>
            </w:rPr>
            <w:t>☐</w:t>
          </w:r>
        </w:sdtContent>
      </w:sdt>
      <w:r w:rsidR="000630C2">
        <w:t xml:space="preserve"> Yes</w:t>
      </w:r>
      <w:r w:rsidR="000630C2">
        <w:tab/>
      </w:r>
      <w:r w:rsidR="000630C2">
        <w:tab/>
      </w:r>
      <w:sdt>
        <w:sdtPr>
          <w:id w:val="-1054082694"/>
          <w14:checkbox>
            <w14:checked w14:val="0"/>
            <w14:checkedState w14:val="2612" w14:font="MS Gothic"/>
            <w14:uncheckedState w14:val="2610" w14:font="MS Gothic"/>
          </w14:checkbox>
        </w:sdtPr>
        <w:sdtContent>
          <w:r w:rsidR="000630C2" w:rsidRPr="00F448AE">
            <w:rPr>
              <w:rFonts w:eastAsia="MS Gothic" w:hint="eastAsia"/>
            </w:rPr>
            <w:t>☐</w:t>
          </w:r>
        </w:sdtContent>
      </w:sdt>
      <w:r w:rsidR="000630C2">
        <w:t xml:space="preserve"> No</w:t>
      </w:r>
      <w:r w:rsidR="000630C2">
        <w:tab/>
      </w:r>
      <w:r w:rsidR="000630C2">
        <w:tab/>
      </w:r>
      <w:r w:rsidR="000630C2">
        <w:tab/>
      </w:r>
      <w:sdt>
        <w:sdtPr>
          <w:id w:val="953449182"/>
          <w14:checkbox>
            <w14:checked w14:val="0"/>
            <w14:checkedState w14:val="2612" w14:font="MS Gothic"/>
            <w14:uncheckedState w14:val="2610" w14:font="MS Gothic"/>
          </w14:checkbox>
        </w:sdtPr>
        <w:sdtContent>
          <w:r w:rsidR="000630C2" w:rsidRPr="00F448AE">
            <w:rPr>
              <w:rFonts w:eastAsia="MS Gothic" w:hint="eastAsia"/>
            </w:rPr>
            <w:t>☐</w:t>
          </w:r>
        </w:sdtContent>
      </w:sdt>
      <w:r w:rsidR="000630C2">
        <w:t xml:space="preserve"> </w:t>
      </w:r>
      <w:proofErr w:type="gramStart"/>
      <w:r w:rsidR="000630C2">
        <w:t>Not</w:t>
      </w:r>
      <w:proofErr w:type="gramEnd"/>
      <w:r w:rsidR="000630C2">
        <w:t xml:space="preserve"> sure</w:t>
      </w:r>
    </w:p>
    <w:p w14:paraId="762F2083" w14:textId="0E0CCA09" w:rsidR="00113188" w:rsidRDefault="000630C2" w:rsidP="000630C2">
      <w:r w:rsidRPr="00F448AE">
        <w:t xml:space="preserve">Please outline your reasons and suggest any alternatives. </w:t>
      </w:r>
      <w:bookmarkStart w:id="135" w:name="_Toc222902186"/>
      <w:bookmarkStart w:id="136" w:name="_Toc337743657"/>
      <w:bookmarkStart w:id="137" w:name="_Toc440559364"/>
    </w:p>
    <w:p w14:paraId="1BAF6B00" w14:textId="77777777" w:rsidR="003327AA" w:rsidRDefault="003327AA" w:rsidP="000630C2"/>
    <w:p w14:paraId="71ABBC2B" w14:textId="77777777" w:rsidR="000630C2" w:rsidRDefault="000630C2" w:rsidP="000630C2">
      <w:pPr>
        <w:pStyle w:val="Question"/>
        <w:spacing w:after="0"/>
      </w:pPr>
      <w:r w:rsidRPr="00720608">
        <w:t>Que</w:t>
      </w:r>
      <w:r>
        <w:t>stion 3 (Chapter 3</w:t>
      </w:r>
      <w:r w:rsidRPr="00720608">
        <w:t>)</w:t>
      </w:r>
      <w:bookmarkEnd w:id="135"/>
      <w:bookmarkEnd w:id="136"/>
      <w:bookmarkEnd w:id="137"/>
    </w:p>
    <w:p w14:paraId="645EAD7D" w14:textId="77777777" w:rsidR="000630C2" w:rsidRDefault="000630C2" w:rsidP="000630C2">
      <w:pPr>
        <w:pStyle w:val="Question"/>
        <w:spacing w:after="0"/>
        <w:rPr>
          <w:rFonts w:cs="Arial"/>
          <w:b w:val="0"/>
        </w:rPr>
      </w:pPr>
      <w:r w:rsidRPr="009B310E">
        <w:rPr>
          <w:rFonts w:cs="Arial"/>
          <w:b w:val="0"/>
        </w:rPr>
        <w:t>A) Do you agree with the proposed approach for setting benchmarks?</w:t>
      </w:r>
    </w:p>
    <w:p w14:paraId="1F327598" w14:textId="77777777" w:rsidR="000630C2" w:rsidRPr="009B310E" w:rsidRDefault="000630C2" w:rsidP="000630C2">
      <w:pPr>
        <w:pStyle w:val="Question"/>
        <w:spacing w:after="0"/>
        <w:rPr>
          <w:b w:val="0"/>
        </w:rPr>
      </w:pPr>
    </w:p>
    <w:p w14:paraId="6DD6123F" w14:textId="77777777" w:rsidR="000630C2" w:rsidRDefault="00FF0106" w:rsidP="000630C2">
      <w:sdt>
        <w:sdtPr>
          <w:id w:val="-869222614"/>
          <w14:checkbox>
            <w14:checked w14:val="0"/>
            <w14:checkedState w14:val="2612" w14:font="MS Gothic"/>
            <w14:uncheckedState w14:val="2610" w14:font="MS Gothic"/>
          </w14:checkbox>
        </w:sdtPr>
        <w:sdtContent>
          <w:r w:rsidR="000630C2" w:rsidRPr="00F448AE">
            <w:rPr>
              <w:rFonts w:eastAsia="MS Gothic" w:hint="eastAsia"/>
            </w:rPr>
            <w:t>☐</w:t>
          </w:r>
        </w:sdtContent>
      </w:sdt>
      <w:r w:rsidR="000630C2">
        <w:t xml:space="preserve"> Yes</w:t>
      </w:r>
      <w:r w:rsidR="000630C2">
        <w:tab/>
      </w:r>
      <w:r w:rsidR="000630C2">
        <w:tab/>
      </w:r>
      <w:sdt>
        <w:sdtPr>
          <w:id w:val="854305613"/>
          <w14:checkbox>
            <w14:checked w14:val="0"/>
            <w14:checkedState w14:val="2612" w14:font="MS Gothic"/>
            <w14:uncheckedState w14:val="2610" w14:font="MS Gothic"/>
          </w14:checkbox>
        </w:sdtPr>
        <w:sdtContent>
          <w:r w:rsidR="000630C2" w:rsidRPr="00F448AE">
            <w:rPr>
              <w:rFonts w:eastAsia="MS Gothic" w:hint="eastAsia"/>
            </w:rPr>
            <w:t>☐</w:t>
          </w:r>
        </w:sdtContent>
      </w:sdt>
      <w:r w:rsidR="000630C2">
        <w:t xml:space="preserve"> No</w:t>
      </w:r>
      <w:r w:rsidR="000630C2">
        <w:tab/>
      </w:r>
      <w:r w:rsidR="000630C2">
        <w:tab/>
      </w:r>
      <w:r w:rsidR="000630C2">
        <w:tab/>
      </w:r>
      <w:sdt>
        <w:sdtPr>
          <w:id w:val="160051068"/>
          <w14:checkbox>
            <w14:checked w14:val="0"/>
            <w14:checkedState w14:val="2612" w14:font="MS Gothic"/>
            <w14:uncheckedState w14:val="2610" w14:font="MS Gothic"/>
          </w14:checkbox>
        </w:sdtPr>
        <w:sdtContent>
          <w:r w:rsidR="000630C2" w:rsidRPr="00F448AE">
            <w:rPr>
              <w:rFonts w:eastAsia="MS Gothic" w:hint="eastAsia"/>
            </w:rPr>
            <w:t>☐</w:t>
          </w:r>
        </w:sdtContent>
      </w:sdt>
      <w:r w:rsidR="000630C2">
        <w:t xml:space="preserve"> </w:t>
      </w:r>
      <w:proofErr w:type="gramStart"/>
      <w:r w:rsidR="000630C2">
        <w:t>Not</w:t>
      </w:r>
      <w:proofErr w:type="gramEnd"/>
      <w:r w:rsidR="000630C2">
        <w:t xml:space="preserve"> sure</w:t>
      </w:r>
    </w:p>
    <w:p w14:paraId="4886E669" w14:textId="77777777" w:rsidR="000630C2" w:rsidRDefault="000630C2" w:rsidP="000630C2">
      <w:pPr>
        <w:pStyle w:val="Question"/>
        <w:rPr>
          <w:rFonts w:cs="Arial"/>
        </w:rPr>
      </w:pPr>
      <w:r w:rsidRPr="00706B72">
        <w:rPr>
          <w:rFonts w:cs="Arial"/>
          <w:b w:val="0"/>
        </w:rPr>
        <w:t>B)</w:t>
      </w:r>
      <w:r w:rsidRPr="00706B72">
        <w:rPr>
          <w:rFonts w:cs="Arial"/>
        </w:rPr>
        <w:t xml:space="preserve"> </w:t>
      </w:r>
      <w:r w:rsidRPr="009B310E">
        <w:rPr>
          <w:rFonts w:cs="Arial"/>
          <w:b w:val="0"/>
        </w:rPr>
        <w:t>Do you agree with the proposed approach for flagging significant differences between indicator and benchmark (where differences exceed 2 standard deviations and 2 percentage points)?</w:t>
      </w:r>
    </w:p>
    <w:p w14:paraId="7A4216CB" w14:textId="77777777" w:rsidR="000630C2" w:rsidRDefault="00FF0106" w:rsidP="000630C2">
      <w:sdt>
        <w:sdtPr>
          <w:id w:val="-1109739015"/>
          <w14:checkbox>
            <w14:checked w14:val="0"/>
            <w14:checkedState w14:val="2612" w14:font="MS Gothic"/>
            <w14:uncheckedState w14:val="2610" w14:font="MS Gothic"/>
          </w14:checkbox>
        </w:sdtPr>
        <w:sdtContent>
          <w:r w:rsidR="000630C2" w:rsidRPr="00F448AE">
            <w:rPr>
              <w:rFonts w:eastAsia="MS Gothic" w:hint="eastAsia"/>
            </w:rPr>
            <w:t>☐</w:t>
          </w:r>
        </w:sdtContent>
      </w:sdt>
      <w:r w:rsidR="000630C2">
        <w:t xml:space="preserve"> Yes</w:t>
      </w:r>
      <w:r w:rsidR="000630C2">
        <w:tab/>
      </w:r>
      <w:r w:rsidR="000630C2">
        <w:tab/>
      </w:r>
      <w:sdt>
        <w:sdtPr>
          <w:id w:val="-660772181"/>
          <w14:checkbox>
            <w14:checked w14:val="0"/>
            <w14:checkedState w14:val="2612" w14:font="MS Gothic"/>
            <w14:uncheckedState w14:val="2610" w14:font="MS Gothic"/>
          </w14:checkbox>
        </w:sdtPr>
        <w:sdtContent>
          <w:r w:rsidR="000630C2" w:rsidRPr="00F448AE">
            <w:rPr>
              <w:rFonts w:eastAsia="MS Gothic" w:hint="eastAsia"/>
            </w:rPr>
            <w:t>☐</w:t>
          </w:r>
        </w:sdtContent>
      </w:sdt>
      <w:r w:rsidR="000630C2">
        <w:t xml:space="preserve"> No</w:t>
      </w:r>
      <w:r w:rsidR="000630C2">
        <w:tab/>
      </w:r>
      <w:r w:rsidR="000630C2">
        <w:tab/>
      </w:r>
      <w:r w:rsidR="000630C2">
        <w:tab/>
      </w:r>
      <w:sdt>
        <w:sdtPr>
          <w:id w:val="-1936972985"/>
          <w14:checkbox>
            <w14:checked w14:val="0"/>
            <w14:checkedState w14:val="2612" w14:font="MS Gothic"/>
            <w14:uncheckedState w14:val="2610" w14:font="MS Gothic"/>
          </w14:checkbox>
        </w:sdtPr>
        <w:sdtContent>
          <w:r w:rsidR="000630C2" w:rsidRPr="00F448AE">
            <w:rPr>
              <w:rFonts w:eastAsia="MS Gothic" w:hint="eastAsia"/>
            </w:rPr>
            <w:t>☐</w:t>
          </w:r>
        </w:sdtContent>
      </w:sdt>
      <w:r w:rsidR="000630C2">
        <w:t xml:space="preserve"> </w:t>
      </w:r>
      <w:proofErr w:type="gramStart"/>
      <w:r w:rsidR="000630C2">
        <w:t>Not</w:t>
      </w:r>
      <w:proofErr w:type="gramEnd"/>
      <w:r w:rsidR="000630C2">
        <w:t xml:space="preserve"> sure</w:t>
      </w:r>
    </w:p>
    <w:p w14:paraId="547162FB" w14:textId="77777777" w:rsidR="000630C2" w:rsidRPr="00DB7C87" w:rsidRDefault="000630C2" w:rsidP="000630C2">
      <w:pPr>
        <w:pStyle w:val="Question"/>
        <w:spacing w:after="0"/>
        <w:rPr>
          <w:b w:val="0"/>
        </w:rPr>
      </w:pPr>
      <w:r w:rsidRPr="00DB7C87">
        <w:rPr>
          <w:rFonts w:cs="Arial"/>
          <w:b w:val="0"/>
        </w:rPr>
        <w:t>Please outline your reasons if you disagree.</w:t>
      </w:r>
    </w:p>
    <w:p w14:paraId="1CEF0D21" w14:textId="77777777" w:rsidR="000630C2" w:rsidRDefault="000630C2" w:rsidP="000630C2">
      <w:pPr>
        <w:pStyle w:val="Question"/>
        <w:spacing w:after="0"/>
      </w:pPr>
    </w:p>
    <w:p w14:paraId="1A9FCB06" w14:textId="77777777" w:rsidR="003327AA" w:rsidRDefault="003327AA" w:rsidP="000630C2">
      <w:pPr>
        <w:pStyle w:val="Question"/>
        <w:spacing w:after="0"/>
      </w:pPr>
    </w:p>
    <w:p w14:paraId="7F3C5F78" w14:textId="77777777" w:rsidR="003327AA" w:rsidRDefault="003327AA" w:rsidP="000630C2">
      <w:pPr>
        <w:pStyle w:val="Question"/>
        <w:spacing w:after="0"/>
      </w:pPr>
    </w:p>
    <w:p w14:paraId="19D76B94" w14:textId="77777777" w:rsidR="000630C2" w:rsidRDefault="000630C2" w:rsidP="000630C2">
      <w:pPr>
        <w:pStyle w:val="Question"/>
        <w:spacing w:after="0"/>
      </w:pPr>
      <w:r w:rsidRPr="00720608">
        <w:t>Que</w:t>
      </w:r>
      <w:r>
        <w:t>stion 4 (Chapter 3</w:t>
      </w:r>
      <w:r w:rsidRPr="00720608">
        <w:t>)</w:t>
      </w:r>
    </w:p>
    <w:p w14:paraId="7846D644" w14:textId="062473F3" w:rsidR="000630C2" w:rsidRDefault="000630C2" w:rsidP="000630C2">
      <w:pPr>
        <w:spacing w:after="0"/>
        <w:rPr>
          <w:rFonts w:cs="Arial"/>
        </w:rPr>
      </w:pPr>
      <w:r>
        <w:rPr>
          <w:rFonts w:cs="Arial"/>
        </w:rPr>
        <w:t xml:space="preserve">Do you agree that </w:t>
      </w:r>
      <w:r w:rsidR="002A473D">
        <w:rPr>
          <w:rFonts w:cs="Arial"/>
        </w:rPr>
        <w:t>TEF</w:t>
      </w:r>
      <w:r w:rsidR="002A473D" w:rsidRPr="009B310E">
        <w:rPr>
          <w:rFonts w:cs="Arial"/>
        </w:rPr>
        <w:t xml:space="preserve"> </w:t>
      </w:r>
      <w:r w:rsidRPr="009B310E">
        <w:rPr>
          <w:rFonts w:cs="Arial"/>
        </w:rPr>
        <w:t>metrics should be averaged o</w:t>
      </w:r>
      <w:r>
        <w:rPr>
          <w:rFonts w:cs="Arial"/>
        </w:rPr>
        <w:t>ver the most recent three years</w:t>
      </w:r>
      <w:r w:rsidRPr="009B310E">
        <w:rPr>
          <w:rFonts w:cs="Arial"/>
        </w:rPr>
        <w:t xml:space="preserve"> of available data? </w:t>
      </w:r>
    </w:p>
    <w:p w14:paraId="5096F62C" w14:textId="77777777" w:rsidR="000630C2" w:rsidRDefault="000630C2" w:rsidP="000630C2">
      <w:pPr>
        <w:spacing w:after="0"/>
        <w:rPr>
          <w:rFonts w:cs="Arial"/>
        </w:rPr>
      </w:pPr>
    </w:p>
    <w:p w14:paraId="4A6EDF68" w14:textId="77777777" w:rsidR="000630C2" w:rsidRDefault="00FF0106" w:rsidP="000630C2">
      <w:sdt>
        <w:sdtPr>
          <w:id w:val="386840334"/>
          <w14:checkbox>
            <w14:checked w14:val="0"/>
            <w14:checkedState w14:val="2612" w14:font="MS Gothic"/>
            <w14:uncheckedState w14:val="2610" w14:font="MS Gothic"/>
          </w14:checkbox>
        </w:sdtPr>
        <w:sdtContent>
          <w:r w:rsidR="000630C2" w:rsidRPr="00F448AE">
            <w:rPr>
              <w:rFonts w:eastAsia="MS Gothic" w:hint="eastAsia"/>
            </w:rPr>
            <w:t>☐</w:t>
          </w:r>
        </w:sdtContent>
      </w:sdt>
      <w:r w:rsidR="000630C2">
        <w:t xml:space="preserve"> Yes</w:t>
      </w:r>
      <w:r w:rsidR="000630C2">
        <w:tab/>
      </w:r>
      <w:r w:rsidR="000630C2">
        <w:tab/>
      </w:r>
      <w:sdt>
        <w:sdtPr>
          <w:id w:val="-139199067"/>
          <w14:checkbox>
            <w14:checked w14:val="0"/>
            <w14:checkedState w14:val="2612" w14:font="MS Gothic"/>
            <w14:uncheckedState w14:val="2610" w14:font="MS Gothic"/>
          </w14:checkbox>
        </w:sdtPr>
        <w:sdtContent>
          <w:r w:rsidR="000630C2" w:rsidRPr="00F448AE">
            <w:rPr>
              <w:rFonts w:eastAsia="MS Gothic" w:hint="eastAsia"/>
            </w:rPr>
            <w:t>☐</w:t>
          </w:r>
        </w:sdtContent>
      </w:sdt>
      <w:r w:rsidR="000630C2">
        <w:t xml:space="preserve"> No</w:t>
      </w:r>
      <w:r w:rsidR="000630C2">
        <w:tab/>
      </w:r>
      <w:r w:rsidR="000630C2">
        <w:tab/>
      </w:r>
      <w:r w:rsidR="000630C2">
        <w:tab/>
      </w:r>
      <w:sdt>
        <w:sdtPr>
          <w:id w:val="32853303"/>
          <w14:checkbox>
            <w14:checked w14:val="0"/>
            <w14:checkedState w14:val="2612" w14:font="MS Gothic"/>
            <w14:uncheckedState w14:val="2610" w14:font="MS Gothic"/>
          </w14:checkbox>
        </w:sdtPr>
        <w:sdtContent>
          <w:r w:rsidR="000630C2" w:rsidRPr="00F448AE">
            <w:rPr>
              <w:rFonts w:eastAsia="MS Gothic" w:hint="eastAsia"/>
            </w:rPr>
            <w:t>☐</w:t>
          </w:r>
        </w:sdtContent>
      </w:sdt>
      <w:r w:rsidR="000630C2">
        <w:t xml:space="preserve"> </w:t>
      </w:r>
      <w:proofErr w:type="gramStart"/>
      <w:r w:rsidR="000630C2">
        <w:t>Not</w:t>
      </w:r>
      <w:proofErr w:type="gramEnd"/>
      <w:r w:rsidR="000630C2">
        <w:t xml:space="preserve"> sure</w:t>
      </w:r>
    </w:p>
    <w:p w14:paraId="1A7D886D" w14:textId="77777777" w:rsidR="000630C2" w:rsidRDefault="000630C2" w:rsidP="000630C2">
      <w:pPr>
        <w:pStyle w:val="Question"/>
      </w:pPr>
      <w:r w:rsidRPr="00E0397B">
        <w:rPr>
          <w:rFonts w:cs="Arial"/>
          <w:b w:val="0"/>
        </w:rPr>
        <w:t>Please outline your reasons and suggest alternatives.</w:t>
      </w:r>
      <w:bookmarkStart w:id="138" w:name="_Toc222902187"/>
      <w:bookmarkStart w:id="139" w:name="_Toc337743658"/>
      <w:bookmarkStart w:id="140" w:name="_Toc440559365"/>
    </w:p>
    <w:p w14:paraId="5CE789CC" w14:textId="77777777" w:rsidR="000630C2" w:rsidRDefault="000630C2" w:rsidP="000630C2">
      <w:pPr>
        <w:pStyle w:val="Question"/>
      </w:pPr>
      <w:r>
        <w:lastRenderedPageBreak/>
        <w:t>Question 5</w:t>
      </w:r>
      <w:r w:rsidRPr="00720608">
        <w:t xml:space="preserve"> (</w:t>
      </w:r>
      <w:r>
        <w:t>Chapter 3</w:t>
      </w:r>
      <w:r w:rsidRPr="00720608">
        <w:t>)</w:t>
      </w:r>
      <w:bookmarkEnd w:id="138"/>
      <w:bookmarkEnd w:id="139"/>
      <w:bookmarkEnd w:id="140"/>
    </w:p>
    <w:p w14:paraId="399E4CE6" w14:textId="76F238B4" w:rsidR="000630C2" w:rsidRDefault="000630C2" w:rsidP="000630C2">
      <w:pPr>
        <w:pStyle w:val="Question"/>
        <w:spacing w:after="0"/>
        <w:rPr>
          <w:b w:val="0"/>
        </w:rPr>
      </w:pPr>
      <w:r w:rsidRPr="009B310E">
        <w:rPr>
          <w:b w:val="0"/>
        </w:rPr>
        <w:t>Do you agree the metrics should be split by the characteristics proposed above?</w:t>
      </w:r>
    </w:p>
    <w:p w14:paraId="08F8DBB7" w14:textId="77777777" w:rsidR="000630C2" w:rsidRPr="00014E17" w:rsidRDefault="000630C2" w:rsidP="000630C2">
      <w:pPr>
        <w:pStyle w:val="Question"/>
        <w:spacing w:after="0"/>
        <w:rPr>
          <w:b w:val="0"/>
        </w:rPr>
      </w:pPr>
    </w:p>
    <w:p w14:paraId="4E11ABE2" w14:textId="52770114" w:rsidR="000630C2" w:rsidRDefault="00FF0106" w:rsidP="000630C2">
      <w:sdt>
        <w:sdtPr>
          <w:id w:val="-1917860134"/>
          <w14:checkbox>
            <w14:checked w14:val="0"/>
            <w14:checkedState w14:val="2612" w14:font="MS Gothic"/>
            <w14:uncheckedState w14:val="2610" w14:font="MS Gothic"/>
          </w14:checkbox>
        </w:sdtPr>
        <w:sdtContent>
          <w:r w:rsidR="000630C2">
            <w:rPr>
              <w:rFonts w:ascii="MS Gothic" w:eastAsia="MS Gothic" w:hAnsi="MS Gothic" w:hint="eastAsia"/>
            </w:rPr>
            <w:t>☐</w:t>
          </w:r>
        </w:sdtContent>
      </w:sdt>
      <w:r w:rsidR="000630C2">
        <w:t>Yes</w:t>
      </w:r>
      <w:r w:rsidR="000630C2">
        <w:tab/>
      </w:r>
      <w:r w:rsidR="000630C2">
        <w:tab/>
      </w:r>
      <w:sdt>
        <w:sdtPr>
          <w:id w:val="-129565465"/>
          <w14:checkbox>
            <w14:checked w14:val="0"/>
            <w14:checkedState w14:val="2612" w14:font="MS Gothic"/>
            <w14:uncheckedState w14:val="2610" w14:font="MS Gothic"/>
          </w14:checkbox>
        </w:sdtPr>
        <w:sdtContent>
          <w:r w:rsidR="00B412E1">
            <w:rPr>
              <w:rFonts w:ascii="MS Gothic" w:eastAsia="MS Gothic" w:hAnsi="MS Gothic" w:hint="eastAsia"/>
            </w:rPr>
            <w:t>☐</w:t>
          </w:r>
        </w:sdtContent>
      </w:sdt>
      <w:r w:rsidR="000630C2">
        <w:t>No</w:t>
      </w:r>
      <w:r w:rsidR="000630C2">
        <w:tab/>
      </w:r>
      <w:r w:rsidR="000630C2">
        <w:tab/>
      </w:r>
      <w:sdt>
        <w:sdtPr>
          <w:id w:val="334196460"/>
          <w14:checkbox>
            <w14:checked w14:val="0"/>
            <w14:checkedState w14:val="2612" w14:font="MS Gothic"/>
            <w14:uncheckedState w14:val="2610" w14:font="MS Gothic"/>
          </w14:checkbox>
        </w:sdtPr>
        <w:sdtContent>
          <w:r w:rsidR="000630C2">
            <w:rPr>
              <w:rFonts w:ascii="MS Gothic" w:eastAsia="MS Gothic" w:hAnsi="MS Gothic" w:hint="eastAsia"/>
            </w:rPr>
            <w:t>☐</w:t>
          </w:r>
        </w:sdtContent>
      </w:sdt>
      <w:r w:rsidR="000630C2">
        <w:t xml:space="preserve"> </w:t>
      </w:r>
      <w:proofErr w:type="gramStart"/>
      <w:r w:rsidR="000630C2">
        <w:t>Not</w:t>
      </w:r>
      <w:proofErr w:type="gramEnd"/>
      <w:r w:rsidR="000630C2">
        <w:t xml:space="preserve"> sure</w:t>
      </w:r>
    </w:p>
    <w:p w14:paraId="16FBE3FB" w14:textId="77777777" w:rsidR="000630C2" w:rsidRDefault="000630C2" w:rsidP="000630C2">
      <w:pPr>
        <w:pStyle w:val="Question"/>
      </w:pPr>
      <w:r w:rsidRPr="00E0397B">
        <w:rPr>
          <w:rFonts w:cs="Arial"/>
          <w:b w:val="0"/>
        </w:rPr>
        <w:t>Please outline your reasons and suggest alternatives.</w:t>
      </w:r>
      <w:r>
        <w:t xml:space="preserve"> </w:t>
      </w:r>
      <w:bookmarkStart w:id="141" w:name="_Toc222902188"/>
      <w:bookmarkStart w:id="142" w:name="_Toc337743659"/>
      <w:bookmarkStart w:id="143" w:name="_Toc440559366"/>
    </w:p>
    <w:p w14:paraId="4A278AEF" w14:textId="77777777" w:rsidR="003327AA" w:rsidRDefault="003327AA" w:rsidP="000630C2">
      <w:pPr>
        <w:pStyle w:val="Question"/>
        <w:spacing w:after="0"/>
      </w:pPr>
    </w:p>
    <w:p w14:paraId="6A09D4E7" w14:textId="77777777" w:rsidR="003327AA" w:rsidRDefault="003327AA" w:rsidP="000630C2">
      <w:pPr>
        <w:pStyle w:val="Question"/>
        <w:spacing w:after="0"/>
      </w:pPr>
    </w:p>
    <w:p w14:paraId="5865D6B8" w14:textId="77777777" w:rsidR="000630C2" w:rsidRPr="00BE6BA8" w:rsidRDefault="000630C2" w:rsidP="000630C2">
      <w:pPr>
        <w:pStyle w:val="Question"/>
        <w:spacing w:after="0"/>
        <w:rPr>
          <w:bCs/>
          <w:color w:val="009BBB"/>
          <w:sz w:val="26"/>
          <w:szCs w:val="26"/>
        </w:rPr>
      </w:pPr>
      <w:r>
        <w:t>Question 6</w:t>
      </w:r>
      <w:r w:rsidRPr="00720608">
        <w:t xml:space="preserve"> (</w:t>
      </w:r>
      <w:r>
        <w:t>Chapter 3</w:t>
      </w:r>
      <w:r w:rsidRPr="00720608">
        <w:t>)</w:t>
      </w:r>
      <w:bookmarkEnd w:id="141"/>
      <w:bookmarkEnd w:id="142"/>
      <w:bookmarkEnd w:id="143"/>
    </w:p>
    <w:p w14:paraId="55EB3612" w14:textId="77777777" w:rsidR="000630C2" w:rsidRDefault="000630C2" w:rsidP="000630C2">
      <w:pPr>
        <w:spacing w:after="0"/>
        <w:rPr>
          <w:rFonts w:cs="Arial"/>
        </w:rPr>
      </w:pPr>
      <w:r w:rsidRPr="009B310E">
        <w:rPr>
          <w:rFonts w:cs="Arial"/>
        </w:rPr>
        <w:t>Do you agree with the contextual information that will be used to support TEF assessments proposed above?</w:t>
      </w:r>
    </w:p>
    <w:p w14:paraId="3B863997" w14:textId="77777777" w:rsidR="000630C2" w:rsidRPr="00A77078" w:rsidRDefault="000630C2" w:rsidP="000630C2">
      <w:pPr>
        <w:spacing w:after="0"/>
        <w:rPr>
          <w:rFonts w:cs="Arial"/>
        </w:rPr>
      </w:pPr>
    </w:p>
    <w:p w14:paraId="275C22A9" w14:textId="77777777" w:rsidR="000630C2" w:rsidRDefault="00FF0106" w:rsidP="000630C2">
      <w:sdt>
        <w:sdtPr>
          <w:id w:val="-1662307423"/>
          <w14:checkbox>
            <w14:checked w14:val="0"/>
            <w14:checkedState w14:val="2612" w14:font="MS Gothic"/>
            <w14:uncheckedState w14:val="2610" w14:font="MS Gothic"/>
          </w14:checkbox>
        </w:sdtPr>
        <w:sdtContent>
          <w:r w:rsidR="000630C2">
            <w:rPr>
              <w:rFonts w:ascii="MS Gothic" w:eastAsia="MS Gothic" w:hAnsi="MS Gothic" w:hint="eastAsia"/>
            </w:rPr>
            <w:t>☐</w:t>
          </w:r>
        </w:sdtContent>
      </w:sdt>
      <w:r w:rsidR="000630C2">
        <w:t>Yes</w:t>
      </w:r>
      <w:r w:rsidR="000630C2">
        <w:tab/>
      </w:r>
      <w:r w:rsidR="000630C2">
        <w:tab/>
      </w:r>
      <w:sdt>
        <w:sdtPr>
          <w:id w:val="101855023"/>
          <w14:checkbox>
            <w14:checked w14:val="0"/>
            <w14:checkedState w14:val="2612" w14:font="MS Gothic"/>
            <w14:uncheckedState w14:val="2610" w14:font="MS Gothic"/>
          </w14:checkbox>
        </w:sdtPr>
        <w:sdtContent>
          <w:r w:rsidR="000630C2">
            <w:rPr>
              <w:rFonts w:ascii="MS Gothic" w:eastAsia="MS Gothic" w:hAnsi="MS Gothic" w:hint="eastAsia"/>
            </w:rPr>
            <w:t>☐</w:t>
          </w:r>
        </w:sdtContent>
      </w:sdt>
      <w:r w:rsidR="000630C2">
        <w:t>No</w:t>
      </w:r>
      <w:r w:rsidR="000630C2">
        <w:tab/>
      </w:r>
      <w:r w:rsidR="000630C2">
        <w:tab/>
      </w:r>
      <w:sdt>
        <w:sdtPr>
          <w:id w:val="1658110147"/>
          <w14:checkbox>
            <w14:checked w14:val="0"/>
            <w14:checkedState w14:val="2612" w14:font="MS Gothic"/>
            <w14:uncheckedState w14:val="2610" w14:font="MS Gothic"/>
          </w14:checkbox>
        </w:sdtPr>
        <w:sdtContent>
          <w:r w:rsidR="000630C2">
            <w:rPr>
              <w:rFonts w:ascii="MS Gothic" w:eastAsia="MS Gothic" w:hAnsi="MS Gothic" w:hint="eastAsia"/>
            </w:rPr>
            <w:t>☐</w:t>
          </w:r>
        </w:sdtContent>
      </w:sdt>
      <w:r w:rsidR="000630C2">
        <w:t xml:space="preserve"> </w:t>
      </w:r>
      <w:proofErr w:type="gramStart"/>
      <w:r w:rsidR="000630C2">
        <w:t>Not</w:t>
      </w:r>
      <w:proofErr w:type="gramEnd"/>
      <w:r w:rsidR="000630C2">
        <w:t xml:space="preserve"> sure</w:t>
      </w:r>
    </w:p>
    <w:p w14:paraId="14AA67D7" w14:textId="77777777" w:rsidR="000630C2" w:rsidRDefault="000630C2" w:rsidP="000630C2">
      <w:pPr>
        <w:pStyle w:val="Question"/>
      </w:pPr>
      <w:r w:rsidRPr="00E0397B">
        <w:rPr>
          <w:rFonts w:cs="Arial"/>
          <w:b w:val="0"/>
        </w:rPr>
        <w:t xml:space="preserve">Please outline your reasons and suggest </w:t>
      </w:r>
      <w:r>
        <w:rPr>
          <w:rFonts w:cs="Arial"/>
          <w:b w:val="0"/>
        </w:rPr>
        <w:t xml:space="preserve">any </w:t>
      </w:r>
      <w:r w:rsidRPr="00E0397B">
        <w:rPr>
          <w:rFonts w:cs="Arial"/>
          <w:b w:val="0"/>
        </w:rPr>
        <w:t>alternatives</w:t>
      </w:r>
      <w:r>
        <w:rPr>
          <w:rFonts w:cs="Arial"/>
          <w:b w:val="0"/>
        </w:rPr>
        <w:t xml:space="preserve"> or additions</w:t>
      </w:r>
      <w:r w:rsidRPr="00E0397B">
        <w:rPr>
          <w:rFonts w:cs="Arial"/>
          <w:b w:val="0"/>
        </w:rPr>
        <w:t>.</w:t>
      </w:r>
      <w:r>
        <w:t xml:space="preserve"> </w:t>
      </w:r>
    </w:p>
    <w:p w14:paraId="16399935" w14:textId="77777777" w:rsidR="003327AA" w:rsidRDefault="003327AA" w:rsidP="000630C2">
      <w:pPr>
        <w:pStyle w:val="Question"/>
        <w:spacing w:after="0"/>
      </w:pPr>
    </w:p>
    <w:p w14:paraId="3AB74053" w14:textId="77777777" w:rsidR="003327AA" w:rsidRDefault="003327AA" w:rsidP="000630C2">
      <w:pPr>
        <w:pStyle w:val="Question"/>
        <w:spacing w:after="0"/>
      </w:pPr>
    </w:p>
    <w:p w14:paraId="685E70A7" w14:textId="77777777" w:rsidR="000630C2" w:rsidRPr="00BE6BA8" w:rsidRDefault="000630C2" w:rsidP="000630C2">
      <w:pPr>
        <w:pStyle w:val="Question"/>
        <w:spacing w:after="0"/>
        <w:rPr>
          <w:bCs/>
          <w:color w:val="009BBB"/>
          <w:sz w:val="26"/>
          <w:szCs w:val="26"/>
        </w:rPr>
      </w:pPr>
      <w:r>
        <w:t>Question 7</w:t>
      </w:r>
      <w:r w:rsidRPr="00720608">
        <w:t xml:space="preserve"> (</w:t>
      </w:r>
      <w:r>
        <w:t>Chapter 3</w:t>
      </w:r>
      <w:r w:rsidRPr="00720608">
        <w:t>)</w:t>
      </w:r>
    </w:p>
    <w:p w14:paraId="0A14B6CD" w14:textId="77777777" w:rsidR="000630C2" w:rsidRDefault="000630C2" w:rsidP="000630C2">
      <w:pPr>
        <w:spacing w:after="0"/>
        <w:rPr>
          <w:rFonts w:cs="Arial"/>
        </w:rPr>
      </w:pPr>
      <w:r w:rsidRPr="00230E26">
        <w:rPr>
          <w:rFonts w:cs="Arial"/>
          <w:b/>
        </w:rPr>
        <w:t xml:space="preserve">A) </w:t>
      </w:r>
      <w:r w:rsidRPr="00230E26">
        <w:rPr>
          <w:rFonts w:cs="Arial"/>
        </w:rPr>
        <w:t>Do you agree with the proposed approach for the provider submission?</w:t>
      </w:r>
    </w:p>
    <w:p w14:paraId="57B57AD0" w14:textId="77777777" w:rsidR="000630C2" w:rsidRDefault="000630C2" w:rsidP="000630C2">
      <w:pPr>
        <w:spacing w:after="0"/>
        <w:rPr>
          <w:rFonts w:cs="Arial"/>
        </w:rPr>
      </w:pPr>
    </w:p>
    <w:p w14:paraId="68355B12" w14:textId="77777777" w:rsidR="000630C2" w:rsidRDefault="00FF0106" w:rsidP="000630C2">
      <w:sdt>
        <w:sdtPr>
          <w:id w:val="2046864056"/>
          <w14:checkbox>
            <w14:checked w14:val="0"/>
            <w14:checkedState w14:val="2612" w14:font="MS Gothic"/>
            <w14:uncheckedState w14:val="2610" w14:font="MS Gothic"/>
          </w14:checkbox>
        </w:sdtPr>
        <w:sdtContent>
          <w:r w:rsidR="000630C2">
            <w:rPr>
              <w:rFonts w:ascii="MS Gothic" w:eastAsia="MS Gothic" w:hAnsi="MS Gothic" w:hint="eastAsia"/>
            </w:rPr>
            <w:t>☐</w:t>
          </w:r>
        </w:sdtContent>
      </w:sdt>
      <w:r w:rsidR="000630C2">
        <w:t>Yes</w:t>
      </w:r>
      <w:r w:rsidR="000630C2">
        <w:tab/>
      </w:r>
      <w:r w:rsidR="000630C2">
        <w:tab/>
      </w:r>
      <w:sdt>
        <w:sdtPr>
          <w:id w:val="-1263680649"/>
          <w14:checkbox>
            <w14:checked w14:val="0"/>
            <w14:checkedState w14:val="2612" w14:font="MS Gothic"/>
            <w14:uncheckedState w14:val="2610" w14:font="MS Gothic"/>
          </w14:checkbox>
        </w:sdtPr>
        <w:sdtContent>
          <w:r w:rsidR="000630C2">
            <w:rPr>
              <w:rFonts w:ascii="MS Gothic" w:eastAsia="MS Gothic" w:hAnsi="MS Gothic" w:hint="eastAsia"/>
            </w:rPr>
            <w:t>☐</w:t>
          </w:r>
        </w:sdtContent>
      </w:sdt>
      <w:r w:rsidR="000630C2">
        <w:t>No</w:t>
      </w:r>
      <w:r w:rsidR="000630C2">
        <w:tab/>
      </w:r>
      <w:r w:rsidR="000630C2">
        <w:tab/>
      </w:r>
      <w:sdt>
        <w:sdtPr>
          <w:id w:val="110484900"/>
          <w14:checkbox>
            <w14:checked w14:val="0"/>
            <w14:checkedState w14:val="2612" w14:font="MS Gothic"/>
            <w14:uncheckedState w14:val="2610" w14:font="MS Gothic"/>
          </w14:checkbox>
        </w:sdtPr>
        <w:sdtContent>
          <w:r w:rsidR="000630C2">
            <w:rPr>
              <w:rFonts w:ascii="MS Gothic" w:eastAsia="MS Gothic" w:hAnsi="MS Gothic" w:hint="eastAsia"/>
            </w:rPr>
            <w:t>☐</w:t>
          </w:r>
        </w:sdtContent>
      </w:sdt>
      <w:r w:rsidR="000630C2">
        <w:t xml:space="preserve"> </w:t>
      </w:r>
      <w:proofErr w:type="gramStart"/>
      <w:r w:rsidR="000630C2">
        <w:t>Not</w:t>
      </w:r>
      <w:proofErr w:type="gramEnd"/>
      <w:r w:rsidR="000630C2">
        <w:t xml:space="preserve"> sure</w:t>
      </w:r>
    </w:p>
    <w:p w14:paraId="61F3B5C0" w14:textId="77777777" w:rsidR="000630C2" w:rsidRDefault="000630C2" w:rsidP="000630C2">
      <w:pPr>
        <w:pStyle w:val="Question"/>
        <w:rPr>
          <w:rFonts w:cs="Arial"/>
          <w:b w:val="0"/>
        </w:rPr>
      </w:pPr>
      <w:r>
        <w:rPr>
          <w:rFonts w:cs="Arial"/>
          <w:b w:val="0"/>
        </w:rPr>
        <w:t xml:space="preserve">B) Do you agree with the proposed 15 page limit? </w:t>
      </w:r>
    </w:p>
    <w:p w14:paraId="5D907C63" w14:textId="77777777" w:rsidR="000630C2" w:rsidRPr="00A77078" w:rsidRDefault="00FF0106" w:rsidP="000630C2">
      <w:sdt>
        <w:sdtPr>
          <w:id w:val="-1398585665"/>
          <w14:checkbox>
            <w14:checked w14:val="0"/>
            <w14:checkedState w14:val="2612" w14:font="MS Gothic"/>
            <w14:uncheckedState w14:val="2610" w14:font="MS Gothic"/>
          </w14:checkbox>
        </w:sdtPr>
        <w:sdtContent>
          <w:r w:rsidR="000630C2">
            <w:rPr>
              <w:rFonts w:ascii="MS Gothic" w:eastAsia="MS Gothic" w:hAnsi="MS Gothic" w:hint="eastAsia"/>
            </w:rPr>
            <w:t>☐</w:t>
          </w:r>
        </w:sdtContent>
      </w:sdt>
      <w:r w:rsidR="000630C2">
        <w:t>Yes</w:t>
      </w:r>
      <w:r w:rsidR="000630C2">
        <w:tab/>
      </w:r>
      <w:r w:rsidR="000630C2">
        <w:tab/>
      </w:r>
      <w:sdt>
        <w:sdtPr>
          <w:id w:val="1730036613"/>
          <w14:checkbox>
            <w14:checked w14:val="0"/>
            <w14:checkedState w14:val="2612" w14:font="MS Gothic"/>
            <w14:uncheckedState w14:val="2610" w14:font="MS Gothic"/>
          </w14:checkbox>
        </w:sdtPr>
        <w:sdtContent>
          <w:r w:rsidR="000630C2">
            <w:rPr>
              <w:rFonts w:ascii="MS Gothic" w:eastAsia="MS Gothic" w:hAnsi="MS Gothic" w:hint="eastAsia"/>
            </w:rPr>
            <w:t>☐</w:t>
          </w:r>
        </w:sdtContent>
      </w:sdt>
      <w:r w:rsidR="000630C2">
        <w:t>No</w:t>
      </w:r>
      <w:r w:rsidR="000630C2">
        <w:tab/>
      </w:r>
      <w:r w:rsidR="000630C2">
        <w:tab/>
      </w:r>
      <w:sdt>
        <w:sdtPr>
          <w:id w:val="-1854718977"/>
          <w14:checkbox>
            <w14:checked w14:val="0"/>
            <w14:checkedState w14:val="2612" w14:font="MS Gothic"/>
            <w14:uncheckedState w14:val="2610" w14:font="MS Gothic"/>
          </w14:checkbox>
        </w:sdtPr>
        <w:sdtContent>
          <w:r w:rsidR="000630C2">
            <w:rPr>
              <w:rFonts w:ascii="MS Gothic" w:eastAsia="MS Gothic" w:hAnsi="MS Gothic" w:hint="eastAsia"/>
            </w:rPr>
            <w:t>☐</w:t>
          </w:r>
        </w:sdtContent>
      </w:sdt>
      <w:r w:rsidR="000630C2">
        <w:t xml:space="preserve"> </w:t>
      </w:r>
      <w:proofErr w:type="gramStart"/>
      <w:r w:rsidR="000630C2">
        <w:t>Not</w:t>
      </w:r>
      <w:proofErr w:type="gramEnd"/>
      <w:r w:rsidR="000630C2">
        <w:t xml:space="preserve"> sure</w:t>
      </w:r>
    </w:p>
    <w:p w14:paraId="0B00C28D" w14:textId="77777777" w:rsidR="000630C2" w:rsidRDefault="000630C2" w:rsidP="000630C2">
      <w:pPr>
        <w:pStyle w:val="Question"/>
      </w:pPr>
      <w:r w:rsidRPr="00E0397B">
        <w:rPr>
          <w:rFonts w:cs="Arial"/>
          <w:b w:val="0"/>
        </w:rPr>
        <w:t xml:space="preserve">Please </w:t>
      </w:r>
      <w:r>
        <w:rPr>
          <w:rFonts w:cs="Arial"/>
          <w:b w:val="0"/>
        </w:rPr>
        <w:t xml:space="preserve">explain your reasons and outline any alternative suggestions. </w:t>
      </w:r>
    </w:p>
    <w:p w14:paraId="232B813A" w14:textId="77777777" w:rsidR="003327AA" w:rsidRDefault="003327AA" w:rsidP="000630C2">
      <w:pPr>
        <w:pStyle w:val="Question"/>
        <w:spacing w:after="0"/>
      </w:pPr>
    </w:p>
    <w:p w14:paraId="57095613" w14:textId="77777777" w:rsidR="003327AA" w:rsidRDefault="003327AA" w:rsidP="000630C2">
      <w:pPr>
        <w:pStyle w:val="Question"/>
        <w:spacing w:after="0"/>
      </w:pPr>
    </w:p>
    <w:p w14:paraId="373453DF" w14:textId="77777777" w:rsidR="000630C2" w:rsidRPr="00A77078" w:rsidRDefault="000630C2" w:rsidP="000630C2">
      <w:pPr>
        <w:pStyle w:val="Question"/>
        <w:spacing w:after="0"/>
        <w:rPr>
          <w:bCs/>
          <w:color w:val="009BBB"/>
          <w:sz w:val="26"/>
          <w:szCs w:val="26"/>
        </w:rPr>
      </w:pPr>
      <w:r>
        <w:t>Question 8</w:t>
      </w:r>
      <w:r w:rsidRPr="00720608">
        <w:t xml:space="preserve"> (</w:t>
      </w:r>
      <w:r>
        <w:t>Chapter 3</w:t>
      </w:r>
      <w:r w:rsidRPr="00720608">
        <w:t>)</w:t>
      </w:r>
    </w:p>
    <w:p w14:paraId="6D8251C6" w14:textId="77777777" w:rsidR="000630C2" w:rsidRDefault="000630C2" w:rsidP="000630C2">
      <w:pPr>
        <w:spacing w:after="0"/>
      </w:pPr>
      <w:r w:rsidRPr="009B310E">
        <w:t>Without the list becoming exhaustive or prescriptive, we are keen to ensure that the examples of additional evidence included in Figure 6 reflect a diversity of approaches to delivery. Do you agree with the examples?</w:t>
      </w:r>
    </w:p>
    <w:p w14:paraId="3B8808E0" w14:textId="77777777" w:rsidR="000630C2" w:rsidRDefault="000630C2" w:rsidP="000630C2">
      <w:pPr>
        <w:spacing w:after="0"/>
      </w:pPr>
    </w:p>
    <w:p w14:paraId="6CC93B3C" w14:textId="77777777" w:rsidR="000630C2" w:rsidRPr="00A77078" w:rsidRDefault="00FF0106" w:rsidP="000630C2">
      <w:sdt>
        <w:sdtPr>
          <w:id w:val="-1275941181"/>
          <w14:checkbox>
            <w14:checked w14:val="0"/>
            <w14:checkedState w14:val="2612" w14:font="MS Gothic"/>
            <w14:uncheckedState w14:val="2610" w14:font="MS Gothic"/>
          </w14:checkbox>
        </w:sdtPr>
        <w:sdtContent>
          <w:r w:rsidR="000630C2">
            <w:rPr>
              <w:rFonts w:ascii="MS Gothic" w:eastAsia="MS Gothic" w:hAnsi="MS Gothic" w:hint="eastAsia"/>
            </w:rPr>
            <w:t>☐</w:t>
          </w:r>
        </w:sdtContent>
      </w:sdt>
      <w:r w:rsidR="000630C2">
        <w:t>Yes</w:t>
      </w:r>
      <w:r w:rsidR="000630C2">
        <w:tab/>
      </w:r>
      <w:r w:rsidR="000630C2">
        <w:tab/>
      </w:r>
      <w:sdt>
        <w:sdtPr>
          <w:id w:val="-563106131"/>
          <w14:checkbox>
            <w14:checked w14:val="0"/>
            <w14:checkedState w14:val="2612" w14:font="MS Gothic"/>
            <w14:uncheckedState w14:val="2610" w14:font="MS Gothic"/>
          </w14:checkbox>
        </w:sdtPr>
        <w:sdtContent>
          <w:r w:rsidR="000630C2">
            <w:rPr>
              <w:rFonts w:ascii="MS Gothic" w:eastAsia="MS Gothic" w:hAnsi="MS Gothic" w:hint="eastAsia"/>
            </w:rPr>
            <w:t>☐</w:t>
          </w:r>
        </w:sdtContent>
      </w:sdt>
      <w:r w:rsidR="000630C2">
        <w:t>No</w:t>
      </w:r>
      <w:r w:rsidR="000630C2">
        <w:tab/>
      </w:r>
      <w:r w:rsidR="000630C2">
        <w:tab/>
      </w:r>
      <w:sdt>
        <w:sdtPr>
          <w:id w:val="2043089100"/>
          <w14:checkbox>
            <w14:checked w14:val="0"/>
            <w14:checkedState w14:val="2612" w14:font="MS Gothic"/>
            <w14:uncheckedState w14:val="2610" w14:font="MS Gothic"/>
          </w14:checkbox>
        </w:sdtPr>
        <w:sdtContent>
          <w:r w:rsidR="000630C2">
            <w:rPr>
              <w:rFonts w:ascii="MS Gothic" w:eastAsia="MS Gothic" w:hAnsi="MS Gothic" w:hint="eastAsia"/>
            </w:rPr>
            <w:t>☐</w:t>
          </w:r>
        </w:sdtContent>
      </w:sdt>
      <w:r w:rsidR="000630C2">
        <w:t xml:space="preserve"> </w:t>
      </w:r>
      <w:proofErr w:type="gramStart"/>
      <w:r w:rsidR="000630C2">
        <w:t>Not</w:t>
      </w:r>
      <w:proofErr w:type="gramEnd"/>
      <w:r w:rsidR="000630C2">
        <w:t xml:space="preserve"> sure</w:t>
      </w:r>
    </w:p>
    <w:p w14:paraId="7EF26008" w14:textId="77777777" w:rsidR="000630C2" w:rsidRDefault="000630C2" w:rsidP="000630C2">
      <w:pPr>
        <w:pStyle w:val="Question"/>
      </w:pPr>
      <w:r w:rsidRPr="00E0397B">
        <w:rPr>
          <w:rFonts w:cs="Arial"/>
          <w:b w:val="0"/>
        </w:rPr>
        <w:t xml:space="preserve">Please outline your reasons and suggest </w:t>
      </w:r>
      <w:r>
        <w:rPr>
          <w:rFonts w:cs="Arial"/>
          <w:b w:val="0"/>
        </w:rPr>
        <w:t>any additions or alternatives?</w:t>
      </w:r>
      <w:r>
        <w:t xml:space="preserve"> </w:t>
      </w:r>
    </w:p>
    <w:p w14:paraId="1C380619" w14:textId="77777777" w:rsidR="003327AA" w:rsidRDefault="003327AA" w:rsidP="000630C2">
      <w:pPr>
        <w:pStyle w:val="Question"/>
        <w:spacing w:after="0"/>
      </w:pPr>
    </w:p>
    <w:p w14:paraId="2C4EB5D7" w14:textId="77777777" w:rsidR="003327AA" w:rsidRDefault="003327AA" w:rsidP="000630C2">
      <w:pPr>
        <w:pStyle w:val="Question"/>
        <w:spacing w:after="0"/>
      </w:pPr>
    </w:p>
    <w:p w14:paraId="62A2BAE4" w14:textId="77777777" w:rsidR="003327AA" w:rsidRDefault="003327AA" w:rsidP="000630C2">
      <w:pPr>
        <w:pStyle w:val="Question"/>
        <w:spacing w:after="0"/>
      </w:pPr>
    </w:p>
    <w:p w14:paraId="17E8A91A" w14:textId="77777777" w:rsidR="003327AA" w:rsidRDefault="003327AA" w:rsidP="000630C2">
      <w:pPr>
        <w:pStyle w:val="Question"/>
        <w:spacing w:after="0"/>
      </w:pPr>
    </w:p>
    <w:p w14:paraId="53AC0FFA" w14:textId="77777777" w:rsidR="003327AA" w:rsidRDefault="003327AA" w:rsidP="000630C2">
      <w:pPr>
        <w:pStyle w:val="Question"/>
        <w:spacing w:after="0"/>
      </w:pPr>
    </w:p>
    <w:p w14:paraId="0AEDD93E" w14:textId="77777777" w:rsidR="003327AA" w:rsidRDefault="003327AA" w:rsidP="000630C2">
      <w:pPr>
        <w:pStyle w:val="Question"/>
        <w:spacing w:after="0"/>
      </w:pPr>
    </w:p>
    <w:p w14:paraId="61B3D6D2" w14:textId="77777777" w:rsidR="003327AA" w:rsidRDefault="003327AA" w:rsidP="000630C2">
      <w:pPr>
        <w:pStyle w:val="Question"/>
        <w:spacing w:after="0"/>
      </w:pPr>
    </w:p>
    <w:p w14:paraId="335B2132" w14:textId="77777777" w:rsidR="000630C2" w:rsidRPr="00A77078" w:rsidRDefault="000630C2" w:rsidP="000630C2">
      <w:pPr>
        <w:pStyle w:val="Question"/>
        <w:spacing w:after="0"/>
        <w:rPr>
          <w:bCs/>
          <w:color w:val="009BBB"/>
          <w:sz w:val="26"/>
          <w:szCs w:val="26"/>
        </w:rPr>
      </w:pPr>
      <w:r>
        <w:lastRenderedPageBreak/>
        <w:t>Question 9</w:t>
      </w:r>
      <w:r w:rsidRPr="00720608">
        <w:t xml:space="preserve"> (</w:t>
      </w:r>
      <w:r>
        <w:t>Chapter 4</w:t>
      </w:r>
      <w:r w:rsidRPr="00720608">
        <w:t>)</w:t>
      </w:r>
    </w:p>
    <w:p w14:paraId="4A15529B" w14:textId="77777777" w:rsidR="000630C2" w:rsidRPr="00955EC9" w:rsidRDefault="000630C2" w:rsidP="000630C2">
      <w:pPr>
        <w:spacing w:after="0"/>
        <w:rPr>
          <w:rFonts w:cs="Arial"/>
        </w:rPr>
      </w:pPr>
      <w:r w:rsidRPr="00955EC9">
        <w:rPr>
          <w:rFonts w:cs="Arial"/>
        </w:rPr>
        <w:t>A) Do you think the TEF should issue commendations?</w:t>
      </w:r>
    </w:p>
    <w:p w14:paraId="2F0EDD2D" w14:textId="77777777" w:rsidR="000630C2" w:rsidRDefault="000630C2" w:rsidP="000630C2">
      <w:pPr>
        <w:spacing w:after="0"/>
        <w:rPr>
          <w:rFonts w:cs="Arial"/>
        </w:rPr>
      </w:pPr>
    </w:p>
    <w:p w14:paraId="6847CB28" w14:textId="77777777" w:rsidR="000630C2" w:rsidRPr="00A77078" w:rsidRDefault="00FF0106" w:rsidP="000630C2">
      <w:sdt>
        <w:sdtPr>
          <w:id w:val="2119479304"/>
          <w14:checkbox>
            <w14:checked w14:val="0"/>
            <w14:checkedState w14:val="2612" w14:font="MS Gothic"/>
            <w14:uncheckedState w14:val="2610" w14:font="MS Gothic"/>
          </w14:checkbox>
        </w:sdtPr>
        <w:sdtContent>
          <w:r w:rsidR="000630C2">
            <w:rPr>
              <w:rFonts w:ascii="MS Gothic" w:eastAsia="MS Gothic" w:hAnsi="MS Gothic" w:hint="eastAsia"/>
            </w:rPr>
            <w:t>☐</w:t>
          </w:r>
        </w:sdtContent>
      </w:sdt>
      <w:r w:rsidR="000630C2">
        <w:t>Yes</w:t>
      </w:r>
      <w:r w:rsidR="000630C2">
        <w:tab/>
      </w:r>
      <w:r w:rsidR="000630C2">
        <w:tab/>
      </w:r>
      <w:sdt>
        <w:sdtPr>
          <w:id w:val="2048019857"/>
          <w14:checkbox>
            <w14:checked w14:val="0"/>
            <w14:checkedState w14:val="2612" w14:font="MS Gothic"/>
            <w14:uncheckedState w14:val="2610" w14:font="MS Gothic"/>
          </w14:checkbox>
        </w:sdtPr>
        <w:sdtContent>
          <w:r w:rsidR="000630C2">
            <w:rPr>
              <w:rFonts w:ascii="MS Gothic" w:eastAsia="MS Gothic" w:hAnsi="MS Gothic" w:hint="eastAsia"/>
            </w:rPr>
            <w:t>☐</w:t>
          </w:r>
        </w:sdtContent>
      </w:sdt>
      <w:r w:rsidR="000630C2">
        <w:t>No</w:t>
      </w:r>
      <w:r w:rsidR="000630C2">
        <w:tab/>
      </w:r>
      <w:r w:rsidR="000630C2">
        <w:tab/>
      </w:r>
      <w:sdt>
        <w:sdtPr>
          <w:id w:val="463701720"/>
          <w14:checkbox>
            <w14:checked w14:val="0"/>
            <w14:checkedState w14:val="2612" w14:font="MS Gothic"/>
            <w14:uncheckedState w14:val="2610" w14:font="MS Gothic"/>
          </w14:checkbox>
        </w:sdtPr>
        <w:sdtContent>
          <w:r w:rsidR="000630C2">
            <w:rPr>
              <w:rFonts w:ascii="MS Gothic" w:eastAsia="MS Gothic" w:hAnsi="MS Gothic" w:hint="eastAsia"/>
            </w:rPr>
            <w:t>☐</w:t>
          </w:r>
        </w:sdtContent>
      </w:sdt>
      <w:r w:rsidR="000630C2">
        <w:t xml:space="preserve"> </w:t>
      </w:r>
      <w:proofErr w:type="gramStart"/>
      <w:r w:rsidR="000630C2">
        <w:t>Not</w:t>
      </w:r>
      <w:proofErr w:type="gramEnd"/>
      <w:r w:rsidR="000630C2">
        <w:t xml:space="preserve"> sure</w:t>
      </w:r>
    </w:p>
    <w:p w14:paraId="2549A622" w14:textId="77777777" w:rsidR="000630C2" w:rsidRDefault="000630C2" w:rsidP="000630C2">
      <w:pPr>
        <w:rPr>
          <w:rFonts w:cs="Arial"/>
        </w:rPr>
      </w:pPr>
      <w:r>
        <w:rPr>
          <w:rFonts w:cs="Arial"/>
        </w:rPr>
        <w:t xml:space="preserve">B) </w:t>
      </w:r>
      <w:r w:rsidRPr="00520A42">
        <w:rPr>
          <w:rFonts w:cs="Arial"/>
        </w:rPr>
        <w:t xml:space="preserve">If so, do you agree with the areas identified above? </w:t>
      </w:r>
    </w:p>
    <w:p w14:paraId="15772FB6" w14:textId="77777777" w:rsidR="000630C2" w:rsidRPr="00A77078" w:rsidRDefault="00FF0106" w:rsidP="000630C2">
      <w:sdt>
        <w:sdtPr>
          <w:id w:val="1244606323"/>
          <w14:checkbox>
            <w14:checked w14:val="0"/>
            <w14:checkedState w14:val="2612" w14:font="MS Gothic"/>
            <w14:uncheckedState w14:val="2610" w14:font="MS Gothic"/>
          </w14:checkbox>
        </w:sdtPr>
        <w:sdtContent>
          <w:r w:rsidR="000630C2">
            <w:rPr>
              <w:rFonts w:ascii="MS Gothic" w:eastAsia="MS Gothic" w:hAnsi="MS Gothic" w:hint="eastAsia"/>
            </w:rPr>
            <w:t>☐</w:t>
          </w:r>
        </w:sdtContent>
      </w:sdt>
      <w:r w:rsidR="000630C2">
        <w:t>Yes</w:t>
      </w:r>
      <w:r w:rsidR="000630C2">
        <w:tab/>
      </w:r>
      <w:r w:rsidR="000630C2">
        <w:tab/>
      </w:r>
      <w:sdt>
        <w:sdtPr>
          <w:id w:val="-1333444129"/>
          <w14:checkbox>
            <w14:checked w14:val="0"/>
            <w14:checkedState w14:val="2612" w14:font="MS Gothic"/>
            <w14:uncheckedState w14:val="2610" w14:font="MS Gothic"/>
          </w14:checkbox>
        </w:sdtPr>
        <w:sdtContent>
          <w:r w:rsidR="000630C2">
            <w:rPr>
              <w:rFonts w:ascii="MS Gothic" w:eastAsia="MS Gothic" w:hAnsi="MS Gothic" w:hint="eastAsia"/>
            </w:rPr>
            <w:t>☐</w:t>
          </w:r>
        </w:sdtContent>
      </w:sdt>
      <w:r w:rsidR="000630C2">
        <w:t>No</w:t>
      </w:r>
      <w:r w:rsidR="000630C2">
        <w:tab/>
      </w:r>
      <w:r w:rsidR="000630C2">
        <w:tab/>
      </w:r>
      <w:sdt>
        <w:sdtPr>
          <w:id w:val="1435328073"/>
          <w14:checkbox>
            <w14:checked w14:val="0"/>
            <w14:checkedState w14:val="2612" w14:font="MS Gothic"/>
            <w14:uncheckedState w14:val="2610" w14:font="MS Gothic"/>
          </w14:checkbox>
        </w:sdtPr>
        <w:sdtContent>
          <w:r w:rsidR="000630C2">
            <w:rPr>
              <w:rFonts w:ascii="MS Gothic" w:eastAsia="MS Gothic" w:hAnsi="MS Gothic" w:hint="eastAsia"/>
            </w:rPr>
            <w:t>☐</w:t>
          </w:r>
        </w:sdtContent>
      </w:sdt>
      <w:r w:rsidR="000630C2">
        <w:t xml:space="preserve"> </w:t>
      </w:r>
      <w:proofErr w:type="gramStart"/>
      <w:r w:rsidR="000630C2">
        <w:t>Not</w:t>
      </w:r>
      <w:proofErr w:type="gramEnd"/>
      <w:r w:rsidR="000630C2">
        <w:t xml:space="preserve"> sure</w:t>
      </w:r>
    </w:p>
    <w:p w14:paraId="186E05ED" w14:textId="3D43D683" w:rsidR="000630C2" w:rsidRDefault="000630C2" w:rsidP="000630C2">
      <w:r w:rsidRPr="00520A42">
        <w:rPr>
          <w:rFonts w:cs="Arial"/>
        </w:rPr>
        <w:t xml:space="preserve">Please indicate if you </w:t>
      </w:r>
      <w:r>
        <w:rPr>
          <w:rFonts w:cs="Arial"/>
        </w:rPr>
        <w:t>have</w:t>
      </w:r>
      <w:r w:rsidR="00EB7132">
        <w:rPr>
          <w:rFonts w:cs="Arial"/>
        </w:rPr>
        <w:t xml:space="preserve"> </w:t>
      </w:r>
      <w:r w:rsidRPr="00520A42">
        <w:rPr>
          <w:rFonts w:cs="Arial"/>
        </w:rPr>
        <w:t>any additional or alternative suggestions for areas that might be covered by commendations</w:t>
      </w:r>
      <w:r>
        <w:rPr>
          <w:rFonts w:ascii="MS Gothic" w:eastAsia="MS Gothic" w:hAnsi="MS Gothic"/>
        </w:rPr>
        <w:t xml:space="preserve">. </w:t>
      </w:r>
      <w:r>
        <w:t xml:space="preserve"> </w:t>
      </w:r>
    </w:p>
    <w:p w14:paraId="4B451213" w14:textId="77777777" w:rsidR="003327AA" w:rsidRDefault="003327AA" w:rsidP="000630C2">
      <w:pPr>
        <w:pStyle w:val="Question"/>
        <w:spacing w:after="0"/>
      </w:pPr>
    </w:p>
    <w:p w14:paraId="33D3504C" w14:textId="77777777" w:rsidR="003327AA" w:rsidRDefault="003327AA" w:rsidP="000630C2">
      <w:pPr>
        <w:pStyle w:val="Question"/>
        <w:spacing w:after="0"/>
      </w:pPr>
    </w:p>
    <w:p w14:paraId="4FE62066" w14:textId="77777777" w:rsidR="000630C2" w:rsidRPr="00A77078" w:rsidRDefault="000630C2" w:rsidP="000630C2">
      <w:pPr>
        <w:pStyle w:val="Question"/>
        <w:spacing w:after="0"/>
        <w:rPr>
          <w:bCs/>
          <w:color w:val="009BBB"/>
          <w:sz w:val="26"/>
          <w:szCs w:val="26"/>
        </w:rPr>
      </w:pPr>
      <w:r>
        <w:t>Question 10</w:t>
      </w:r>
      <w:r w:rsidRPr="00720608">
        <w:t xml:space="preserve"> (</w:t>
      </w:r>
      <w:r>
        <w:t>Chapter 4</w:t>
      </w:r>
      <w:r w:rsidRPr="00720608">
        <w:t>)</w:t>
      </w:r>
    </w:p>
    <w:p w14:paraId="4A75D7F3" w14:textId="77777777" w:rsidR="000630C2" w:rsidRDefault="000630C2" w:rsidP="000630C2">
      <w:pPr>
        <w:spacing w:after="0"/>
        <w:rPr>
          <w:rFonts w:cs="Arial"/>
        </w:rPr>
      </w:pPr>
      <w:r w:rsidRPr="00520A42">
        <w:rPr>
          <w:rFonts w:cs="Arial"/>
        </w:rPr>
        <w:t xml:space="preserve">Do you </w:t>
      </w:r>
      <w:r>
        <w:rPr>
          <w:rFonts w:cs="Arial"/>
        </w:rPr>
        <w:t>agree with the assessment process proposed?</w:t>
      </w:r>
    </w:p>
    <w:p w14:paraId="25EA5886" w14:textId="77777777" w:rsidR="000630C2" w:rsidRDefault="000630C2" w:rsidP="000630C2">
      <w:pPr>
        <w:spacing w:after="0"/>
        <w:rPr>
          <w:rFonts w:cs="Arial"/>
        </w:rPr>
      </w:pPr>
    </w:p>
    <w:p w14:paraId="2A52DEF4" w14:textId="77777777" w:rsidR="000630C2" w:rsidRPr="00A77078" w:rsidRDefault="00FF0106" w:rsidP="000630C2">
      <w:sdt>
        <w:sdtPr>
          <w:id w:val="1245608161"/>
          <w14:checkbox>
            <w14:checked w14:val="0"/>
            <w14:checkedState w14:val="2612" w14:font="MS Gothic"/>
            <w14:uncheckedState w14:val="2610" w14:font="MS Gothic"/>
          </w14:checkbox>
        </w:sdtPr>
        <w:sdtContent>
          <w:r w:rsidR="000630C2">
            <w:rPr>
              <w:rFonts w:ascii="MS Gothic" w:eastAsia="MS Gothic" w:hAnsi="MS Gothic" w:hint="eastAsia"/>
            </w:rPr>
            <w:t>☐</w:t>
          </w:r>
        </w:sdtContent>
      </w:sdt>
      <w:r w:rsidR="000630C2">
        <w:t>Yes</w:t>
      </w:r>
      <w:r w:rsidR="000630C2">
        <w:tab/>
      </w:r>
      <w:r w:rsidR="000630C2">
        <w:tab/>
      </w:r>
      <w:sdt>
        <w:sdtPr>
          <w:id w:val="-1478144749"/>
          <w14:checkbox>
            <w14:checked w14:val="0"/>
            <w14:checkedState w14:val="2612" w14:font="MS Gothic"/>
            <w14:uncheckedState w14:val="2610" w14:font="MS Gothic"/>
          </w14:checkbox>
        </w:sdtPr>
        <w:sdtContent>
          <w:r w:rsidR="000630C2">
            <w:rPr>
              <w:rFonts w:ascii="MS Gothic" w:eastAsia="MS Gothic" w:hAnsi="MS Gothic" w:hint="eastAsia"/>
            </w:rPr>
            <w:t>☐</w:t>
          </w:r>
        </w:sdtContent>
      </w:sdt>
      <w:r w:rsidR="000630C2">
        <w:t>No</w:t>
      </w:r>
      <w:r w:rsidR="000630C2">
        <w:tab/>
      </w:r>
      <w:r w:rsidR="000630C2">
        <w:tab/>
      </w:r>
      <w:sdt>
        <w:sdtPr>
          <w:id w:val="805900949"/>
          <w14:checkbox>
            <w14:checked w14:val="0"/>
            <w14:checkedState w14:val="2612" w14:font="MS Gothic"/>
            <w14:uncheckedState w14:val="2610" w14:font="MS Gothic"/>
          </w14:checkbox>
        </w:sdtPr>
        <w:sdtContent>
          <w:r w:rsidR="000630C2">
            <w:rPr>
              <w:rFonts w:ascii="MS Gothic" w:eastAsia="MS Gothic" w:hAnsi="MS Gothic" w:hint="eastAsia"/>
            </w:rPr>
            <w:t>☐</w:t>
          </w:r>
        </w:sdtContent>
      </w:sdt>
      <w:r w:rsidR="000630C2">
        <w:t xml:space="preserve"> </w:t>
      </w:r>
      <w:proofErr w:type="gramStart"/>
      <w:r w:rsidR="000630C2">
        <w:t>Not</w:t>
      </w:r>
      <w:proofErr w:type="gramEnd"/>
      <w:r w:rsidR="000630C2">
        <w:t xml:space="preserve"> sure</w:t>
      </w:r>
    </w:p>
    <w:p w14:paraId="483FFB0D" w14:textId="77777777" w:rsidR="000630C2" w:rsidRDefault="000630C2" w:rsidP="000630C2">
      <w:pPr>
        <w:rPr>
          <w:rFonts w:cs="Arial"/>
        </w:rPr>
      </w:pPr>
      <w:r w:rsidRPr="00520A42">
        <w:rPr>
          <w:rFonts w:cs="Arial"/>
        </w:rPr>
        <w:t xml:space="preserve">Please </w:t>
      </w:r>
      <w:r>
        <w:rPr>
          <w:rFonts w:cs="Arial"/>
        </w:rPr>
        <w:t xml:space="preserve">outline your reasons and any alternative suggestions. The proposed process is set within a relatively tight timescale, reflected in the key dates included in Annex B. Responses should be framed within this context. </w:t>
      </w:r>
    </w:p>
    <w:p w14:paraId="4CBC54F1" w14:textId="77777777" w:rsidR="003327AA" w:rsidRDefault="003327AA" w:rsidP="000630C2">
      <w:pPr>
        <w:pStyle w:val="Question"/>
        <w:spacing w:after="0"/>
      </w:pPr>
    </w:p>
    <w:p w14:paraId="70137984" w14:textId="77777777" w:rsidR="003327AA" w:rsidRDefault="003327AA" w:rsidP="000630C2">
      <w:pPr>
        <w:pStyle w:val="Question"/>
        <w:spacing w:after="0"/>
      </w:pPr>
    </w:p>
    <w:p w14:paraId="598EF557" w14:textId="77777777" w:rsidR="000630C2" w:rsidRPr="00A77078" w:rsidRDefault="000630C2" w:rsidP="000630C2">
      <w:pPr>
        <w:pStyle w:val="Question"/>
        <w:spacing w:after="0"/>
        <w:rPr>
          <w:bCs/>
          <w:color w:val="009BBB"/>
          <w:sz w:val="26"/>
          <w:szCs w:val="26"/>
        </w:rPr>
      </w:pPr>
      <w:r>
        <w:t>Question 11</w:t>
      </w:r>
      <w:r w:rsidRPr="00720608">
        <w:t xml:space="preserve"> (</w:t>
      </w:r>
      <w:r>
        <w:t>Chapter 4</w:t>
      </w:r>
      <w:r w:rsidRPr="00720608">
        <w:t>)</w:t>
      </w:r>
    </w:p>
    <w:p w14:paraId="5C66FFB8" w14:textId="764586DB" w:rsidR="000630C2" w:rsidRDefault="000630C2" w:rsidP="000630C2">
      <w:pPr>
        <w:spacing w:after="0"/>
        <w:rPr>
          <w:rFonts w:cs="Arial"/>
        </w:rPr>
      </w:pPr>
      <w:r w:rsidRPr="00955EC9">
        <w:rPr>
          <w:rFonts w:cs="Arial"/>
        </w:rPr>
        <w:t>Do you agree that in the case of provi</w:t>
      </w:r>
      <w:r>
        <w:rPr>
          <w:rFonts w:cs="Arial"/>
        </w:rPr>
        <w:t>ders with less than three years</w:t>
      </w:r>
      <w:r w:rsidRPr="00955EC9">
        <w:rPr>
          <w:rFonts w:cs="Arial"/>
        </w:rPr>
        <w:t xml:space="preserve"> of core metrics, the duration of the award should reflect the number of </w:t>
      </w:r>
      <w:r w:rsidR="002A473D">
        <w:rPr>
          <w:rFonts w:cs="Arial"/>
        </w:rPr>
        <w:t>years of</w:t>
      </w:r>
      <w:r w:rsidRPr="00955EC9">
        <w:rPr>
          <w:rFonts w:cs="Arial"/>
        </w:rPr>
        <w:t xml:space="preserve"> core metrics available?  </w:t>
      </w:r>
    </w:p>
    <w:p w14:paraId="766D0C02" w14:textId="77777777" w:rsidR="000630C2" w:rsidRDefault="000630C2" w:rsidP="000630C2">
      <w:pPr>
        <w:spacing w:after="0"/>
        <w:rPr>
          <w:rFonts w:cs="Arial"/>
        </w:rPr>
      </w:pPr>
    </w:p>
    <w:p w14:paraId="5072A495" w14:textId="77777777" w:rsidR="000630C2" w:rsidRPr="00A77078" w:rsidRDefault="00FF0106" w:rsidP="000630C2">
      <w:sdt>
        <w:sdtPr>
          <w:id w:val="818148956"/>
          <w14:checkbox>
            <w14:checked w14:val="0"/>
            <w14:checkedState w14:val="2612" w14:font="MS Gothic"/>
            <w14:uncheckedState w14:val="2610" w14:font="MS Gothic"/>
          </w14:checkbox>
        </w:sdtPr>
        <w:sdtContent>
          <w:r w:rsidR="000630C2">
            <w:rPr>
              <w:rFonts w:ascii="MS Gothic" w:eastAsia="MS Gothic" w:hAnsi="MS Gothic" w:hint="eastAsia"/>
            </w:rPr>
            <w:t>☐</w:t>
          </w:r>
        </w:sdtContent>
      </w:sdt>
      <w:r w:rsidR="000630C2">
        <w:t>Yes</w:t>
      </w:r>
      <w:r w:rsidR="000630C2">
        <w:tab/>
      </w:r>
      <w:r w:rsidR="000630C2">
        <w:tab/>
      </w:r>
      <w:sdt>
        <w:sdtPr>
          <w:id w:val="-1718426861"/>
          <w14:checkbox>
            <w14:checked w14:val="0"/>
            <w14:checkedState w14:val="2612" w14:font="MS Gothic"/>
            <w14:uncheckedState w14:val="2610" w14:font="MS Gothic"/>
          </w14:checkbox>
        </w:sdtPr>
        <w:sdtContent>
          <w:r w:rsidR="000630C2">
            <w:rPr>
              <w:rFonts w:ascii="MS Gothic" w:eastAsia="MS Gothic" w:hAnsi="MS Gothic" w:hint="eastAsia"/>
            </w:rPr>
            <w:t>☐</w:t>
          </w:r>
        </w:sdtContent>
      </w:sdt>
      <w:r w:rsidR="000630C2">
        <w:t>No</w:t>
      </w:r>
      <w:r w:rsidR="000630C2">
        <w:tab/>
      </w:r>
      <w:r w:rsidR="000630C2">
        <w:tab/>
      </w:r>
      <w:sdt>
        <w:sdtPr>
          <w:id w:val="-1239249275"/>
          <w14:checkbox>
            <w14:checked w14:val="0"/>
            <w14:checkedState w14:val="2612" w14:font="MS Gothic"/>
            <w14:uncheckedState w14:val="2610" w14:font="MS Gothic"/>
          </w14:checkbox>
        </w:sdtPr>
        <w:sdtContent>
          <w:r w:rsidR="000630C2">
            <w:rPr>
              <w:rFonts w:ascii="MS Gothic" w:eastAsia="MS Gothic" w:hAnsi="MS Gothic" w:hint="eastAsia"/>
            </w:rPr>
            <w:t>☐</w:t>
          </w:r>
        </w:sdtContent>
      </w:sdt>
      <w:r w:rsidR="000630C2">
        <w:t xml:space="preserve"> </w:t>
      </w:r>
      <w:proofErr w:type="gramStart"/>
      <w:r w:rsidR="000630C2">
        <w:t>Not</w:t>
      </w:r>
      <w:proofErr w:type="gramEnd"/>
      <w:r w:rsidR="000630C2">
        <w:t xml:space="preserve"> sure</w:t>
      </w:r>
    </w:p>
    <w:p w14:paraId="5920CBB5" w14:textId="77777777" w:rsidR="000630C2" w:rsidRPr="00D35CEB" w:rsidRDefault="000630C2" w:rsidP="000630C2">
      <w:pPr>
        <w:rPr>
          <w:rFonts w:cs="Arial"/>
        </w:rPr>
      </w:pPr>
      <w:r w:rsidRPr="00520A42">
        <w:rPr>
          <w:rFonts w:cs="Arial"/>
        </w:rPr>
        <w:t xml:space="preserve">Please </w:t>
      </w:r>
      <w:r>
        <w:rPr>
          <w:rFonts w:cs="Arial"/>
        </w:rPr>
        <w:t xml:space="preserve">outline your reasons. </w:t>
      </w:r>
    </w:p>
    <w:p w14:paraId="3629A03C" w14:textId="77777777" w:rsidR="003327AA" w:rsidRDefault="003327AA" w:rsidP="000630C2">
      <w:pPr>
        <w:pStyle w:val="Question"/>
        <w:spacing w:after="0"/>
      </w:pPr>
    </w:p>
    <w:p w14:paraId="75F4EB32" w14:textId="77777777" w:rsidR="003327AA" w:rsidRDefault="003327AA" w:rsidP="000630C2">
      <w:pPr>
        <w:pStyle w:val="Question"/>
        <w:spacing w:after="0"/>
      </w:pPr>
    </w:p>
    <w:p w14:paraId="5A33C7F4" w14:textId="77777777" w:rsidR="000630C2" w:rsidRPr="00A77078" w:rsidRDefault="000630C2" w:rsidP="000630C2">
      <w:pPr>
        <w:pStyle w:val="Question"/>
        <w:spacing w:after="0"/>
        <w:rPr>
          <w:bCs/>
          <w:color w:val="009BBB"/>
          <w:sz w:val="26"/>
          <w:szCs w:val="26"/>
        </w:rPr>
      </w:pPr>
      <w:r>
        <w:t>Question 12</w:t>
      </w:r>
      <w:r w:rsidRPr="00720608">
        <w:t xml:space="preserve"> (</w:t>
      </w:r>
      <w:r>
        <w:t>Chapter 5</w:t>
      </w:r>
      <w:r w:rsidRPr="00720608">
        <w:t>)</w:t>
      </w:r>
    </w:p>
    <w:p w14:paraId="0F8AB662" w14:textId="77777777" w:rsidR="000630C2" w:rsidRDefault="000630C2" w:rsidP="000630C2">
      <w:pPr>
        <w:spacing w:after="0"/>
        <w:rPr>
          <w:rFonts w:cs="Arial"/>
        </w:rPr>
      </w:pPr>
      <w:r w:rsidRPr="00520A42">
        <w:rPr>
          <w:rFonts w:cs="Arial"/>
        </w:rPr>
        <w:t xml:space="preserve">Do you </w:t>
      </w:r>
      <w:r>
        <w:rPr>
          <w:rFonts w:cs="Arial"/>
        </w:rPr>
        <w:t xml:space="preserve">agree with the descriptions of the different TEF ratings proposed in Figure 9? </w:t>
      </w:r>
    </w:p>
    <w:p w14:paraId="57837FCD" w14:textId="77777777" w:rsidR="000630C2" w:rsidRDefault="000630C2" w:rsidP="000630C2">
      <w:pPr>
        <w:spacing w:after="0"/>
        <w:rPr>
          <w:rFonts w:cs="Arial"/>
        </w:rPr>
      </w:pPr>
    </w:p>
    <w:p w14:paraId="6ACAD022" w14:textId="77777777" w:rsidR="000630C2" w:rsidRPr="00A77078" w:rsidRDefault="00FF0106" w:rsidP="000630C2">
      <w:sdt>
        <w:sdtPr>
          <w:id w:val="465234254"/>
          <w14:checkbox>
            <w14:checked w14:val="0"/>
            <w14:checkedState w14:val="2612" w14:font="MS Gothic"/>
            <w14:uncheckedState w14:val="2610" w14:font="MS Gothic"/>
          </w14:checkbox>
        </w:sdtPr>
        <w:sdtContent>
          <w:r w:rsidR="000630C2">
            <w:rPr>
              <w:rFonts w:ascii="MS Gothic" w:eastAsia="MS Gothic" w:hAnsi="MS Gothic" w:hint="eastAsia"/>
            </w:rPr>
            <w:t>☐</w:t>
          </w:r>
        </w:sdtContent>
      </w:sdt>
      <w:r w:rsidR="000630C2">
        <w:t>Yes</w:t>
      </w:r>
      <w:r w:rsidR="000630C2">
        <w:tab/>
      </w:r>
      <w:r w:rsidR="000630C2">
        <w:tab/>
      </w:r>
      <w:sdt>
        <w:sdtPr>
          <w:id w:val="-785575012"/>
          <w14:checkbox>
            <w14:checked w14:val="0"/>
            <w14:checkedState w14:val="2612" w14:font="MS Gothic"/>
            <w14:uncheckedState w14:val="2610" w14:font="MS Gothic"/>
          </w14:checkbox>
        </w:sdtPr>
        <w:sdtContent>
          <w:r w:rsidR="000630C2">
            <w:rPr>
              <w:rFonts w:ascii="MS Gothic" w:eastAsia="MS Gothic" w:hAnsi="MS Gothic" w:hint="eastAsia"/>
            </w:rPr>
            <w:t>☐</w:t>
          </w:r>
        </w:sdtContent>
      </w:sdt>
      <w:r w:rsidR="000630C2">
        <w:t>No</w:t>
      </w:r>
      <w:r w:rsidR="000630C2">
        <w:tab/>
      </w:r>
      <w:r w:rsidR="000630C2">
        <w:tab/>
      </w:r>
      <w:sdt>
        <w:sdtPr>
          <w:id w:val="-2007740111"/>
          <w14:checkbox>
            <w14:checked w14:val="0"/>
            <w14:checkedState w14:val="2612" w14:font="MS Gothic"/>
            <w14:uncheckedState w14:val="2610" w14:font="MS Gothic"/>
          </w14:checkbox>
        </w:sdtPr>
        <w:sdtContent>
          <w:r w:rsidR="000630C2">
            <w:rPr>
              <w:rFonts w:ascii="MS Gothic" w:eastAsia="MS Gothic" w:hAnsi="MS Gothic" w:hint="eastAsia"/>
            </w:rPr>
            <w:t>☐</w:t>
          </w:r>
        </w:sdtContent>
      </w:sdt>
      <w:r w:rsidR="000630C2">
        <w:t xml:space="preserve"> </w:t>
      </w:r>
      <w:proofErr w:type="gramStart"/>
      <w:r w:rsidR="000630C2">
        <w:t>Not</w:t>
      </w:r>
      <w:proofErr w:type="gramEnd"/>
      <w:r w:rsidR="000630C2">
        <w:t xml:space="preserve"> sure</w:t>
      </w:r>
    </w:p>
    <w:p w14:paraId="019FA171" w14:textId="77777777" w:rsidR="000630C2" w:rsidRDefault="000630C2" w:rsidP="000630C2">
      <w:pPr>
        <w:rPr>
          <w:rFonts w:cs="Arial"/>
        </w:rPr>
      </w:pPr>
      <w:r w:rsidRPr="00520A42">
        <w:rPr>
          <w:rFonts w:cs="Arial"/>
        </w:rPr>
        <w:t xml:space="preserve">Please </w:t>
      </w:r>
      <w:r>
        <w:rPr>
          <w:rFonts w:cs="Arial"/>
        </w:rPr>
        <w:t xml:space="preserve">outline your reasons and any alternative suggestions. </w:t>
      </w:r>
    </w:p>
    <w:p w14:paraId="64010D8B" w14:textId="77777777" w:rsidR="000630C2" w:rsidRDefault="000630C2" w:rsidP="000630C2">
      <w:pPr>
        <w:rPr>
          <w:b/>
        </w:rPr>
      </w:pPr>
    </w:p>
    <w:p w14:paraId="17716EC2" w14:textId="77777777" w:rsidR="000630C2" w:rsidRDefault="000630C2" w:rsidP="000630C2">
      <w:r w:rsidRPr="00B0095C">
        <w:rPr>
          <w:b/>
        </w:rPr>
        <w:t>Thank you for taking the time to let us have your views.</w:t>
      </w:r>
      <w:r>
        <w:t xml:space="preserve"> </w:t>
      </w:r>
    </w:p>
    <w:p w14:paraId="75B2BE92" w14:textId="77777777" w:rsidR="000630C2" w:rsidRDefault="000630C2" w:rsidP="000630C2"/>
    <w:p w14:paraId="6545ECC9" w14:textId="77777777" w:rsidR="000630C2" w:rsidRPr="000950CF" w:rsidRDefault="000630C2" w:rsidP="000630C2">
      <w:r w:rsidRPr="000950CF">
        <w:lastRenderedPageBreak/>
        <w:t>We do not intend to acknowledge receipt of individual responses unless you tick the box below.</w:t>
      </w:r>
      <w:r>
        <w:t xml:space="preserve"> </w:t>
      </w:r>
    </w:p>
    <w:p w14:paraId="4699BDB3" w14:textId="77777777" w:rsidR="000630C2" w:rsidRDefault="000630C2" w:rsidP="000630C2">
      <w:r w:rsidRPr="000950CF">
        <w:t xml:space="preserve">Please acknowledge this reply </w:t>
      </w:r>
      <w:sdt>
        <w:sdtPr>
          <w:id w:val="48336270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30F5E56" w14:textId="77777777" w:rsidR="000630C2" w:rsidRPr="001700BE" w:rsidRDefault="000630C2" w:rsidP="000630C2">
      <w:r w:rsidRPr="001700BE">
        <w:t xml:space="preserve">At BIS we carry out our research on many different topics and consultations. As your views are </w:t>
      </w:r>
      <w:r>
        <w:t xml:space="preserve">valuable to us, would you be happy for us </w:t>
      </w:r>
      <w:r w:rsidRPr="001700BE">
        <w:t xml:space="preserve">to contact you again from time to time either for research or to send through consultation documents? </w:t>
      </w:r>
    </w:p>
    <w:p w14:paraId="4FA2C8B5" w14:textId="77777777" w:rsidR="000630C2" w:rsidRDefault="00FF0106" w:rsidP="000630C2">
      <w:sdt>
        <w:sdtPr>
          <w:id w:val="-1063721032"/>
          <w14:checkbox>
            <w14:checked w14:val="0"/>
            <w14:checkedState w14:val="2612" w14:font="MS Gothic"/>
            <w14:uncheckedState w14:val="2610" w14:font="MS Gothic"/>
          </w14:checkbox>
        </w:sdtPr>
        <w:sdtContent>
          <w:r w:rsidR="000630C2">
            <w:rPr>
              <w:rFonts w:ascii="MS Gothic" w:eastAsia="MS Gothic" w:hAnsi="MS Gothic" w:hint="eastAsia"/>
            </w:rPr>
            <w:t>☐</w:t>
          </w:r>
        </w:sdtContent>
      </w:sdt>
      <w:r w:rsidR="000630C2" w:rsidRPr="001700BE">
        <w:t xml:space="preserve">Yes    </w:t>
      </w:r>
      <w:r w:rsidR="000630C2" w:rsidRPr="001700BE">
        <w:tab/>
      </w:r>
      <w:r w:rsidR="000630C2" w:rsidRPr="001700BE">
        <w:tab/>
      </w:r>
      <w:sdt>
        <w:sdtPr>
          <w:id w:val="1045334061"/>
          <w14:checkbox>
            <w14:checked w14:val="0"/>
            <w14:checkedState w14:val="2612" w14:font="MS Gothic"/>
            <w14:uncheckedState w14:val="2610" w14:font="MS Gothic"/>
          </w14:checkbox>
        </w:sdtPr>
        <w:sdtContent>
          <w:r w:rsidR="000630C2">
            <w:rPr>
              <w:rFonts w:ascii="MS Gothic" w:eastAsia="MS Gothic" w:hAnsi="MS Gothic" w:hint="eastAsia"/>
            </w:rPr>
            <w:t>☐</w:t>
          </w:r>
        </w:sdtContent>
      </w:sdt>
      <w:r w:rsidR="000630C2" w:rsidRPr="001700BE">
        <w:t>No</w:t>
      </w:r>
    </w:p>
    <w:p w14:paraId="32FA9BD3" w14:textId="77777777" w:rsidR="000630C2" w:rsidRDefault="000630C2" w:rsidP="000630C2"/>
    <w:p w14:paraId="5338BFD9" w14:textId="77777777" w:rsidR="000630C2" w:rsidRDefault="000630C2" w:rsidP="000630C2"/>
    <w:p w14:paraId="4324CBA3" w14:textId="77777777" w:rsidR="000630C2" w:rsidRDefault="000630C2" w:rsidP="000630C2"/>
    <w:p w14:paraId="75A503F4" w14:textId="77777777" w:rsidR="000630C2" w:rsidRDefault="000630C2" w:rsidP="000630C2"/>
    <w:p w14:paraId="56959C61" w14:textId="77777777" w:rsidR="000630C2" w:rsidRDefault="000630C2" w:rsidP="000630C2"/>
    <w:p w14:paraId="449D0F14" w14:textId="77777777" w:rsidR="000630C2" w:rsidRDefault="000630C2" w:rsidP="000630C2"/>
    <w:p w14:paraId="585843F0" w14:textId="77777777" w:rsidR="000630C2" w:rsidRDefault="000630C2" w:rsidP="000630C2"/>
    <w:p w14:paraId="4FEFCF5B" w14:textId="77777777" w:rsidR="003327AA" w:rsidRDefault="003327AA" w:rsidP="000630C2"/>
    <w:p w14:paraId="3DF2A901" w14:textId="77777777" w:rsidR="003327AA" w:rsidRDefault="003327AA" w:rsidP="000630C2"/>
    <w:p w14:paraId="214A6820" w14:textId="77777777" w:rsidR="003327AA" w:rsidRDefault="003327AA" w:rsidP="000630C2"/>
    <w:p w14:paraId="3E896885" w14:textId="77777777" w:rsidR="003327AA" w:rsidRDefault="003327AA" w:rsidP="000630C2"/>
    <w:p w14:paraId="387B8870" w14:textId="77777777" w:rsidR="003327AA" w:rsidRDefault="003327AA" w:rsidP="000630C2"/>
    <w:p w14:paraId="762E0D85" w14:textId="77777777" w:rsidR="003327AA" w:rsidRDefault="003327AA" w:rsidP="000630C2"/>
    <w:p w14:paraId="5FC9A98A" w14:textId="77777777" w:rsidR="003327AA" w:rsidRDefault="003327AA" w:rsidP="000630C2"/>
    <w:p w14:paraId="567A07A5" w14:textId="77777777" w:rsidR="003327AA" w:rsidRDefault="003327AA" w:rsidP="000630C2"/>
    <w:p w14:paraId="22843017" w14:textId="77777777" w:rsidR="003327AA" w:rsidRDefault="003327AA" w:rsidP="000630C2"/>
    <w:p w14:paraId="4435B274" w14:textId="77777777" w:rsidR="003327AA" w:rsidRDefault="003327AA" w:rsidP="000630C2"/>
    <w:p w14:paraId="5B0BECA6" w14:textId="77777777" w:rsidR="003327AA" w:rsidRDefault="003327AA" w:rsidP="000630C2"/>
    <w:p w14:paraId="73827458" w14:textId="77777777" w:rsidR="003327AA" w:rsidRDefault="003327AA" w:rsidP="000630C2"/>
    <w:p w14:paraId="4D332794" w14:textId="77777777" w:rsidR="000630C2" w:rsidRDefault="000630C2" w:rsidP="000630C2">
      <w:pPr>
        <w:pStyle w:val="Heading2"/>
      </w:pPr>
      <w:bookmarkStart w:id="144" w:name="_Toc450148031"/>
      <w:bookmarkStart w:id="145" w:name="_Toc450886601"/>
      <w:r>
        <w:lastRenderedPageBreak/>
        <w:t>Annex I</w:t>
      </w:r>
      <w:r w:rsidRPr="00B10922">
        <w:t xml:space="preserve">: </w:t>
      </w:r>
      <w:r>
        <w:t>Acknowledgements</w:t>
      </w:r>
      <w:bookmarkEnd w:id="144"/>
      <w:bookmarkEnd w:id="145"/>
    </w:p>
    <w:p w14:paraId="3E8226FE" w14:textId="77777777" w:rsidR="000630C2" w:rsidRDefault="000630C2" w:rsidP="000630C2">
      <w:pPr>
        <w:spacing w:after="0"/>
        <w:rPr>
          <w:rFonts w:cs="Arial"/>
        </w:rPr>
      </w:pPr>
      <w:r>
        <w:rPr>
          <w:rFonts w:cs="Arial"/>
        </w:rPr>
        <w:t xml:space="preserve">In developing this set of proposals for the TEF, BIS worked with a TEF Delivery Group comprised of the leaders of the following </w:t>
      </w:r>
      <w:proofErr w:type="gramStart"/>
      <w:r>
        <w:rPr>
          <w:rFonts w:cs="Arial"/>
        </w:rPr>
        <w:t>organisations,</w:t>
      </w:r>
      <w:proofErr w:type="gramEnd"/>
      <w:r>
        <w:rPr>
          <w:rFonts w:cs="Arial"/>
        </w:rPr>
        <w:t xml:space="preserve"> and an allied TEF Working Group comprised of senior staff from each organisation:</w:t>
      </w:r>
    </w:p>
    <w:p w14:paraId="221EAA07" w14:textId="77777777" w:rsidR="000630C2" w:rsidRDefault="000630C2" w:rsidP="000630C2">
      <w:pPr>
        <w:spacing w:after="0"/>
        <w:rPr>
          <w:rFonts w:cs="Arial"/>
        </w:rPr>
      </w:pPr>
    </w:p>
    <w:p w14:paraId="0D6D9A86" w14:textId="77777777" w:rsidR="000630C2" w:rsidRDefault="000630C2" w:rsidP="000630C2">
      <w:pPr>
        <w:spacing w:after="0"/>
        <w:rPr>
          <w:rFonts w:cs="Arial"/>
        </w:rPr>
      </w:pPr>
      <w:r>
        <w:rPr>
          <w:rFonts w:cs="Arial"/>
        </w:rPr>
        <w:t>The Higher Education Funding Council for England (HEFCE)</w:t>
      </w:r>
    </w:p>
    <w:p w14:paraId="40CDC133" w14:textId="77777777" w:rsidR="000630C2" w:rsidRDefault="000630C2" w:rsidP="000630C2">
      <w:pPr>
        <w:spacing w:after="0"/>
        <w:rPr>
          <w:rFonts w:cs="Arial"/>
        </w:rPr>
      </w:pPr>
      <w:r>
        <w:rPr>
          <w:rFonts w:cs="Arial"/>
        </w:rPr>
        <w:t>The Quality Assurance Agency for Higher Education (QAA)</w:t>
      </w:r>
    </w:p>
    <w:p w14:paraId="3079960C" w14:textId="77777777" w:rsidR="000630C2" w:rsidRDefault="000630C2" w:rsidP="000630C2">
      <w:pPr>
        <w:spacing w:after="0"/>
        <w:rPr>
          <w:rFonts w:cs="Arial"/>
        </w:rPr>
      </w:pPr>
      <w:r>
        <w:rPr>
          <w:rFonts w:cs="Arial"/>
        </w:rPr>
        <w:t>The Higher Education Academy (HEA)</w:t>
      </w:r>
    </w:p>
    <w:p w14:paraId="437E2001" w14:textId="77777777" w:rsidR="000630C2" w:rsidRDefault="000630C2" w:rsidP="000630C2">
      <w:pPr>
        <w:spacing w:after="0"/>
        <w:rPr>
          <w:rFonts w:cs="Arial"/>
        </w:rPr>
      </w:pPr>
      <w:r>
        <w:rPr>
          <w:rFonts w:cs="Arial"/>
        </w:rPr>
        <w:t>The Office for Fair Access (OFFA)</w:t>
      </w:r>
    </w:p>
    <w:p w14:paraId="589E9171" w14:textId="77777777" w:rsidR="000630C2" w:rsidRDefault="000630C2" w:rsidP="000630C2">
      <w:pPr>
        <w:spacing w:after="0"/>
        <w:rPr>
          <w:rFonts w:cs="Arial"/>
        </w:rPr>
      </w:pPr>
      <w:r>
        <w:rPr>
          <w:rFonts w:cs="Arial"/>
        </w:rPr>
        <w:t>The Student Loans Company (SLC)</w:t>
      </w:r>
    </w:p>
    <w:p w14:paraId="563E760A" w14:textId="77777777" w:rsidR="000630C2" w:rsidRDefault="000630C2" w:rsidP="000630C2">
      <w:pPr>
        <w:spacing w:after="0"/>
        <w:rPr>
          <w:rFonts w:cs="Arial"/>
        </w:rPr>
      </w:pPr>
    </w:p>
    <w:p w14:paraId="35433D3E" w14:textId="77777777" w:rsidR="000630C2" w:rsidRDefault="000630C2" w:rsidP="000630C2">
      <w:pPr>
        <w:spacing w:after="0"/>
        <w:rPr>
          <w:rFonts w:cs="Arial"/>
        </w:rPr>
      </w:pPr>
      <w:r>
        <w:rPr>
          <w:rFonts w:cs="Arial"/>
        </w:rPr>
        <w:t>We are very grateful to the organisations and their staff for their input. We are also grateful to those organisations which had observer status on the TEF Delivery Group:</w:t>
      </w:r>
    </w:p>
    <w:p w14:paraId="6F9144AB" w14:textId="77777777" w:rsidR="000630C2" w:rsidRDefault="000630C2" w:rsidP="000630C2">
      <w:pPr>
        <w:spacing w:after="0"/>
        <w:rPr>
          <w:rFonts w:cs="Arial"/>
        </w:rPr>
      </w:pPr>
    </w:p>
    <w:p w14:paraId="33044976" w14:textId="77777777" w:rsidR="000630C2" w:rsidRDefault="000630C2" w:rsidP="000630C2">
      <w:pPr>
        <w:spacing w:after="0"/>
        <w:rPr>
          <w:rFonts w:cs="Arial"/>
        </w:rPr>
      </w:pPr>
      <w:r>
        <w:rPr>
          <w:rFonts w:cs="Arial"/>
        </w:rPr>
        <w:t>Universities UK (UUK)</w:t>
      </w:r>
    </w:p>
    <w:p w14:paraId="4682F8BA" w14:textId="77777777" w:rsidR="000630C2" w:rsidRDefault="000630C2" w:rsidP="000630C2">
      <w:pPr>
        <w:spacing w:after="0"/>
        <w:rPr>
          <w:rFonts w:cs="Arial"/>
        </w:rPr>
      </w:pPr>
      <w:proofErr w:type="spellStart"/>
      <w:r>
        <w:rPr>
          <w:rFonts w:cs="Arial"/>
        </w:rPr>
        <w:t>GuildHE</w:t>
      </w:r>
      <w:proofErr w:type="spellEnd"/>
      <w:r>
        <w:rPr>
          <w:rFonts w:cs="Arial"/>
        </w:rPr>
        <w:t xml:space="preserve"> </w:t>
      </w:r>
    </w:p>
    <w:p w14:paraId="298CCEA4" w14:textId="77777777" w:rsidR="000630C2" w:rsidRDefault="000630C2" w:rsidP="000630C2">
      <w:pPr>
        <w:spacing w:after="0"/>
        <w:rPr>
          <w:rFonts w:cs="Arial"/>
        </w:rPr>
      </w:pPr>
    </w:p>
    <w:p w14:paraId="41942DC2" w14:textId="6CAC3CD9" w:rsidR="00113188" w:rsidRDefault="000630C2" w:rsidP="000630C2">
      <w:pPr>
        <w:spacing w:after="0"/>
        <w:rPr>
          <w:rFonts w:cs="Arial"/>
        </w:rPr>
        <w:sectPr w:rsidR="00113188" w:rsidSect="000630C2">
          <w:pgSz w:w="11906" w:h="16838" w:code="9"/>
          <w:pgMar w:top="1701" w:right="1134" w:bottom="1134" w:left="1134" w:header="437" w:footer="266" w:gutter="0"/>
          <w:cols w:space="720"/>
          <w:titlePg/>
          <w:docGrid w:linePitch="326"/>
        </w:sectPr>
      </w:pPr>
      <w:r>
        <w:rPr>
          <w:rFonts w:cs="Arial"/>
        </w:rPr>
        <w:t>We would also like to acknowledge and thank the wide range of individuals and organisations who offered insight and input into the development of the proposals in this via the Green Paper consultation. This included participation in expert and advisory groups, roundtable events, a</w:t>
      </w:r>
      <w:r w:rsidR="00113188">
        <w:rPr>
          <w:rFonts w:cs="Arial"/>
        </w:rPr>
        <w:t>nd via the online consultation.</w:t>
      </w:r>
    </w:p>
    <w:p w14:paraId="26A734B7" w14:textId="77777777" w:rsidR="00113188" w:rsidRDefault="00113188" w:rsidP="000630C2">
      <w:pPr>
        <w:pStyle w:val="EndpageText"/>
      </w:pPr>
    </w:p>
    <w:p w14:paraId="779E08E6" w14:textId="77777777" w:rsidR="00113188" w:rsidRDefault="00113188" w:rsidP="000630C2">
      <w:pPr>
        <w:pStyle w:val="EndpageText"/>
      </w:pPr>
    </w:p>
    <w:p w14:paraId="04C85725" w14:textId="77777777" w:rsidR="00113188" w:rsidRDefault="00113188" w:rsidP="000630C2">
      <w:pPr>
        <w:pStyle w:val="EndpageText"/>
      </w:pPr>
    </w:p>
    <w:p w14:paraId="14C3D606" w14:textId="77777777" w:rsidR="00113188" w:rsidRDefault="00113188" w:rsidP="000630C2">
      <w:pPr>
        <w:pStyle w:val="EndpageText"/>
      </w:pPr>
    </w:p>
    <w:p w14:paraId="37F664C5" w14:textId="77777777" w:rsidR="00113188" w:rsidRDefault="00113188" w:rsidP="000630C2">
      <w:pPr>
        <w:pStyle w:val="EndpageText"/>
      </w:pPr>
    </w:p>
    <w:p w14:paraId="0284A313" w14:textId="77777777" w:rsidR="00113188" w:rsidRDefault="00113188" w:rsidP="000630C2">
      <w:pPr>
        <w:pStyle w:val="EndpageText"/>
      </w:pPr>
    </w:p>
    <w:p w14:paraId="3570CAA6" w14:textId="77777777" w:rsidR="00113188" w:rsidRDefault="00113188" w:rsidP="000630C2">
      <w:pPr>
        <w:pStyle w:val="EndpageText"/>
      </w:pPr>
    </w:p>
    <w:p w14:paraId="431B055E" w14:textId="77777777" w:rsidR="00113188" w:rsidRDefault="00113188" w:rsidP="000630C2">
      <w:pPr>
        <w:pStyle w:val="EndpageText"/>
      </w:pPr>
    </w:p>
    <w:p w14:paraId="7EA9C76E" w14:textId="77777777" w:rsidR="00113188" w:rsidRDefault="00113188" w:rsidP="000630C2">
      <w:pPr>
        <w:pStyle w:val="EndpageText"/>
      </w:pPr>
    </w:p>
    <w:p w14:paraId="5254B076" w14:textId="77777777" w:rsidR="00113188" w:rsidRDefault="00113188" w:rsidP="000630C2">
      <w:pPr>
        <w:pStyle w:val="EndpageText"/>
      </w:pPr>
    </w:p>
    <w:p w14:paraId="16026F1E" w14:textId="77777777" w:rsidR="00113188" w:rsidRDefault="00113188" w:rsidP="000630C2">
      <w:pPr>
        <w:pStyle w:val="EndpageText"/>
      </w:pPr>
    </w:p>
    <w:p w14:paraId="766D99FA" w14:textId="77777777" w:rsidR="00113188" w:rsidRDefault="00113188" w:rsidP="000630C2">
      <w:pPr>
        <w:pStyle w:val="EndpageText"/>
      </w:pPr>
    </w:p>
    <w:p w14:paraId="65B901FB" w14:textId="77777777" w:rsidR="00113188" w:rsidRDefault="00113188" w:rsidP="000630C2">
      <w:pPr>
        <w:pStyle w:val="EndpageText"/>
      </w:pPr>
    </w:p>
    <w:p w14:paraId="058DE543" w14:textId="77777777" w:rsidR="00113188" w:rsidRDefault="00113188" w:rsidP="000630C2">
      <w:pPr>
        <w:pStyle w:val="EndpageText"/>
      </w:pPr>
    </w:p>
    <w:p w14:paraId="2FA0DE1C" w14:textId="77777777" w:rsidR="00113188" w:rsidRDefault="00113188" w:rsidP="000630C2">
      <w:pPr>
        <w:pStyle w:val="EndpageText"/>
      </w:pPr>
    </w:p>
    <w:p w14:paraId="49759670" w14:textId="77777777" w:rsidR="00113188" w:rsidRDefault="00113188" w:rsidP="000630C2">
      <w:pPr>
        <w:pStyle w:val="EndpageText"/>
      </w:pPr>
    </w:p>
    <w:p w14:paraId="3F191E5B" w14:textId="77777777" w:rsidR="00113188" w:rsidRDefault="00113188" w:rsidP="000630C2">
      <w:pPr>
        <w:pStyle w:val="EndpageText"/>
      </w:pPr>
    </w:p>
    <w:p w14:paraId="41AE5077" w14:textId="77777777" w:rsidR="00113188" w:rsidRDefault="00113188" w:rsidP="000630C2">
      <w:pPr>
        <w:pStyle w:val="EndpageText"/>
      </w:pPr>
    </w:p>
    <w:p w14:paraId="5751C30A" w14:textId="77777777" w:rsidR="00113188" w:rsidRDefault="00113188" w:rsidP="000630C2">
      <w:pPr>
        <w:pStyle w:val="EndpageText"/>
      </w:pPr>
    </w:p>
    <w:p w14:paraId="76B4405B" w14:textId="77777777" w:rsidR="00113188" w:rsidRDefault="00113188" w:rsidP="000630C2">
      <w:pPr>
        <w:pStyle w:val="EndpageText"/>
      </w:pPr>
    </w:p>
    <w:p w14:paraId="7C15C835" w14:textId="77777777" w:rsidR="00113188" w:rsidRDefault="00113188" w:rsidP="000630C2">
      <w:pPr>
        <w:pStyle w:val="EndpageText"/>
      </w:pPr>
    </w:p>
    <w:p w14:paraId="46292F5C" w14:textId="77777777" w:rsidR="000630C2" w:rsidRPr="0009521D" w:rsidRDefault="000630C2" w:rsidP="000630C2">
      <w:pPr>
        <w:pStyle w:val="EndpageText"/>
      </w:pPr>
      <w:r w:rsidRPr="0009521D">
        <w:rPr>
          <w:noProof/>
          <w:lang w:eastAsia="en-GB"/>
        </w:rPr>
        <w:drawing>
          <wp:anchor distT="0" distB="0" distL="114300" distR="114300" simplePos="0" relativeHeight="251680768" behindDoc="0" locked="0" layoutInCell="1" allowOverlap="1" wp14:anchorId="5801AF8F" wp14:editId="20A64B4E">
            <wp:simplePos x="0" y="0"/>
            <wp:positionH relativeFrom="column">
              <wp:posOffset>-6985</wp:posOffset>
            </wp:positionH>
            <wp:positionV relativeFrom="paragraph">
              <wp:posOffset>-465455</wp:posOffset>
            </wp:positionV>
            <wp:extent cx="791845" cy="320040"/>
            <wp:effectExtent l="0" t="0" r="8255" b="3810"/>
            <wp:wrapSquare wrapText="bothSides"/>
            <wp:docPr id="11" name="Picture 11" descr="Open Government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taff\rwdd\OGL_Logo.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91845" cy="320040"/>
                    </a:xfrm>
                    <a:prstGeom prst="rect">
                      <a:avLst/>
                    </a:prstGeom>
                    <a:noFill/>
                    <a:ln>
                      <a:noFill/>
                    </a:ln>
                  </pic:spPr>
                </pic:pic>
              </a:graphicData>
            </a:graphic>
          </wp:anchor>
        </w:drawing>
      </w:r>
      <w:r w:rsidRPr="0009521D">
        <w:t>© Crown copyright 2016</w:t>
      </w:r>
    </w:p>
    <w:p w14:paraId="350AC326" w14:textId="77777777" w:rsidR="000630C2" w:rsidRDefault="000630C2" w:rsidP="000630C2">
      <w:pPr>
        <w:pStyle w:val="EndpageText"/>
        <w:rPr>
          <w:szCs w:val="20"/>
        </w:rPr>
      </w:pPr>
      <w:r w:rsidRPr="0031038D">
        <w:rPr>
          <w:szCs w:val="20"/>
        </w:rPr>
        <w:t>This publication is licensed under the terms of the Open Government Licence v3.0 except where otherwise stated. To view this licence, visit </w:t>
      </w:r>
      <w:hyperlink r:id="rId25" w:history="1">
        <w:r w:rsidRPr="0031038D">
          <w:rPr>
            <w:rStyle w:val="Hyperlink"/>
            <w:szCs w:val="20"/>
          </w:rPr>
          <w:t>nationalarchives.gov.uk/doc/open-government-licence/version/3</w:t>
        </w:r>
      </w:hyperlink>
      <w:r w:rsidRPr="0031038D">
        <w:rPr>
          <w:szCs w:val="20"/>
        </w:rPr>
        <w:t> or write to the Information Policy Team, The National Archives, Kew, London TW9 4DU, or email: </w:t>
      </w:r>
      <w:hyperlink r:id="rId26" w:history="1">
        <w:r w:rsidRPr="0031038D">
          <w:rPr>
            <w:rStyle w:val="Hyperlink"/>
            <w:szCs w:val="20"/>
          </w:rPr>
          <w:t>psi@nationalarchives.gsi.gov.uk</w:t>
        </w:r>
      </w:hyperlink>
      <w:r w:rsidRPr="0031038D">
        <w:rPr>
          <w:szCs w:val="20"/>
        </w:rPr>
        <w:t>.Where we have identified any third party copyright information you will need to obtain permission from the copyright holders concerned.</w:t>
      </w:r>
    </w:p>
    <w:p w14:paraId="78ED63C4" w14:textId="77777777" w:rsidR="000630C2" w:rsidRDefault="000630C2" w:rsidP="000630C2">
      <w:pPr>
        <w:pStyle w:val="EndpageText"/>
        <w:rPr>
          <w:szCs w:val="20"/>
        </w:rPr>
      </w:pPr>
      <w:r w:rsidRPr="00DB3212">
        <w:rPr>
          <w:szCs w:val="20"/>
        </w:rPr>
        <w:t xml:space="preserve">This publication available from </w:t>
      </w:r>
      <w:hyperlink r:id="rId27" w:history="1">
        <w:r w:rsidRPr="00DB3212">
          <w:rPr>
            <w:rStyle w:val="Hyperlink"/>
            <w:szCs w:val="20"/>
          </w:rPr>
          <w:t>www.gov.uk/bis</w:t>
        </w:r>
      </w:hyperlink>
      <w:r w:rsidRPr="00DB3212">
        <w:rPr>
          <w:szCs w:val="20"/>
        </w:rPr>
        <w:t xml:space="preserve"> </w:t>
      </w:r>
    </w:p>
    <w:p w14:paraId="461943AC" w14:textId="77777777" w:rsidR="000630C2" w:rsidRPr="00DB3212" w:rsidRDefault="000630C2" w:rsidP="000630C2">
      <w:pPr>
        <w:pStyle w:val="EndpageText"/>
        <w:rPr>
          <w:szCs w:val="20"/>
        </w:rPr>
      </w:pPr>
      <w:r w:rsidRPr="00DB3212">
        <w:rPr>
          <w:szCs w:val="20"/>
        </w:rPr>
        <w:t>Contacts us if you have any enquiries about this publication, including requests for alternative formats</w:t>
      </w:r>
      <w:r>
        <w:rPr>
          <w:szCs w:val="20"/>
        </w:rPr>
        <w:t>,</w:t>
      </w:r>
      <w:r w:rsidRPr="00DB3212">
        <w:rPr>
          <w:szCs w:val="20"/>
        </w:rPr>
        <w:t xml:space="preserve"> at:</w:t>
      </w:r>
    </w:p>
    <w:p w14:paraId="524605DC" w14:textId="77777777" w:rsidR="000630C2" w:rsidRDefault="000630C2" w:rsidP="000630C2">
      <w:pPr>
        <w:pStyle w:val="EndpageText"/>
        <w:rPr>
          <w:szCs w:val="20"/>
        </w:rPr>
      </w:pPr>
      <w:r w:rsidRPr="00DB3212">
        <w:rPr>
          <w:szCs w:val="20"/>
        </w:rPr>
        <w:t>Department for Business, Innovation and Skills</w:t>
      </w:r>
      <w:r>
        <w:rPr>
          <w:szCs w:val="20"/>
        </w:rPr>
        <w:br/>
      </w:r>
      <w:r w:rsidRPr="00DB3212">
        <w:rPr>
          <w:szCs w:val="20"/>
        </w:rPr>
        <w:t>1 Victoria Street</w:t>
      </w:r>
      <w:r>
        <w:rPr>
          <w:szCs w:val="20"/>
        </w:rPr>
        <w:br/>
      </w:r>
      <w:r w:rsidRPr="00DB3212">
        <w:rPr>
          <w:szCs w:val="20"/>
        </w:rPr>
        <w:t>London SW1H 0ET</w:t>
      </w:r>
      <w:r>
        <w:rPr>
          <w:szCs w:val="20"/>
        </w:rPr>
        <w:br/>
      </w:r>
      <w:r w:rsidRPr="00DB3212">
        <w:rPr>
          <w:szCs w:val="20"/>
        </w:rPr>
        <w:t>Tel: 020 7215 5000</w:t>
      </w:r>
    </w:p>
    <w:p w14:paraId="635BA3BC" w14:textId="77777777" w:rsidR="000630C2" w:rsidRPr="0009521D" w:rsidRDefault="000630C2" w:rsidP="000630C2">
      <w:pPr>
        <w:pStyle w:val="EndpageText"/>
        <w:rPr>
          <w:szCs w:val="20"/>
        </w:rPr>
      </w:pPr>
      <w:r w:rsidRPr="00DB3212">
        <w:rPr>
          <w:szCs w:val="20"/>
        </w:rPr>
        <w:t xml:space="preserve">Email: </w:t>
      </w:r>
      <w:hyperlink r:id="rId28" w:history="1">
        <w:r w:rsidRPr="00DB3212">
          <w:rPr>
            <w:rStyle w:val="Hyperlink"/>
            <w:szCs w:val="20"/>
          </w:rPr>
          <w:t>enquiries@bis.gsi.gov.uk</w:t>
        </w:r>
      </w:hyperlink>
    </w:p>
    <w:p w14:paraId="1BC53056" w14:textId="4883E0C4" w:rsidR="00560CEF" w:rsidRPr="00113188" w:rsidRDefault="000630C2" w:rsidP="00113188">
      <w:pPr>
        <w:pStyle w:val="URN"/>
        <w:rPr>
          <w:bCs/>
        </w:rPr>
      </w:pPr>
      <w:r w:rsidRPr="00046598">
        <w:t>BIS/16/262</w:t>
      </w:r>
    </w:p>
    <w:sectPr w:rsidR="00560CEF" w:rsidRPr="00113188" w:rsidSect="00113188">
      <w:pgSz w:w="11906" w:h="16838" w:code="9"/>
      <w:pgMar w:top="1701" w:right="1134" w:bottom="1134" w:left="1134" w:header="437" w:footer="26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73E65" w14:textId="77777777" w:rsidR="00FF0106" w:rsidRDefault="00FF0106" w:rsidP="006E38F3">
      <w:pPr>
        <w:spacing w:after="0"/>
      </w:pPr>
      <w:r>
        <w:separator/>
      </w:r>
    </w:p>
  </w:endnote>
  <w:endnote w:type="continuationSeparator" w:id="0">
    <w:p w14:paraId="4B6185E9" w14:textId="77777777" w:rsidR="00FF0106" w:rsidRDefault="00FF0106" w:rsidP="006E38F3">
      <w:pPr>
        <w:spacing w:after="0"/>
      </w:pPr>
      <w:r>
        <w:continuationSeparator/>
      </w:r>
    </w:p>
  </w:endnote>
  <w:endnote w:type="continuationNotice" w:id="1">
    <w:p w14:paraId="7A1AE152" w14:textId="77777777" w:rsidR="00FF0106" w:rsidRDefault="00FF010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E9C3B" w14:textId="77777777" w:rsidR="00FF0106" w:rsidRDefault="00FF0106" w:rsidP="00D25990">
    <w:pPr>
      <w:pStyle w:val="EvenPageNumber"/>
      <w:jc w:val="right"/>
    </w:pPr>
    <w:r w:rsidRPr="003966DE">
      <w:rPr>
        <w:rFonts w:cs="Arial"/>
      </w:rPr>
      <w:fldChar w:fldCharType="begin"/>
    </w:r>
    <w:r w:rsidRPr="003966DE">
      <w:rPr>
        <w:rFonts w:cs="Arial"/>
      </w:rPr>
      <w:instrText xml:space="preserve">PAGE  </w:instrText>
    </w:r>
    <w:r w:rsidRPr="003966DE">
      <w:rPr>
        <w:rFonts w:cs="Arial"/>
      </w:rPr>
      <w:fldChar w:fldCharType="separate"/>
    </w:r>
    <w:r>
      <w:rPr>
        <w:rFonts w:cs="Arial"/>
        <w:noProof/>
      </w:rPr>
      <w:t>6</w:t>
    </w:r>
    <w:r w:rsidRPr="003966DE">
      <w:rP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F2AAB" w14:textId="77777777" w:rsidR="00FF0106" w:rsidRPr="00C57D6B" w:rsidRDefault="00FF0106" w:rsidP="00D25990">
    <w:pPr>
      <w:jc w:val="right"/>
      <w:rPr>
        <w:rStyle w:val="PageNumber"/>
      </w:rPr>
    </w:pPr>
    <w:r w:rsidRPr="00C57D6B">
      <w:rPr>
        <w:rStyle w:val="PageNumber"/>
      </w:rPr>
      <w:fldChar w:fldCharType="begin"/>
    </w:r>
    <w:r w:rsidRPr="00C57D6B">
      <w:rPr>
        <w:rStyle w:val="PageNumber"/>
      </w:rPr>
      <w:instrText xml:space="preserve">PAGE  </w:instrText>
    </w:r>
    <w:r w:rsidRPr="00C57D6B">
      <w:rPr>
        <w:rStyle w:val="PageNumber"/>
      </w:rPr>
      <w:fldChar w:fldCharType="separate"/>
    </w:r>
    <w:r w:rsidR="00CC63F1">
      <w:rPr>
        <w:rStyle w:val="PageNumber"/>
        <w:noProof/>
      </w:rPr>
      <w:t>3</w:t>
    </w:r>
    <w:r w:rsidRPr="00C57D6B">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6CC69" w14:textId="77777777" w:rsidR="00FF0106" w:rsidRDefault="00FF0106" w:rsidP="006E38F3">
      <w:pPr>
        <w:spacing w:after="0"/>
      </w:pPr>
      <w:r>
        <w:separator/>
      </w:r>
    </w:p>
  </w:footnote>
  <w:footnote w:type="continuationSeparator" w:id="0">
    <w:p w14:paraId="6808A424" w14:textId="77777777" w:rsidR="00FF0106" w:rsidRDefault="00FF0106" w:rsidP="006E38F3">
      <w:pPr>
        <w:spacing w:after="0"/>
      </w:pPr>
      <w:r>
        <w:continuationSeparator/>
      </w:r>
    </w:p>
  </w:footnote>
  <w:footnote w:type="continuationNotice" w:id="1">
    <w:p w14:paraId="1453F6DA" w14:textId="77777777" w:rsidR="00FF0106" w:rsidRDefault="00FF0106">
      <w:pPr>
        <w:spacing w:after="0"/>
      </w:pPr>
    </w:p>
  </w:footnote>
  <w:footnote w:id="2">
    <w:p w14:paraId="2FDAA0BC" w14:textId="77777777" w:rsidR="00FF0106" w:rsidRPr="00426357" w:rsidRDefault="00FF0106">
      <w:pPr>
        <w:pStyle w:val="FootnoteText"/>
        <w:rPr>
          <w:rFonts w:ascii="Arial" w:hAnsi="Arial" w:cs="Arial"/>
          <w:sz w:val="16"/>
          <w:szCs w:val="16"/>
        </w:rPr>
      </w:pPr>
      <w:r w:rsidRPr="00426357">
        <w:rPr>
          <w:rStyle w:val="FootnoteReference"/>
          <w:rFonts w:ascii="Arial" w:hAnsi="Arial" w:cs="Arial"/>
          <w:sz w:val="16"/>
          <w:szCs w:val="16"/>
        </w:rPr>
        <w:footnoteRef/>
      </w:r>
      <w:r w:rsidRPr="00426357">
        <w:rPr>
          <w:rFonts w:ascii="Arial" w:hAnsi="Arial" w:cs="Arial"/>
          <w:sz w:val="16"/>
          <w:szCs w:val="16"/>
        </w:rPr>
        <w:t xml:space="preserve"> The Devolved Administrations have confirmed that providers in Wales, Northern Ireland and Scotland will take part in the TEF in Year One.</w:t>
      </w:r>
    </w:p>
  </w:footnote>
  <w:footnote w:id="3">
    <w:p w14:paraId="71551580" w14:textId="77777777" w:rsidR="00FF0106" w:rsidRPr="00AB2371" w:rsidRDefault="00FF0106">
      <w:pPr>
        <w:pStyle w:val="FootnoteText"/>
        <w:rPr>
          <w:rFonts w:ascii="Arial" w:hAnsi="Arial" w:cs="Arial"/>
          <w:sz w:val="16"/>
          <w:szCs w:val="16"/>
        </w:rPr>
      </w:pPr>
      <w:r w:rsidRPr="00426357">
        <w:rPr>
          <w:rStyle w:val="FootnoteReference"/>
          <w:rFonts w:ascii="Arial" w:hAnsi="Arial" w:cs="Arial"/>
          <w:sz w:val="16"/>
          <w:szCs w:val="16"/>
        </w:rPr>
        <w:footnoteRef/>
      </w:r>
      <w:r w:rsidRPr="00426357">
        <w:rPr>
          <w:rFonts w:ascii="Arial" w:hAnsi="Arial" w:cs="Arial"/>
          <w:sz w:val="16"/>
          <w:szCs w:val="16"/>
        </w:rPr>
        <w:t xml:space="preserve"> We recognise that not all students will follow a traditional pattern of entry and may apply for courses starting at different times during the academic year</w:t>
      </w:r>
    </w:p>
  </w:footnote>
  <w:footnote w:id="4">
    <w:p w14:paraId="0F47EF6B" w14:textId="55B899B0" w:rsidR="00FF0106" w:rsidRPr="00C3711A" w:rsidRDefault="00FF0106">
      <w:pPr>
        <w:pStyle w:val="FootnoteText"/>
        <w:rPr>
          <w:rFonts w:ascii="Arial" w:hAnsi="Arial" w:cs="Arial"/>
          <w:bCs/>
          <w:sz w:val="16"/>
          <w:szCs w:val="16"/>
        </w:rPr>
      </w:pPr>
      <w:r>
        <w:rPr>
          <w:rStyle w:val="FootnoteReference"/>
        </w:rPr>
        <w:footnoteRef/>
      </w:r>
      <w:r>
        <w:t xml:space="preserve"> </w:t>
      </w:r>
      <w:r w:rsidRPr="00A44F4C">
        <w:rPr>
          <w:rFonts w:ascii="Arial" w:hAnsi="Arial" w:cs="Arial"/>
          <w:bCs/>
          <w:sz w:val="16"/>
          <w:szCs w:val="16"/>
        </w:rPr>
        <w:t>Teaching Quality: Sur</w:t>
      </w:r>
      <w:r>
        <w:rPr>
          <w:rFonts w:ascii="Arial" w:hAnsi="Arial" w:cs="Arial"/>
          <w:bCs/>
          <w:sz w:val="16"/>
          <w:szCs w:val="16"/>
        </w:rPr>
        <w:t>vey of Applicants and Graduates</w:t>
      </w:r>
    </w:p>
  </w:footnote>
  <w:footnote w:id="5">
    <w:p w14:paraId="07EDE3AB" w14:textId="7CFEFE24" w:rsidR="00FF0106" w:rsidRPr="00C3711A" w:rsidRDefault="00FF0106">
      <w:pPr>
        <w:pStyle w:val="FootnoteText"/>
        <w:rPr>
          <w:rFonts w:ascii="Arial" w:hAnsi="Arial" w:cs="Arial"/>
          <w:sz w:val="16"/>
          <w:szCs w:val="16"/>
        </w:rPr>
      </w:pPr>
      <w:r>
        <w:rPr>
          <w:rStyle w:val="FootnoteReference"/>
        </w:rPr>
        <w:footnoteRef/>
      </w:r>
      <w:r>
        <w:t xml:space="preserve"> </w:t>
      </w:r>
      <w:r w:rsidRPr="00C3711A">
        <w:rPr>
          <w:rFonts w:ascii="Arial" w:hAnsi="Arial" w:cs="Arial"/>
          <w:bCs/>
          <w:sz w:val="16"/>
          <w:szCs w:val="16"/>
        </w:rPr>
        <w:t xml:space="preserve">Teaching Quality in Higher Education: Literature </w:t>
      </w:r>
      <w:r>
        <w:rPr>
          <w:rFonts w:ascii="Arial" w:hAnsi="Arial" w:cs="Arial"/>
          <w:bCs/>
          <w:sz w:val="16"/>
          <w:szCs w:val="16"/>
        </w:rPr>
        <w:t>Review and Qualitative Research</w:t>
      </w:r>
    </w:p>
  </w:footnote>
  <w:footnote w:id="6">
    <w:p w14:paraId="6826BB18" w14:textId="77777777" w:rsidR="00FF0106" w:rsidRPr="00772C62" w:rsidRDefault="00FF0106">
      <w:pPr>
        <w:pStyle w:val="FootnoteText"/>
        <w:rPr>
          <w:rFonts w:ascii="Arial" w:hAnsi="Arial" w:cs="Arial"/>
          <w:sz w:val="16"/>
          <w:szCs w:val="16"/>
        </w:rPr>
      </w:pPr>
      <w:r w:rsidRPr="00772C62">
        <w:rPr>
          <w:rStyle w:val="FootnoteReference"/>
          <w:rFonts w:ascii="Arial" w:hAnsi="Arial" w:cs="Arial"/>
          <w:sz w:val="16"/>
          <w:szCs w:val="16"/>
        </w:rPr>
        <w:footnoteRef/>
      </w:r>
      <w:r w:rsidRPr="00772C62">
        <w:rPr>
          <w:rFonts w:ascii="Arial" w:hAnsi="Arial" w:cs="Arial"/>
          <w:sz w:val="16"/>
          <w:szCs w:val="16"/>
        </w:rPr>
        <w:t xml:space="preserve"> HEFCE learning gain pilots. Available at: </w:t>
      </w:r>
      <w:hyperlink r:id="rId1" w:history="1">
        <w:r w:rsidRPr="00772C62">
          <w:rPr>
            <w:rStyle w:val="Hyperlink"/>
            <w:rFonts w:cs="Arial"/>
            <w:sz w:val="16"/>
            <w:szCs w:val="16"/>
          </w:rPr>
          <w:t>http://www.hefce.ac.uk/lt/lg/</w:t>
        </w:r>
      </w:hyperlink>
      <w:r w:rsidRPr="00772C62">
        <w:rPr>
          <w:rFonts w:ascii="Arial" w:hAnsi="Arial" w:cs="Arial"/>
          <w:sz w:val="16"/>
          <w:szCs w:val="16"/>
        </w:rPr>
        <w:t xml:space="preserve"> </w:t>
      </w:r>
    </w:p>
  </w:footnote>
  <w:footnote w:id="7">
    <w:p w14:paraId="30E481A1" w14:textId="40D55076" w:rsidR="00FF0106" w:rsidRPr="004D294A" w:rsidRDefault="00FF0106" w:rsidP="004455F1">
      <w:pPr>
        <w:pStyle w:val="FootnoteText"/>
        <w:rPr>
          <w:rFonts w:ascii="Arial" w:hAnsi="Arial" w:cs="Arial"/>
          <w:sz w:val="18"/>
          <w:szCs w:val="18"/>
        </w:rPr>
      </w:pPr>
      <w:r w:rsidRPr="00772C62">
        <w:rPr>
          <w:rStyle w:val="FootnoteReference"/>
          <w:rFonts w:ascii="Arial" w:hAnsi="Arial" w:cs="Arial"/>
          <w:sz w:val="16"/>
          <w:szCs w:val="16"/>
        </w:rPr>
        <w:footnoteRef/>
      </w:r>
      <w:r w:rsidRPr="00772C62">
        <w:rPr>
          <w:rFonts w:ascii="Arial" w:hAnsi="Arial" w:cs="Arial"/>
          <w:sz w:val="16"/>
          <w:szCs w:val="16"/>
        </w:rPr>
        <w:t xml:space="preserve"> The terms ‘Panel member’ and ‘assessor’ are used interchangeably in this document but the exact role of the TEF Panel and TEF assessors is defined in Figure 8 in Chapter 4: The Assessment Process.</w:t>
      </w:r>
    </w:p>
  </w:footnote>
  <w:footnote w:id="8">
    <w:p w14:paraId="4795C25B" w14:textId="42D78CBD" w:rsidR="00FF0106" w:rsidRDefault="00FF0106">
      <w:pPr>
        <w:pStyle w:val="FootnoteText"/>
      </w:pPr>
      <w:r>
        <w:rPr>
          <w:rStyle w:val="FootnoteReference"/>
        </w:rPr>
        <w:footnoteRef/>
      </w:r>
      <w:r>
        <w:t xml:space="preserve"> </w:t>
      </w:r>
      <w:proofErr w:type="gramStart"/>
      <w:r>
        <w:rPr>
          <w:rFonts w:ascii="Arial" w:hAnsi="Arial" w:cs="Arial"/>
          <w:sz w:val="16"/>
          <w:szCs w:val="16"/>
        </w:rPr>
        <w:t>O</w:t>
      </w:r>
      <w:r w:rsidRPr="009E664E">
        <w:rPr>
          <w:rFonts w:ascii="Arial" w:hAnsi="Arial" w:cs="Arial"/>
          <w:sz w:val="16"/>
          <w:szCs w:val="16"/>
        </w:rPr>
        <w:t>f the current</w:t>
      </w:r>
      <w:r>
        <w:rPr>
          <w:rFonts w:ascii="Arial" w:hAnsi="Arial" w:cs="Arial"/>
          <w:sz w:val="16"/>
          <w:szCs w:val="16"/>
        </w:rPr>
        <w:t xml:space="preserve"> </w:t>
      </w:r>
      <w:r w:rsidRPr="009E664E">
        <w:rPr>
          <w:rFonts w:ascii="Arial" w:hAnsi="Arial" w:cs="Arial"/>
          <w:sz w:val="16"/>
          <w:szCs w:val="16"/>
        </w:rPr>
        <w:t>Framework for Higher Education Qualifications in England, Wales and Northern Ireland.</w:t>
      </w:r>
      <w:proofErr w:type="gramEnd"/>
      <w:r w:rsidRPr="009E664E">
        <w:rPr>
          <w:rFonts w:ascii="Arial" w:hAnsi="Arial" w:cs="Arial"/>
          <w:sz w:val="16"/>
          <w:szCs w:val="16"/>
        </w:rPr>
        <w:t xml:space="preserve"> Available at: </w:t>
      </w:r>
      <w:hyperlink r:id="rId2" w:history="1">
        <w:r w:rsidRPr="009E664E">
          <w:rPr>
            <w:rStyle w:val="Hyperlink"/>
            <w:rFonts w:cs="Arial"/>
            <w:sz w:val="16"/>
            <w:szCs w:val="16"/>
          </w:rPr>
          <w:t>http://www.qaa.ac.uk/publications/information-and-guidance/publication?PubID=2843</w:t>
        </w:r>
      </w:hyperlink>
      <w:r w:rsidRPr="009E664E">
        <w:rPr>
          <w:rFonts w:ascii="Arial" w:hAnsi="Arial" w:cs="Arial"/>
          <w:sz w:val="16"/>
          <w:szCs w:val="16"/>
        </w:rPr>
        <w:t xml:space="preserve"> </w:t>
      </w:r>
    </w:p>
  </w:footnote>
  <w:footnote w:id="9">
    <w:p w14:paraId="468869B8" w14:textId="77777777" w:rsidR="00FF0106" w:rsidRPr="007D6190" w:rsidRDefault="00FF0106" w:rsidP="007D6190">
      <w:pPr>
        <w:pStyle w:val="FootnoteText"/>
        <w:rPr>
          <w:rFonts w:ascii="Arial" w:hAnsi="Arial" w:cs="Arial"/>
          <w:sz w:val="16"/>
          <w:szCs w:val="16"/>
        </w:rPr>
      </w:pPr>
      <w:r w:rsidRPr="007D6190">
        <w:rPr>
          <w:rStyle w:val="FootnoteReference"/>
          <w:rFonts w:ascii="Arial" w:hAnsi="Arial" w:cs="Arial"/>
          <w:sz w:val="16"/>
          <w:szCs w:val="16"/>
        </w:rPr>
        <w:footnoteRef/>
      </w:r>
      <w:r w:rsidRPr="007D6190">
        <w:rPr>
          <w:rFonts w:ascii="Arial" w:hAnsi="Arial" w:cs="Arial"/>
          <w:sz w:val="16"/>
          <w:szCs w:val="16"/>
        </w:rPr>
        <w:t xml:space="preserve"> The Small Business, Enterprise and Employment Act (2015) enables the government, for the first time, to link all education and tax data to better chart the transition of learners from school, further education and higher education into employment. A Longitudinal Education Outcomes dataset is being developed making use of information held by BIS, DfE, DWP and HMRC. See section 78 of the Act, available at:</w:t>
      </w:r>
    </w:p>
    <w:p w14:paraId="7A4C9042" w14:textId="77777777" w:rsidR="00FF0106" w:rsidRPr="004C2640" w:rsidRDefault="00FF0106" w:rsidP="007D6190">
      <w:pPr>
        <w:pStyle w:val="FootnoteText"/>
        <w:rPr>
          <w:sz w:val="16"/>
          <w:szCs w:val="16"/>
        </w:rPr>
      </w:pPr>
      <w:hyperlink r:id="rId3" w:history="1">
        <w:r w:rsidRPr="007D6190">
          <w:rPr>
            <w:rStyle w:val="Hyperlink"/>
            <w:rFonts w:cs="Arial"/>
            <w:sz w:val="16"/>
            <w:szCs w:val="16"/>
          </w:rPr>
          <w:t>http://www.legislation.gov.uk/ukpga/2015/26/contents/enacted/data.htm</w:t>
        </w:r>
      </w:hyperlink>
      <w:r>
        <w:rPr>
          <w:sz w:val="16"/>
          <w:szCs w:val="16"/>
        </w:rPr>
        <w:t xml:space="preserve"> </w:t>
      </w:r>
    </w:p>
  </w:footnote>
  <w:footnote w:id="10">
    <w:p w14:paraId="574DF22D" w14:textId="0319E200" w:rsidR="00FF0106" w:rsidRPr="00E51D2A" w:rsidRDefault="00FF0106" w:rsidP="0031533F">
      <w:pPr>
        <w:pStyle w:val="FootnoteText"/>
        <w:rPr>
          <w:rFonts w:ascii="Arial" w:hAnsi="Arial" w:cs="Arial"/>
          <w:sz w:val="16"/>
          <w:szCs w:val="16"/>
        </w:rPr>
      </w:pPr>
      <w:r w:rsidRPr="00E51D2A">
        <w:rPr>
          <w:rStyle w:val="FootnoteReference"/>
          <w:rFonts w:ascii="Arial" w:hAnsi="Arial" w:cs="Arial"/>
          <w:sz w:val="16"/>
          <w:szCs w:val="16"/>
        </w:rPr>
        <w:footnoteRef/>
      </w:r>
      <w:r w:rsidRPr="00E51D2A">
        <w:rPr>
          <w:rFonts w:ascii="Arial" w:hAnsi="Arial" w:cs="Arial"/>
          <w:sz w:val="16"/>
          <w:szCs w:val="16"/>
        </w:rPr>
        <w:t xml:space="preserve"> </w:t>
      </w:r>
      <w:r>
        <w:rPr>
          <w:rFonts w:ascii="Arial" w:hAnsi="Arial" w:cs="Arial"/>
          <w:sz w:val="16"/>
          <w:szCs w:val="16"/>
        </w:rPr>
        <w:t>B</w:t>
      </w:r>
      <w:r w:rsidRPr="00E51D2A">
        <w:rPr>
          <w:rFonts w:ascii="Arial" w:hAnsi="Arial" w:cs="Arial"/>
          <w:sz w:val="16"/>
          <w:szCs w:val="16"/>
        </w:rPr>
        <w:t xml:space="preserve">ackground on UK PIs is available at: </w:t>
      </w:r>
      <w:hyperlink r:id="rId4" w:history="1">
        <w:r w:rsidRPr="00E51D2A">
          <w:rPr>
            <w:rStyle w:val="Hyperlink"/>
            <w:rFonts w:cs="Arial"/>
            <w:sz w:val="16"/>
            <w:szCs w:val="16"/>
          </w:rPr>
          <w:t>https://www.hesa.ac.uk/pis</w:t>
        </w:r>
      </w:hyperlink>
      <w:r w:rsidRPr="00E51D2A">
        <w:rPr>
          <w:rFonts w:ascii="Arial" w:hAnsi="Arial" w:cs="Arial"/>
          <w:sz w:val="16"/>
          <w:szCs w:val="16"/>
        </w:rPr>
        <w:t xml:space="preserve"> </w:t>
      </w:r>
    </w:p>
  </w:footnote>
  <w:footnote w:id="11">
    <w:p w14:paraId="64508F5F" w14:textId="75D2DCE3" w:rsidR="00FF0106" w:rsidRPr="00680815" w:rsidRDefault="00FF0106" w:rsidP="00516F95">
      <w:pPr>
        <w:pStyle w:val="FootnoteText"/>
        <w:rPr>
          <w:sz w:val="16"/>
          <w:szCs w:val="16"/>
        </w:rPr>
      </w:pPr>
      <w:r w:rsidRPr="00E51D2A">
        <w:rPr>
          <w:rStyle w:val="FootnoteReference"/>
          <w:rFonts w:ascii="Arial" w:hAnsi="Arial" w:cs="Arial"/>
          <w:sz w:val="16"/>
          <w:szCs w:val="16"/>
        </w:rPr>
        <w:footnoteRef/>
      </w:r>
      <w:r w:rsidRPr="00E51D2A">
        <w:rPr>
          <w:rFonts w:ascii="Arial" w:hAnsi="Arial" w:cs="Arial"/>
          <w:sz w:val="16"/>
          <w:szCs w:val="16"/>
        </w:rPr>
        <w:t xml:space="preserve"> </w:t>
      </w:r>
      <w:r w:rsidRPr="00680815">
        <w:rPr>
          <w:rFonts w:ascii="Arial" w:hAnsi="Arial" w:cs="Arial"/>
          <w:sz w:val="16"/>
          <w:szCs w:val="16"/>
        </w:rPr>
        <w:t>Teaching Excellence Framework: Review of Data Sources (interim report)</w:t>
      </w:r>
    </w:p>
  </w:footnote>
  <w:footnote w:id="12">
    <w:p w14:paraId="0199265A" w14:textId="77777777" w:rsidR="00FF0106" w:rsidRPr="00E51D2A" w:rsidRDefault="00FF0106">
      <w:pPr>
        <w:pStyle w:val="FootnoteText"/>
        <w:rPr>
          <w:rFonts w:ascii="Arial" w:hAnsi="Arial" w:cs="Arial"/>
          <w:sz w:val="16"/>
          <w:szCs w:val="16"/>
        </w:rPr>
      </w:pPr>
      <w:r w:rsidRPr="00E51D2A">
        <w:rPr>
          <w:rStyle w:val="FootnoteReference"/>
          <w:rFonts w:ascii="Arial" w:hAnsi="Arial" w:cs="Arial"/>
          <w:sz w:val="16"/>
          <w:szCs w:val="16"/>
        </w:rPr>
        <w:footnoteRef/>
      </w:r>
      <w:r w:rsidRPr="00E51D2A">
        <w:rPr>
          <w:rFonts w:ascii="Arial" w:hAnsi="Arial" w:cs="Arial"/>
          <w:sz w:val="16"/>
          <w:szCs w:val="16"/>
        </w:rPr>
        <w:t xml:space="preserve"> DLHE review</w:t>
      </w:r>
      <w:r>
        <w:rPr>
          <w:rFonts w:ascii="Arial" w:hAnsi="Arial" w:cs="Arial"/>
          <w:sz w:val="16"/>
          <w:szCs w:val="16"/>
        </w:rPr>
        <w:t xml:space="preserve"> available at:</w:t>
      </w:r>
      <w:r w:rsidRPr="00E51D2A">
        <w:rPr>
          <w:rFonts w:ascii="Arial" w:hAnsi="Arial" w:cs="Arial"/>
          <w:sz w:val="16"/>
          <w:szCs w:val="16"/>
        </w:rPr>
        <w:t xml:space="preserve"> </w:t>
      </w:r>
      <w:hyperlink r:id="rId5" w:history="1">
        <w:r w:rsidRPr="00E51D2A">
          <w:rPr>
            <w:rStyle w:val="Hyperlink"/>
            <w:rFonts w:cs="Arial"/>
            <w:sz w:val="16"/>
            <w:szCs w:val="16"/>
          </w:rPr>
          <w:t>https://www.hesa.ac.uk/content/view/3041/209/</w:t>
        </w:r>
      </w:hyperlink>
    </w:p>
  </w:footnote>
  <w:footnote w:id="13">
    <w:p w14:paraId="6B610151" w14:textId="77777777" w:rsidR="00FF0106" w:rsidRPr="00E51D2A" w:rsidRDefault="00FF0106">
      <w:pPr>
        <w:pStyle w:val="FootnoteText"/>
        <w:rPr>
          <w:rFonts w:ascii="Arial" w:hAnsi="Arial" w:cs="Arial"/>
          <w:sz w:val="16"/>
          <w:szCs w:val="16"/>
        </w:rPr>
      </w:pPr>
      <w:r w:rsidRPr="00E51D2A">
        <w:rPr>
          <w:rStyle w:val="FootnoteReference"/>
          <w:rFonts w:ascii="Arial" w:hAnsi="Arial" w:cs="Arial"/>
          <w:sz w:val="16"/>
          <w:szCs w:val="16"/>
        </w:rPr>
        <w:footnoteRef/>
      </w:r>
      <w:r w:rsidRPr="00E51D2A">
        <w:rPr>
          <w:rFonts w:ascii="Arial" w:hAnsi="Arial" w:cs="Arial"/>
          <w:sz w:val="16"/>
          <w:szCs w:val="16"/>
        </w:rPr>
        <w:t xml:space="preserve"> NSS review</w:t>
      </w:r>
      <w:r>
        <w:rPr>
          <w:rFonts w:ascii="Arial" w:hAnsi="Arial" w:cs="Arial"/>
          <w:sz w:val="16"/>
          <w:szCs w:val="16"/>
        </w:rPr>
        <w:t xml:space="preserve"> available at:</w:t>
      </w:r>
      <w:r w:rsidRPr="00E51D2A">
        <w:rPr>
          <w:rFonts w:ascii="Arial" w:hAnsi="Arial" w:cs="Arial"/>
          <w:sz w:val="16"/>
          <w:szCs w:val="16"/>
        </w:rPr>
        <w:t xml:space="preserve"> </w:t>
      </w:r>
      <w:hyperlink r:id="rId6" w:history="1">
        <w:r w:rsidRPr="00DF0BCA">
          <w:rPr>
            <w:rStyle w:val="Hyperlink"/>
            <w:rFonts w:cs="Arial"/>
            <w:sz w:val="16"/>
            <w:szCs w:val="16"/>
          </w:rPr>
          <w:t>http://www.hefce.ac.uk/lt/nss/future/</w:t>
        </w:r>
      </w:hyperlink>
      <w:r>
        <w:rPr>
          <w:rFonts w:ascii="Arial" w:hAnsi="Arial" w:cs="Arial"/>
          <w:sz w:val="16"/>
          <w:szCs w:val="16"/>
        </w:rPr>
        <w:t xml:space="preserve"> </w:t>
      </w:r>
    </w:p>
  </w:footnote>
  <w:footnote w:id="14">
    <w:p w14:paraId="037C6A3B" w14:textId="77777777" w:rsidR="00FF0106" w:rsidRPr="00E51D2A" w:rsidRDefault="00FF0106">
      <w:pPr>
        <w:pStyle w:val="FootnoteText"/>
        <w:rPr>
          <w:rFonts w:ascii="Arial" w:hAnsi="Arial" w:cs="Arial"/>
          <w:sz w:val="16"/>
          <w:szCs w:val="16"/>
        </w:rPr>
      </w:pPr>
      <w:r w:rsidRPr="00E51D2A">
        <w:rPr>
          <w:rStyle w:val="FootnoteReference"/>
          <w:rFonts w:ascii="Arial" w:hAnsi="Arial" w:cs="Arial"/>
          <w:sz w:val="16"/>
          <w:szCs w:val="16"/>
        </w:rPr>
        <w:footnoteRef/>
      </w:r>
      <w:r w:rsidRPr="00E51D2A">
        <w:rPr>
          <w:rFonts w:ascii="Arial" w:hAnsi="Arial" w:cs="Arial"/>
          <w:sz w:val="16"/>
          <w:szCs w:val="16"/>
        </w:rPr>
        <w:t xml:space="preserve"> NSS 2015 overview</w:t>
      </w:r>
      <w:r>
        <w:rPr>
          <w:rFonts w:ascii="Arial" w:hAnsi="Arial" w:cs="Arial"/>
          <w:sz w:val="16"/>
          <w:szCs w:val="16"/>
        </w:rPr>
        <w:t xml:space="preserve"> available at:</w:t>
      </w:r>
      <w:r w:rsidRPr="00E51D2A">
        <w:rPr>
          <w:rFonts w:ascii="Arial" w:hAnsi="Arial" w:cs="Arial"/>
          <w:sz w:val="16"/>
          <w:szCs w:val="16"/>
        </w:rPr>
        <w:t xml:space="preserve"> </w:t>
      </w:r>
      <w:hyperlink r:id="rId7" w:history="1">
        <w:r w:rsidRPr="00E51D2A">
          <w:rPr>
            <w:rStyle w:val="Hyperlink"/>
            <w:rFonts w:cs="Arial"/>
            <w:sz w:val="16"/>
            <w:szCs w:val="16"/>
          </w:rPr>
          <w:t>http://www.hefce.ac.uk/lt/nss</w:t>
        </w:r>
      </w:hyperlink>
      <w:r w:rsidRPr="00E51D2A">
        <w:rPr>
          <w:rFonts w:ascii="Arial" w:hAnsi="Arial" w:cs="Arial"/>
          <w:sz w:val="16"/>
          <w:szCs w:val="16"/>
        </w:rPr>
        <w:t xml:space="preserve"> </w:t>
      </w:r>
    </w:p>
  </w:footnote>
  <w:footnote w:id="15">
    <w:p w14:paraId="5704045E" w14:textId="77777777" w:rsidR="00FF0106" w:rsidRPr="00E51D2A" w:rsidRDefault="00FF0106">
      <w:pPr>
        <w:pStyle w:val="FootnoteText"/>
        <w:rPr>
          <w:rFonts w:ascii="Arial" w:hAnsi="Arial" w:cs="Arial"/>
          <w:sz w:val="16"/>
          <w:szCs w:val="16"/>
        </w:rPr>
      </w:pPr>
      <w:r w:rsidRPr="00E51D2A">
        <w:rPr>
          <w:rStyle w:val="FootnoteReference"/>
          <w:rFonts w:ascii="Arial" w:hAnsi="Arial" w:cs="Arial"/>
          <w:sz w:val="16"/>
          <w:szCs w:val="16"/>
        </w:rPr>
        <w:footnoteRef/>
      </w:r>
      <w:r w:rsidRPr="00E51D2A">
        <w:rPr>
          <w:rFonts w:ascii="Arial" w:hAnsi="Arial" w:cs="Arial"/>
          <w:sz w:val="16"/>
          <w:szCs w:val="16"/>
        </w:rPr>
        <w:t xml:space="preserve"> DLHE 2013/14 overview</w:t>
      </w:r>
      <w:r>
        <w:rPr>
          <w:rFonts w:ascii="Arial" w:hAnsi="Arial" w:cs="Arial"/>
          <w:sz w:val="16"/>
          <w:szCs w:val="16"/>
        </w:rPr>
        <w:t xml:space="preserve"> available at:</w:t>
      </w:r>
      <w:r w:rsidRPr="00E51D2A">
        <w:rPr>
          <w:rFonts w:ascii="Arial" w:hAnsi="Arial" w:cs="Arial"/>
          <w:sz w:val="16"/>
          <w:szCs w:val="16"/>
        </w:rPr>
        <w:t xml:space="preserve"> </w:t>
      </w:r>
      <w:hyperlink r:id="rId8" w:history="1">
        <w:r w:rsidRPr="00E51D2A">
          <w:rPr>
            <w:rStyle w:val="Hyperlink"/>
            <w:rFonts w:cs="Arial"/>
            <w:sz w:val="16"/>
            <w:szCs w:val="16"/>
          </w:rPr>
          <w:t>https://www.hesa.ac.uk/sfr217</w:t>
        </w:r>
      </w:hyperlink>
      <w:r w:rsidRPr="00E51D2A">
        <w:rPr>
          <w:rFonts w:ascii="Arial" w:hAnsi="Arial" w:cs="Arial"/>
          <w:sz w:val="16"/>
          <w:szCs w:val="16"/>
        </w:rPr>
        <w:t xml:space="preserve"> </w:t>
      </w:r>
    </w:p>
  </w:footnote>
  <w:footnote w:id="16">
    <w:p w14:paraId="39068D48" w14:textId="77777777" w:rsidR="00FF0106" w:rsidRPr="009429A4" w:rsidRDefault="00FF0106" w:rsidP="008F0CBD">
      <w:pPr>
        <w:pStyle w:val="FootnoteText"/>
        <w:rPr>
          <w:rFonts w:ascii="Arial" w:hAnsi="Arial" w:cs="Arial"/>
          <w:sz w:val="16"/>
          <w:szCs w:val="16"/>
        </w:rPr>
      </w:pPr>
      <w:r w:rsidRPr="009429A4">
        <w:rPr>
          <w:rStyle w:val="FootnoteReference"/>
          <w:rFonts w:ascii="Arial" w:hAnsi="Arial" w:cs="Arial"/>
          <w:sz w:val="16"/>
          <w:szCs w:val="16"/>
        </w:rPr>
        <w:footnoteRef/>
      </w:r>
      <w:r w:rsidRPr="009429A4">
        <w:rPr>
          <w:rFonts w:ascii="Arial" w:hAnsi="Arial" w:cs="Arial"/>
          <w:sz w:val="16"/>
          <w:szCs w:val="16"/>
        </w:rPr>
        <w:t xml:space="preserve"> ‘Agree’ means a response of either ‘mostly agree’ or ‘definitely agree’ on a 5-point </w:t>
      </w:r>
      <w:proofErr w:type="spellStart"/>
      <w:r w:rsidRPr="009429A4">
        <w:rPr>
          <w:rFonts w:ascii="Arial" w:hAnsi="Arial" w:cs="Arial"/>
          <w:sz w:val="16"/>
          <w:szCs w:val="16"/>
        </w:rPr>
        <w:t>Lickert</w:t>
      </w:r>
      <w:proofErr w:type="spellEnd"/>
      <w:r w:rsidRPr="009429A4">
        <w:rPr>
          <w:rFonts w:ascii="Arial" w:hAnsi="Arial" w:cs="Arial"/>
          <w:sz w:val="16"/>
          <w:szCs w:val="16"/>
        </w:rPr>
        <w:t xml:space="preserve"> scale.</w:t>
      </w:r>
    </w:p>
  </w:footnote>
  <w:footnote w:id="17">
    <w:p w14:paraId="28B23DC9" w14:textId="715B59AC" w:rsidR="00FF0106" w:rsidRDefault="00FF0106">
      <w:pPr>
        <w:pStyle w:val="FootnoteText"/>
      </w:pPr>
      <w:r w:rsidRPr="009429A4">
        <w:rPr>
          <w:rStyle w:val="FootnoteReference"/>
          <w:rFonts w:ascii="Arial" w:hAnsi="Arial" w:cs="Arial"/>
          <w:sz w:val="16"/>
          <w:szCs w:val="16"/>
        </w:rPr>
        <w:footnoteRef/>
      </w:r>
      <w:r w:rsidRPr="009429A4">
        <w:rPr>
          <w:rFonts w:ascii="Arial" w:hAnsi="Arial" w:cs="Arial"/>
          <w:sz w:val="16"/>
          <w:szCs w:val="16"/>
        </w:rPr>
        <w:t xml:space="preserve"> </w:t>
      </w:r>
      <w:hyperlink r:id="rId9" w:history="1">
        <w:r w:rsidRPr="009429A4">
          <w:rPr>
            <w:rStyle w:val="Hyperlink"/>
            <w:rFonts w:cs="Arial"/>
            <w:sz w:val="16"/>
            <w:szCs w:val="16"/>
          </w:rPr>
          <w:t>https://www.hesa.ac.uk/pis/noncontech</w:t>
        </w:r>
      </w:hyperlink>
      <w:r>
        <w:t xml:space="preserve"> </w:t>
      </w:r>
    </w:p>
  </w:footnote>
  <w:footnote w:id="18">
    <w:p w14:paraId="0347FCE2" w14:textId="594896AC" w:rsidR="00FF0106" w:rsidRDefault="00FF0106">
      <w:pPr>
        <w:pStyle w:val="FootnoteText"/>
      </w:pPr>
      <w:r w:rsidRPr="00EB3E3F">
        <w:rPr>
          <w:rStyle w:val="FootnoteReference"/>
          <w:rFonts w:ascii="Arial" w:hAnsi="Arial" w:cs="Arial"/>
          <w:sz w:val="16"/>
          <w:szCs w:val="16"/>
        </w:rPr>
        <w:footnoteRef/>
      </w:r>
      <w:r w:rsidRPr="00EB3E3F">
        <w:rPr>
          <w:rFonts w:ascii="Arial" w:hAnsi="Arial" w:cs="Arial"/>
          <w:sz w:val="16"/>
          <w:szCs w:val="16"/>
        </w:rPr>
        <w:t xml:space="preserve"> We are not proposing to use the longer term DLHE measure, taken at 40 months, as it is a relatively small sample reported at national level and not designed to be representative of any specific provider.</w:t>
      </w:r>
    </w:p>
  </w:footnote>
  <w:footnote w:id="19">
    <w:p w14:paraId="720B5FE1" w14:textId="5CDC8A67" w:rsidR="00FF0106" w:rsidRDefault="00FF0106" w:rsidP="00F937DF">
      <w:pPr>
        <w:pStyle w:val="FootnoteText"/>
      </w:pPr>
      <w:r w:rsidRPr="002615F0">
        <w:rPr>
          <w:rStyle w:val="FootnoteReference"/>
          <w:rFonts w:ascii="Arial" w:hAnsi="Arial" w:cs="Arial"/>
          <w:sz w:val="16"/>
          <w:szCs w:val="16"/>
        </w:rPr>
        <w:footnoteRef/>
      </w:r>
      <w:r w:rsidRPr="002615F0">
        <w:rPr>
          <w:rFonts w:ascii="Arial" w:hAnsi="Arial" w:cs="Arial"/>
          <w:sz w:val="16"/>
          <w:szCs w:val="16"/>
        </w:rPr>
        <w:t xml:space="preserve"> ONS Employment rates with definitions </w:t>
      </w:r>
      <w:hyperlink r:id="rId10" w:history="1">
        <w:r w:rsidRPr="004207A1">
          <w:rPr>
            <w:rStyle w:val="Hyperlink"/>
            <w:rFonts w:cs="Arial"/>
            <w:sz w:val="16"/>
            <w:szCs w:val="16"/>
          </w:rPr>
          <w:t>http://www.ons.gov.uk/employmentandlabourmarket/peopleinwork/employmentandemployeetypes</w:t>
        </w:r>
      </w:hyperlink>
      <w:r>
        <w:rPr>
          <w:rFonts w:ascii="Arial" w:hAnsi="Arial" w:cs="Arial"/>
          <w:sz w:val="16"/>
          <w:szCs w:val="16"/>
        </w:rPr>
        <w:t xml:space="preserve"> </w:t>
      </w:r>
      <w:r>
        <w:t xml:space="preserve">  </w:t>
      </w:r>
    </w:p>
  </w:footnote>
  <w:footnote w:id="20">
    <w:p w14:paraId="41D4AFDB" w14:textId="33DA5D91" w:rsidR="00FF0106" w:rsidRPr="00E51D2A" w:rsidRDefault="00FF0106" w:rsidP="0031533F">
      <w:pPr>
        <w:pStyle w:val="FootnoteText"/>
        <w:rPr>
          <w:rFonts w:ascii="Arial" w:hAnsi="Arial" w:cs="Arial"/>
          <w:sz w:val="16"/>
          <w:szCs w:val="16"/>
        </w:rPr>
      </w:pPr>
      <w:r w:rsidRPr="00E51D2A">
        <w:rPr>
          <w:rStyle w:val="FootnoteReference"/>
          <w:rFonts w:ascii="Arial" w:hAnsi="Arial" w:cs="Arial"/>
          <w:sz w:val="16"/>
          <w:szCs w:val="16"/>
        </w:rPr>
        <w:footnoteRef/>
      </w:r>
      <w:r w:rsidRPr="00E51D2A">
        <w:rPr>
          <w:rFonts w:ascii="Arial" w:hAnsi="Arial" w:cs="Arial"/>
          <w:sz w:val="16"/>
          <w:szCs w:val="16"/>
        </w:rPr>
        <w:t xml:space="preserve"> </w:t>
      </w:r>
      <w:proofErr w:type="gramStart"/>
      <w:r w:rsidRPr="00E51D2A">
        <w:rPr>
          <w:rFonts w:ascii="Arial" w:hAnsi="Arial" w:cs="Arial"/>
          <w:sz w:val="16"/>
          <w:szCs w:val="16"/>
        </w:rPr>
        <w:t>ONS Standard Occupational Classification (SOC) Hierarchy</w:t>
      </w:r>
      <w:r>
        <w:rPr>
          <w:rFonts w:ascii="Arial" w:hAnsi="Arial" w:cs="Arial"/>
          <w:sz w:val="16"/>
          <w:szCs w:val="16"/>
        </w:rPr>
        <w:t>.</w:t>
      </w:r>
      <w:proofErr w:type="gramEnd"/>
      <w:r>
        <w:rPr>
          <w:rFonts w:ascii="Arial" w:hAnsi="Arial" w:cs="Arial"/>
          <w:sz w:val="16"/>
          <w:szCs w:val="16"/>
        </w:rPr>
        <w:t xml:space="preserve"> Available at:</w:t>
      </w:r>
      <w:hyperlink r:id="rId11" w:history="1">
        <w:r w:rsidRPr="00E51D2A">
          <w:rPr>
            <w:rStyle w:val="Hyperlink"/>
            <w:rFonts w:cs="Arial"/>
            <w:sz w:val="16"/>
            <w:szCs w:val="16"/>
          </w:rPr>
          <w:t>http://www.neighbourhood.statistics.gov.uk/HTMLDocs/dev3/ONS_SOC_hierarchy_view.html</w:t>
        </w:r>
      </w:hyperlink>
      <w:r w:rsidRPr="00E51D2A">
        <w:rPr>
          <w:rFonts w:ascii="Arial" w:hAnsi="Arial" w:cs="Arial"/>
          <w:sz w:val="16"/>
          <w:szCs w:val="16"/>
        </w:rPr>
        <w:t xml:space="preserve">  </w:t>
      </w:r>
    </w:p>
  </w:footnote>
  <w:footnote w:id="21">
    <w:p w14:paraId="5822C5E6" w14:textId="5F34BEA4" w:rsidR="00FF0106" w:rsidRPr="002973FD" w:rsidRDefault="00FF0106" w:rsidP="002973FD">
      <w:pPr>
        <w:pStyle w:val="FootnoteText"/>
        <w:rPr>
          <w:rFonts w:ascii="Arial" w:hAnsi="Arial" w:cs="Arial"/>
          <w:sz w:val="16"/>
          <w:szCs w:val="16"/>
        </w:rPr>
      </w:pPr>
      <w:r w:rsidRPr="00E51D2A">
        <w:rPr>
          <w:rStyle w:val="FootnoteReference"/>
          <w:rFonts w:ascii="Arial" w:hAnsi="Arial" w:cs="Arial"/>
          <w:sz w:val="16"/>
          <w:szCs w:val="16"/>
        </w:rPr>
        <w:footnoteRef/>
      </w:r>
      <w:r w:rsidRPr="00E51D2A">
        <w:rPr>
          <w:rFonts w:ascii="Arial" w:hAnsi="Arial" w:cs="Arial"/>
          <w:sz w:val="16"/>
          <w:szCs w:val="16"/>
        </w:rPr>
        <w:t xml:space="preserve"> </w:t>
      </w:r>
      <w:proofErr w:type="gramStart"/>
      <w:r w:rsidRPr="002973FD">
        <w:rPr>
          <w:rFonts w:ascii="Arial" w:hAnsi="Arial" w:cs="Arial"/>
          <w:sz w:val="16"/>
          <w:szCs w:val="16"/>
        </w:rPr>
        <w:t xml:space="preserve">Green, F. and </w:t>
      </w:r>
      <w:proofErr w:type="spellStart"/>
      <w:r w:rsidRPr="002973FD">
        <w:rPr>
          <w:rFonts w:ascii="Arial" w:hAnsi="Arial" w:cs="Arial"/>
          <w:sz w:val="16"/>
          <w:szCs w:val="16"/>
        </w:rPr>
        <w:t>Henseke</w:t>
      </w:r>
      <w:proofErr w:type="spellEnd"/>
      <w:r w:rsidRPr="002973FD">
        <w:rPr>
          <w:rFonts w:ascii="Arial" w:hAnsi="Arial" w:cs="Arial"/>
          <w:sz w:val="16"/>
          <w:szCs w:val="16"/>
        </w:rPr>
        <w:t>, G., 2014.</w:t>
      </w:r>
      <w:proofErr w:type="gramEnd"/>
      <w:r w:rsidRPr="002973FD">
        <w:rPr>
          <w:rFonts w:ascii="Arial" w:hAnsi="Arial" w:cs="Arial"/>
          <w:sz w:val="16"/>
          <w:szCs w:val="16"/>
        </w:rPr>
        <w:t xml:space="preserve"> The changing graduate labour market: Analysis using a new indication of graduate jobs. </w:t>
      </w:r>
      <w:proofErr w:type="gramStart"/>
      <w:r w:rsidRPr="002973FD">
        <w:rPr>
          <w:rFonts w:ascii="Arial" w:hAnsi="Arial" w:cs="Arial"/>
          <w:sz w:val="16"/>
          <w:szCs w:val="16"/>
        </w:rPr>
        <w:t>LLAKES Research Paper, 50.</w:t>
      </w:r>
      <w:proofErr w:type="gramEnd"/>
      <w:r>
        <w:rPr>
          <w:rFonts w:ascii="Arial" w:hAnsi="Arial" w:cs="Arial"/>
          <w:sz w:val="16"/>
          <w:szCs w:val="16"/>
        </w:rPr>
        <w:t xml:space="preserve"> Available at:</w:t>
      </w:r>
    </w:p>
    <w:p w14:paraId="336F65A6" w14:textId="4C96FB26" w:rsidR="00FF0106" w:rsidRPr="002973FD" w:rsidRDefault="00FF0106" w:rsidP="002973FD">
      <w:pPr>
        <w:pStyle w:val="FootnoteText"/>
        <w:rPr>
          <w:rFonts w:ascii="Arial" w:hAnsi="Arial" w:cs="Arial"/>
          <w:sz w:val="16"/>
          <w:szCs w:val="16"/>
        </w:rPr>
      </w:pPr>
      <w:hyperlink r:id="rId12" w:history="1">
        <w:proofErr w:type="gramStart"/>
        <w:r w:rsidRPr="00944787">
          <w:rPr>
            <w:rStyle w:val="Hyperlink"/>
            <w:rFonts w:cs="Arial"/>
            <w:sz w:val="16"/>
            <w:szCs w:val="16"/>
          </w:rPr>
          <w:t>http://www.llakes.org/wp-content/uploads/2014/08/50.-Green-and-Henseke.pdf</w:t>
        </w:r>
      </w:hyperlink>
      <w:r>
        <w:rPr>
          <w:rFonts w:ascii="Arial" w:hAnsi="Arial" w:cs="Arial"/>
          <w:sz w:val="16"/>
          <w:szCs w:val="16"/>
        </w:rPr>
        <w:t xml:space="preserve"> and Purcell, K. and Elias, P.</w:t>
      </w:r>
      <w:r w:rsidRPr="002973FD">
        <w:rPr>
          <w:rFonts w:ascii="Arial" w:hAnsi="Arial" w:cs="Arial"/>
          <w:sz w:val="16"/>
          <w:szCs w:val="16"/>
        </w:rPr>
        <w:t xml:space="preserve"> 2013.</w:t>
      </w:r>
      <w:proofErr w:type="gramEnd"/>
      <w:r w:rsidRPr="002973FD">
        <w:rPr>
          <w:rFonts w:ascii="Arial" w:hAnsi="Arial" w:cs="Arial"/>
          <w:sz w:val="16"/>
          <w:szCs w:val="16"/>
        </w:rPr>
        <w:t xml:space="preserve"> </w:t>
      </w:r>
      <w:proofErr w:type="gramStart"/>
      <w:r w:rsidRPr="002973FD">
        <w:rPr>
          <w:rFonts w:ascii="Arial" w:hAnsi="Arial" w:cs="Arial"/>
          <w:sz w:val="16"/>
          <w:szCs w:val="16"/>
        </w:rPr>
        <w:t>Classifying graduate occupations for the knowledge society.</w:t>
      </w:r>
      <w:proofErr w:type="gramEnd"/>
      <w:r>
        <w:rPr>
          <w:rFonts w:ascii="Arial" w:hAnsi="Arial" w:cs="Arial"/>
          <w:sz w:val="16"/>
          <w:szCs w:val="16"/>
        </w:rPr>
        <w:t xml:space="preserve"> Available at:</w:t>
      </w:r>
    </w:p>
    <w:p w14:paraId="176B3961" w14:textId="5FB84D39" w:rsidR="00FF0106" w:rsidRPr="008F0CBD" w:rsidRDefault="00FF0106" w:rsidP="002973FD">
      <w:pPr>
        <w:pStyle w:val="FootnoteText"/>
        <w:rPr>
          <w:rFonts w:ascii="Arial" w:hAnsi="Arial" w:cs="Arial"/>
          <w:sz w:val="18"/>
          <w:szCs w:val="18"/>
        </w:rPr>
      </w:pPr>
      <w:hyperlink r:id="rId13" w:history="1">
        <w:r w:rsidRPr="00944787">
          <w:rPr>
            <w:rStyle w:val="Hyperlink"/>
            <w:rFonts w:cs="Arial"/>
            <w:sz w:val="16"/>
            <w:szCs w:val="16"/>
          </w:rPr>
          <w:t>https://www2.warwick.ac.uk/fac/soc/ier/futuretrack/findings/elias_purcell_soche_final.pdf</w:t>
        </w:r>
      </w:hyperlink>
      <w:r w:rsidRPr="002973FD">
        <w:rPr>
          <w:rFonts w:ascii="Arial" w:hAnsi="Arial" w:cs="Arial"/>
          <w:sz w:val="16"/>
          <w:szCs w:val="16"/>
        </w:rPr>
        <w:t xml:space="preserve"> </w:t>
      </w:r>
    </w:p>
  </w:footnote>
  <w:footnote w:id="22">
    <w:p w14:paraId="15C6224A" w14:textId="77777777" w:rsidR="00FF0106" w:rsidRPr="00E51D2A" w:rsidRDefault="00FF0106" w:rsidP="0031533F">
      <w:pPr>
        <w:pStyle w:val="FootnoteText"/>
        <w:rPr>
          <w:rFonts w:ascii="Arial" w:hAnsi="Arial" w:cs="Arial"/>
          <w:sz w:val="16"/>
          <w:szCs w:val="16"/>
        </w:rPr>
      </w:pPr>
      <w:r w:rsidRPr="00E51D2A">
        <w:rPr>
          <w:rStyle w:val="FootnoteReference"/>
          <w:rFonts w:ascii="Arial" w:hAnsi="Arial" w:cs="Arial"/>
          <w:sz w:val="16"/>
          <w:szCs w:val="16"/>
        </w:rPr>
        <w:footnoteRef/>
      </w:r>
      <w:r w:rsidRPr="00E51D2A">
        <w:rPr>
          <w:rFonts w:ascii="Arial" w:hAnsi="Arial" w:cs="Arial"/>
          <w:sz w:val="16"/>
          <w:szCs w:val="16"/>
        </w:rPr>
        <w:t xml:space="preserve"> For a fuller explanation see </w:t>
      </w:r>
      <w:hyperlink r:id="rId14" w:history="1">
        <w:r w:rsidRPr="00E51D2A">
          <w:rPr>
            <w:rStyle w:val="Hyperlink"/>
            <w:rFonts w:cs="Arial"/>
            <w:sz w:val="16"/>
            <w:szCs w:val="16"/>
          </w:rPr>
          <w:t>www.hesa.ac.uk/pis/benchmarks</w:t>
        </w:r>
      </w:hyperlink>
      <w:r w:rsidRPr="00E51D2A">
        <w:rPr>
          <w:rFonts w:ascii="Arial" w:hAnsi="Arial" w:cs="Arial"/>
          <w:sz w:val="16"/>
          <w:szCs w:val="16"/>
        </w:rPr>
        <w:t>.</w:t>
      </w:r>
    </w:p>
  </w:footnote>
  <w:footnote w:id="23">
    <w:p w14:paraId="6D1E2601" w14:textId="77777777" w:rsidR="00FF0106" w:rsidRPr="00E51D2A" w:rsidRDefault="00FF0106">
      <w:pPr>
        <w:pStyle w:val="FootnoteText"/>
        <w:rPr>
          <w:rFonts w:ascii="Arial" w:hAnsi="Arial" w:cs="Arial"/>
          <w:sz w:val="16"/>
          <w:szCs w:val="16"/>
        </w:rPr>
      </w:pPr>
      <w:r w:rsidRPr="00E51D2A">
        <w:rPr>
          <w:rStyle w:val="FootnoteReference"/>
          <w:rFonts w:ascii="Arial" w:hAnsi="Arial" w:cs="Arial"/>
          <w:sz w:val="16"/>
          <w:szCs w:val="16"/>
        </w:rPr>
        <w:footnoteRef/>
      </w:r>
      <w:r w:rsidRPr="00E51D2A">
        <w:rPr>
          <w:rFonts w:ascii="Arial" w:hAnsi="Arial" w:cs="Arial"/>
          <w:sz w:val="16"/>
          <w:szCs w:val="16"/>
        </w:rPr>
        <w:t xml:space="preserve"> POLAR (the Participation of Local Areas classification) looks at how likely young people are to participate in higher education across the UK and shows how this varies by area. For further information see </w:t>
      </w:r>
      <w:hyperlink r:id="rId15" w:history="1">
        <w:r w:rsidRPr="00E51D2A">
          <w:rPr>
            <w:rStyle w:val="Hyperlink"/>
            <w:rFonts w:cs="Arial"/>
            <w:sz w:val="16"/>
            <w:szCs w:val="16"/>
          </w:rPr>
          <w:t>http://www.hefce.ac.uk/analysis/yp/POLAR/</w:t>
        </w:r>
      </w:hyperlink>
      <w:r w:rsidRPr="00E51D2A">
        <w:rPr>
          <w:rFonts w:ascii="Arial" w:hAnsi="Arial" w:cs="Arial"/>
          <w:sz w:val="16"/>
          <w:szCs w:val="16"/>
        </w:rPr>
        <w:t xml:space="preserve"> </w:t>
      </w:r>
    </w:p>
  </w:footnote>
  <w:footnote w:id="24">
    <w:p w14:paraId="38A4EC40" w14:textId="77777777" w:rsidR="00FF0106" w:rsidRPr="00B177D8" w:rsidRDefault="00FF0106" w:rsidP="0031533F">
      <w:pPr>
        <w:pStyle w:val="FootnoteText"/>
        <w:rPr>
          <w:rFonts w:ascii="Arial" w:hAnsi="Arial" w:cs="Arial"/>
          <w:sz w:val="16"/>
          <w:szCs w:val="16"/>
        </w:rPr>
      </w:pPr>
      <w:r w:rsidRPr="00E51D2A">
        <w:rPr>
          <w:rStyle w:val="FootnoteReference"/>
          <w:rFonts w:ascii="Arial" w:hAnsi="Arial" w:cs="Arial"/>
          <w:sz w:val="16"/>
          <w:szCs w:val="16"/>
        </w:rPr>
        <w:footnoteRef/>
      </w:r>
      <w:r w:rsidRPr="00E51D2A">
        <w:rPr>
          <w:rFonts w:ascii="Arial" w:hAnsi="Arial" w:cs="Arial"/>
          <w:sz w:val="16"/>
          <w:szCs w:val="16"/>
        </w:rPr>
        <w:t xml:space="preserve"> </w:t>
      </w:r>
      <w:r w:rsidRPr="0049654E">
        <w:rPr>
          <w:rFonts w:ascii="Arial" w:hAnsi="Arial" w:cs="Arial"/>
          <w:sz w:val="16"/>
          <w:szCs w:val="16"/>
        </w:rPr>
        <w:t xml:space="preserve">UKPISG review </w:t>
      </w:r>
      <w:hyperlink r:id="rId16" w:history="1">
        <w:r w:rsidRPr="0049654E">
          <w:rPr>
            <w:rStyle w:val="Hyperlink"/>
            <w:rFonts w:cs="Arial"/>
            <w:sz w:val="16"/>
            <w:szCs w:val="16"/>
          </w:rPr>
          <w:t>http://www.hefce.ac.uk/pubs/year/2015/CL,172015/</w:t>
        </w:r>
      </w:hyperlink>
    </w:p>
  </w:footnote>
  <w:footnote w:id="25">
    <w:p w14:paraId="2A081EB4" w14:textId="55C0FF20" w:rsidR="00FF0106" w:rsidRPr="00B177D8" w:rsidRDefault="00FF0106" w:rsidP="0031533F">
      <w:pPr>
        <w:pStyle w:val="FootnoteText"/>
        <w:rPr>
          <w:rFonts w:ascii="Arial" w:hAnsi="Arial" w:cs="Arial"/>
          <w:sz w:val="18"/>
          <w:szCs w:val="18"/>
        </w:rPr>
      </w:pPr>
      <w:r w:rsidRPr="00D727BD">
        <w:rPr>
          <w:rStyle w:val="FootnoteReference"/>
          <w:rFonts w:ascii="Arial" w:hAnsi="Arial" w:cs="Arial"/>
          <w:sz w:val="16"/>
          <w:szCs w:val="16"/>
        </w:rPr>
        <w:footnoteRef/>
      </w:r>
      <w:r w:rsidRPr="00D727BD">
        <w:rPr>
          <w:rFonts w:ascii="Arial" w:hAnsi="Arial" w:cs="Arial"/>
          <w:sz w:val="16"/>
          <w:szCs w:val="16"/>
        </w:rPr>
        <w:t xml:space="preserve"> There is not currently a separate benchmark set for the highly skilled jobs metric. We propose applying the factors currently used for the </w:t>
      </w:r>
      <w:r>
        <w:rPr>
          <w:rFonts w:ascii="Arial" w:hAnsi="Arial" w:cs="Arial"/>
          <w:sz w:val="16"/>
          <w:szCs w:val="16"/>
        </w:rPr>
        <w:t>e</w:t>
      </w:r>
      <w:r w:rsidRPr="00D727BD">
        <w:rPr>
          <w:rFonts w:ascii="Arial" w:hAnsi="Arial" w:cs="Arial"/>
          <w:sz w:val="16"/>
          <w:szCs w:val="16"/>
        </w:rPr>
        <w:t>mployment/</w:t>
      </w:r>
      <w:r>
        <w:rPr>
          <w:rFonts w:ascii="Arial" w:hAnsi="Arial" w:cs="Arial"/>
          <w:sz w:val="16"/>
          <w:szCs w:val="16"/>
        </w:rPr>
        <w:t>d</w:t>
      </w:r>
      <w:r w:rsidRPr="00D727BD">
        <w:rPr>
          <w:rFonts w:ascii="Arial" w:hAnsi="Arial" w:cs="Arial"/>
          <w:sz w:val="16"/>
          <w:szCs w:val="16"/>
        </w:rPr>
        <w:t>estinations metric</w:t>
      </w:r>
      <w:r>
        <w:rPr>
          <w:rFonts w:ascii="Arial" w:hAnsi="Arial" w:cs="Arial"/>
          <w:sz w:val="16"/>
          <w:szCs w:val="16"/>
        </w:rPr>
        <w:t>.</w:t>
      </w:r>
    </w:p>
  </w:footnote>
  <w:footnote w:id="26">
    <w:p w14:paraId="148EB5DC" w14:textId="6808507B" w:rsidR="00FF0106" w:rsidRPr="00B177D8" w:rsidRDefault="00FF0106" w:rsidP="002E243C">
      <w:pPr>
        <w:pStyle w:val="FootnoteText"/>
        <w:rPr>
          <w:rFonts w:ascii="Arial" w:hAnsi="Arial" w:cs="Arial"/>
          <w:sz w:val="16"/>
          <w:szCs w:val="16"/>
        </w:rPr>
      </w:pPr>
      <w:r w:rsidRPr="00B177D8">
        <w:rPr>
          <w:rStyle w:val="FootnoteReference"/>
          <w:rFonts w:ascii="Arial" w:hAnsi="Arial" w:cs="Arial"/>
          <w:sz w:val="16"/>
          <w:szCs w:val="16"/>
        </w:rPr>
        <w:footnoteRef/>
      </w:r>
      <w:r w:rsidRPr="00B177D8">
        <w:rPr>
          <w:rFonts w:ascii="Arial" w:hAnsi="Arial" w:cs="Arial"/>
          <w:sz w:val="16"/>
          <w:szCs w:val="16"/>
        </w:rPr>
        <w:t xml:space="preserve"> We are proposing to use 1.96 standard deviations, which we round to 2 in this description</w:t>
      </w:r>
      <w:r>
        <w:rPr>
          <w:rFonts w:ascii="Arial" w:hAnsi="Arial" w:cs="Arial"/>
          <w:sz w:val="16"/>
          <w:szCs w:val="16"/>
        </w:rPr>
        <w:t>.</w:t>
      </w:r>
    </w:p>
  </w:footnote>
  <w:footnote w:id="27">
    <w:p w14:paraId="41E383ED" w14:textId="77777777" w:rsidR="00FF0106" w:rsidRPr="00260565" w:rsidRDefault="00FF0106" w:rsidP="0031533F">
      <w:pPr>
        <w:pStyle w:val="FootnoteText"/>
        <w:rPr>
          <w:rFonts w:ascii="Arial" w:hAnsi="Arial" w:cs="Arial"/>
          <w:sz w:val="16"/>
          <w:szCs w:val="16"/>
        </w:rPr>
      </w:pPr>
      <w:r w:rsidRPr="004C5FFC">
        <w:rPr>
          <w:rStyle w:val="FootnoteReference"/>
          <w:rFonts w:ascii="Arial" w:hAnsi="Arial" w:cs="Arial"/>
          <w:sz w:val="16"/>
          <w:szCs w:val="16"/>
        </w:rPr>
        <w:footnoteRef/>
      </w:r>
      <w:r w:rsidRPr="004C5FFC">
        <w:rPr>
          <w:rFonts w:ascii="Arial" w:hAnsi="Arial" w:cs="Arial"/>
          <w:sz w:val="16"/>
          <w:szCs w:val="16"/>
        </w:rPr>
        <w:t xml:space="preserve"> The UK PIs include all students that are registered at, rather than taught by the provider.</w:t>
      </w:r>
      <w:r w:rsidRPr="00260565">
        <w:rPr>
          <w:rFonts w:ascii="Arial" w:hAnsi="Arial" w:cs="Arial"/>
          <w:sz w:val="16"/>
          <w:szCs w:val="16"/>
        </w:rPr>
        <w:t xml:space="preserve"> </w:t>
      </w:r>
    </w:p>
  </w:footnote>
  <w:footnote w:id="28">
    <w:p w14:paraId="104C0044" w14:textId="44F2FE71" w:rsidR="00FF0106" w:rsidRDefault="00FF0106">
      <w:pPr>
        <w:pStyle w:val="FootnoteText"/>
      </w:pPr>
      <w:r w:rsidRPr="00260565">
        <w:rPr>
          <w:rStyle w:val="FootnoteReference"/>
          <w:rFonts w:ascii="Arial" w:hAnsi="Arial" w:cs="Arial"/>
          <w:sz w:val="16"/>
          <w:szCs w:val="16"/>
        </w:rPr>
        <w:footnoteRef/>
      </w:r>
      <w:r w:rsidRPr="00260565">
        <w:rPr>
          <w:rFonts w:ascii="Arial" w:hAnsi="Arial" w:cs="Arial"/>
          <w:sz w:val="16"/>
          <w:szCs w:val="16"/>
        </w:rPr>
        <w:t xml:space="preserve"> For the purpose of the non-continuation indicators, part-time entrants only includes those students whose intensity of study in their first year is at least 30 per cent of a full-time student. Part-time entrants are not included in the calculations if they leave the programme of study within 50 days of commencement. See </w:t>
      </w:r>
      <w:hyperlink r:id="rId17" w:history="1">
        <w:r w:rsidRPr="00260565">
          <w:rPr>
            <w:rStyle w:val="Hyperlink"/>
            <w:rFonts w:cs="Arial"/>
            <w:sz w:val="16"/>
            <w:szCs w:val="16"/>
          </w:rPr>
          <w:t>https://www.hesa.ac.uk/pis/noncontech</w:t>
        </w:r>
      </w:hyperlink>
      <w:r>
        <w:rPr>
          <w:rFonts w:ascii="Arial" w:hAnsi="Arial" w:cs="Arial"/>
          <w:sz w:val="16"/>
          <w:szCs w:val="16"/>
        </w:rPr>
        <w:t xml:space="preserve"> </w:t>
      </w:r>
      <w:r w:rsidRPr="00260565">
        <w:rPr>
          <w:rFonts w:ascii="Arial" w:hAnsi="Arial" w:cs="Arial"/>
          <w:sz w:val="16"/>
          <w:szCs w:val="16"/>
        </w:rPr>
        <w:t>for further details.</w:t>
      </w:r>
    </w:p>
  </w:footnote>
  <w:footnote w:id="29">
    <w:p w14:paraId="5048EE1E" w14:textId="77777777" w:rsidR="00FF0106" w:rsidRPr="00B177D8" w:rsidRDefault="00FF0106" w:rsidP="0031533F">
      <w:pPr>
        <w:spacing w:after="0"/>
        <w:rPr>
          <w:rFonts w:cs="Arial"/>
          <w:sz w:val="16"/>
          <w:szCs w:val="16"/>
        </w:rPr>
      </w:pPr>
      <w:r w:rsidRPr="00B177D8">
        <w:rPr>
          <w:rStyle w:val="FootnoteReference"/>
          <w:rFonts w:cs="Arial"/>
          <w:sz w:val="16"/>
          <w:szCs w:val="16"/>
        </w:rPr>
        <w:footnoteRef/>
      </w:r>
      <w:r w:rsidRPr="00B177D8">
        <w:rPr>
          <w:rFonts w:cs="Arial"/>
          <w:sz w:val="16"/>
          <w:szCs w:val="16"/>
        </w:rPr>
        <w:t xml:space="preserve"> To support the process of quality assuring the metrics, HEFCE will – during this current consultation – also make available to providers a set of metrics based on the consultation proposals. This will allow providers to make an early start in understanding how the proposed metrics would be constructed and identify any potential data quality issues.  </w:t>
      </w:r>
    </w:p>
  </w:footnote>
  <w:footnote w:id="30">
    <w:p w14:paraId="18E3D8A1" w14:textId="2E56BCCB" w:rsidR="00FF0106" w:rsidRPr="00B177D8" w:rsidRDefault="00FF0106" w:rsidP="0031533F">
      <w:pPr>
        <w:pStyle w:val="FootnoteText"/>
        <w:rPr>
          <w:rFonts w:ascii="Arial" w:hAnsi="Arial" w:cs="Arial"/>
          <w:sz w:val="18"/>
          <w:szCs w:val="18"/>
        </w:rPr>
      </w:pPr>
      <w:r w:rsidRPr="00B177D8">
        <w:rPr>
          <w:rStyle w:val="FootnoteReference"/>
          <w:rFonts w:ascii="Arial" w:hAnsi="Arial" w:cs="Arial"/>
          <w:sz w:val="16"/>
          <w:szCs w:val="16"/>
        </w:rPr>
        <w:footnoteRef/>
      </w:r>
      <w:r w:rsidRPr="00B177D8">
        <w:rPr>
          <w:rFonts w:ascii="Arial" w:hAnsi="Arial" w:cs="Arial"/>
          <w:sz w:val="16"/>
          <w:szCs w:val="16"/>
        </w:rPr>
        <w:t xml:space="preserve"> There is a mock-up of the information that will be provided to the </w:t>
      </w:r>
      <w:r>
        <w:rPr>
          <w:rFonts w:ascii="Arial" w:hAnsi="Arial" w:cs="Arial"/>
          <w:sz w:val="16"/>
          <w:szCs w:val="16"/>
        </w:rPr>
        <w:t>P</w:t>
      </w:r>
      <w:r w:rsidRPr="00B177D8">
        <w:rPr>
          <w:rFonts w:ascii="Arial" w:hAnsi="Arial" w:cs="Arial"/>
          <w:sz w:val="16"/>
          <w:szCs w:val="16"/>
        </w:rPr>
        <w:t xml:space="preserve">anel in </w:t>
      </w:r>
      <w:r w:rsidRPr="00B177D8">
        <w:rPr>
          <w:rFonts w:ascii="Arial" w:hAnsi="Arial" w:cs="Arial"/>
          <w:b/>
          <w:sz w:val="16"/>
          <w:szCs w:val="16"/>
        </w:rPr>
        <w:t>Annex C</w:t>
      </w:r>
      <w:r>
        <w:rPr>
          <w:rFonts w:ascii="Arial" w:hAnsi="Arial" w:cs="Arial"/>
          <w:b/>
          <w:sz w:val="16"/>
          <w:szCs w:val="16"/>
        </w:rPr>
        <w:t>.</w:t>
      </w:r>
    </w:p>
  </w:footnote>
  <w:footnote w:id="31">
    <w:p w14:paraId="2189A73E" w14:textId="77777777" w:rsidR="00FF0106" w:rsidRPr="00B177D8" w:rsidRDefault="00FF0106" w:rsidP="00A76734">
      <w:pPr>
        <w:pStyle w:val="FootnoteText"/>
        <w:rPr>
          <w:sz w:val="16"/>
          <w:szCs w:val="16"/>
        </w:rPr>
      </w:pPr>
      <w:r w:rsidRPr="00B177D8">
        <w:rPr>
          <w:rStyle w:val="FootnoteReference"/>
          <w:rFonts w:ascii="Arial" w:hAnsi="Arial" w:cs="Arial"/>
          <w:sz w:val="16"/>
          <w:szCs w:val="16"/>
        </w:rPr>
        <w:footnoteRef/>
      </w:r>
      <w:r w:rsidRPr="00B177D8">
        <w:rPr>
          <w:rFonts w:ascii="Arial" w:hAnsi="Arial" w:cs="Arial"/>
          <w:sz w:val="16"/>
          <w:szCs w:val="16"/>
        </w:rPr>
        <w:t xml:space="preserve"> </w:t>
      </w:r>
      <w:proofErr w:type="gramStart"/>
      <w:r w:rsidRPr="00B177D8">
        <w:rPr>
          <w:rFonts w:ascii="Arial" w:hAnsi="Arial" w:cs="Arial"/>
          <w:sz w:val="16"/>
          <w:szCs w:val="16"/>
        </w:rPr>
        <w:t>As POLAR applies only to students up to the age of 21, older students will be excluded from this split</w:t>
      </w:r>
      <w:r>
        <w:rPr>
          <w:rFonts w:ascii="Arial" w:hAnsi="Arial" w:cs="Arial"/>
          <w:sz w:val="16"/>
          <w:szCs w:val="16"/>
        </w:rPr>
        <w:t>.</w:t>
      </w:r>
      <w:proofErr w:type="gramEnd"/>
    </w:p>
  </w:footnote>
  <w:footnote w:id="32">
    <w:p w14:paraId="6387C9D7" w14:textId="77777777" w:rsidR="00FF0106" w:rsidRPr="0093735C" w:rsidRDefault="00FF0106" w:rsidP="00FD51F3">
      <w:pPr>
        <w:pStyle w:val="FootnoteText"/>
        <w:rPr>
          <w:rFonts w:ascii="Arial" w:hAnsi="Arial" w:cs="Arial"/>
          <w:sz w:val="16"/>
          <w:szCs w:val="16"/>
        </w:rPr>
      </w:pPr>
      <w:r w:rsidRPr="0093735C">
        <w:rPr>
          <w:rStyle w:val="FootnoteReference"/>
          <w:rFonts w:ascii="Arial" w:hAnsi="Arial" w:cs="Arial"/>
          <w:sz w:val="16"/>
          <w:szCs w:val="16"/>
        </w:rPr>
        <w:footnoteRef/>
      </w:r>
      <w:r w:rsidRPr="0093735C">
        <w:rPr>
          <w:rFonts w:ascii="Arial" w:hAnsi="Arial" w:cs="Arial"/>
          <w:sz w:val="16"/>
          <w:szCs w:val="16"/>
        </w:rPr>
        <w:t xml:space="preserve"> A weighted contact </w:t>
      </w:r>
      <w:proofErr w:type="gramStart"/>
      <w:r w:rsidRPr="0093735C">
        <w:rPr>
          <w:rFonts w:ascii="Arial" w:hAnsi="Arial" w:cs="Arial"/>
          <w:sz w:val="16"/>
          <w:szCs w:val="16"/>
        </w:rPr>
        <w:t>hours</w:t>
      </w:r>
      <w:proofErr w:type="gramEnd"/>
      <w:r w:rsidRPr="0093735C">
        <w:rPr>
          <w:rFonts w:ascii="Arial" w:hAnsi="Arial" w:cs="Arial"/>
          <w:sz w:val="16"/>
          <w:szCs w:val="16"/>
        </w:rPr>
        <w:t xml:space="preserve"> measure allows comparison between providers that deliver courses in different ways – for example, those that have high amounts of contact time with large class sizes and those that offer lower contact time and smaller class sizes. </w:t>
      </w:r>
    </w:p>
  </w:footnote>
  <w:footnote w:id="33">
    <w:p w14:paraId="568F752E" w14:textId="77777777" w:rsidR="00FF0106" w:rsidRPr="00B177D8" w:rsidRDefault="00FF0106" w:rsidP="003C3984">
      <w:pPr>
        <w:pStyle w:val="FootnoteText"/>
        <w:rPr>
          <w:rFonts w:ascii="Arial" w:hAnsi="Arial" w:cs="Arial"/>
          <w:sz w:val="16"/>
          <w:szCs w:val="16"/>
        </w:rPr>
      </w:pPr>
      <w:r w:rsidRPr="00B177D8">
        <w:rPr>
          <w:rStyle w:val="FootnoteReference"/>
          <w:rFonts w:ascii="Arial" w:hAnsi="Arial" w:cs="Arial"/>
          <w:sz w:val="16"/>
          <w:szCs w:val="16"/>
        </w:rPr>
        <w:footnoteRef/>
      </w:r>
      <w:r w:rsidRPr="00B177D8">
        <w:rPr>
          <w:rFonts w:ascii="Arial" w:hAnsi="Arial" w:cs="Arial"/>
          <w:sz w:val="16"/>
          <w:szCs w:val="16"/>
        </w:rPr>
        <w:t xml:space="preserve"> Not including those that receive</w:t>
      </w:r>
      <w:r>
        <w:rPr>
          <w:rFonts w:ascii="Arial" w:hAnsi="Arial" w:cs="Arial"/>
          <w:sz w:val="16"/>
          <w:szCs w:val="16"/>
        </w:rPr>
        <w:t xml:space="preserve"> a rating of</w:t>
      </w:r>
      <w:r w:rsidRPr="00B177D8">
        <w:rPr>
          <w:rFonts w:ascii="Arial" w:hAnsi="Arial" w:cs="Arial"/>
          <w:sz w:val="16"/>
          <w:szCs w:val="16"/>
        </w:rPr>
        <w:t xml:space="preserve"> “</w:t>
      </w:r>
      <w:r>
        <w:rPr>
          <w:rFonts w:ascii="Arial" w:hAnsi="Arial" w:cs="Arial"/>
          <w:sz w:val="16"/>
          <w:szCs w:val="16"/>
        </w:rPr>
        <w:t>M</w:t>
      </w:r>
      <w:r w:rsidRPr="00B177D8">
        <w:rPr>
          <w:rFonts w:ascii="Arial" w:hAnsi="Arial" w:cs="Arial"/>
          <w:sz w:val="16"/>
          <w:szCs w:val="16"/>
        </w:rPr>
        <w:t>eets</w:t>
      </w:r>
      <w:r>
        <w:rPr>
          <w:rFonts w:ascii="Arial" w:hAnsi="Arial" w:cs="Arial"/>
          <w:sz w:val="16"/>
          <w:szCs w:val="16"/>
        </w:rPr>
        <w:t xml:space="preserve"> Expectations</w:t>
      </w:r>
      <w:r w:rsidRPr="00B177D8">
        <w:rPr>
          <w:rFonts w:ascii="Arial" w:hAnsi="Arial" w:cs="Arial"/>
          <w:sz w:val="16"/>
          <w:szCs w:val="16"/>
        </w:rPr>
        <w:t>” on procedural grounds due to a lack of suitable metrics</w:t>
      </w:r>
      <w:r>
        <w:rPr>
          <w:rFonts w:ascii="Arial" w:hAnsi="Arial" w:cs="Arial"/>
          <w:sz w:val="16"/>
          <w:szCs w:val="16"/>
        </w:rPr>
        <w:t xml:space="preserve"> (see Chapter 2: Eligibility and Pre-requisites)</w:t>
      </w:r>
    </w:p>
  </w:footnote>
  <w:footnote w:id="34">
    <w:p w14:paraId="79087F97" w14:textId="77777777" w:rsidR="00FF0106" w:rsidRPr="005507A9" w:rsidRDefault="00FF0106" w:rsidP="003D1E3E">
      <w:pPr>
        <w:pStyle w:val="FootnoteText"/>
        <w:rPr>
          <w:rFonts w:ascii="Arial" w:hAnsi="Arial" w:cs="Arial"/>
          <w:sz w:val="16"/>
          <w:szCs w:val="16"/>
        </w:rPr>
      </w:pPr>
      <w:r w:rsidRPr="005507A9">
        <w:rPr>
          <w:rStyle w:val="FootnoteReference"/>
          <w:rFonts w:ascii="Arial" w:hAnsi="Arial" w:cs="Arial"/>
          <w:sz w:val="16"/>
          <w:szCs w:val="16"/>
        </w:rPr>
        <w:footnoteRef/>
      </w:r>
      <w:r w:rsidRPr="005507A9">
        <w:rPr>
          <w:rFonts w:ascii="Arial" w:hAnsi="Arial" w:cs="Arial"/>
          <w:sz w:val="16"/>
          <w:szCs w:val="16"/>
        </w:rPr>
        <w:t xml:space="preserve"> The </w:t>
      </w:r>
      <w:proofErr w:type="spellStart"/>
      <w:r w:rsidRPr="005507A9">
        <w:rPr>
          <w:rFonts w:ascii="Arial" w:hAnsi="Arial" w:cs="Arial"/>
          <w:sz w:val="16"/>
          <w:szCs w:val="16"/>
        </w:rPr>
        <w:t>Unistats</w:t>
      </w:r>
      <w:proofErr w:type="spellEnd"/>
      <w:r w:rsidRPr="005507A9">
        <w:rPr>
          <w:rFonts w:ascii="Arial" w:hAnsi="Arial" w:cs="Arial"/>
          <w:sz w:val="16"/>
          <w:szCs w:val="16"/>
        </w:rPr>
        <w:t xml:space="preserve"> website: </w:t>
      </w:r>
      <w:hyperlink r:id="rId18" w:history="1">
        <w:r w:rsidRPr="005507A9">
          <w:rPr>
            <w:rStyle w:val="Hyperlink"/>
            <w:rFonts w:cs="Arial"/>
            <w:sz w:val="16"/>
            <w:szCs w:val="16"/>
          </w:rPr>
          <w:t>https://unistats.direct.gov.uk/</w:t>
        </w:r>
      </w:hyperlink>
      <w:r w:rsidRPr="005507A9">
        <w:rPr>
          <w:rFonts w:ascii="Arial" w:hAnsi="Arial" w:cs="Arial"/>
          <w:sz w:val="16"/>
          <w:szCs w:val="16"/>
        </w:rPr>
        <w:t xml:space="preserve"> </w:t>
      </w:r>
    </w:p>
  </w:footnote>
  <w:footnote w:id="35">
    <w:p w14:paraId="5613CDA6" w14:textId="77777777" w:rsidR="00FF0106" w:rsidRDefault="00FF0106" w:rsidP="003D1E3E">
      <w:pPr>
        <w:pStyle w:val="FootnoteText"/>
      </w:pPr>
      <w:r w:rsidRPr="005507A9">
        <w:rPr>
          <w:rStyle w:val="FootnoteReference"/>
          <w:rFonts w:ascii="Arial" w:hAnsi="Arial" w:cs="Arial"/>
          <w:sz w:val="16"/>
          <w:szCs w:val="16"/>
        </w:rPr>
        <w:footnoteRef/>
      </w:r>
      <w:r w:rsidRPr="005507A9">
        <w:rPr>
          <w:rFonts w:ascii="Arial" w:hAnsi="Arial" w:cs="Arial"/>
          <w:sz w:val="16"/>
          <w:szCs w:val="16"/>
        </w:rPr>
        <w:t xml:space="preserve"> The Register of Higher Education providers: </w:t>
      </w:r>
      <w:hyperlink r:id="rId19" w:history="1">
        <w:r w:rsidRPr="005507A9">
          <w:rPr>
            <w:rStyle w:val="Hyperlink"/>
            <w:rFonts w:cs="Arial"/>
            <w:sz w:val="16"/>
            <w:szCs w:val="16"/>
          </w:rPr>
          <w:t>http://www.hefce.ac.uk/reg/register/</w:t>
        </w:r>
      </w:hyperlink>
      <w:r>
        <w:t xml:space="preserve"> </w:t>
      </w:r>
    </w:p>
  </w:footnote>
  <w:footnote w:id="36">
    <w:p w14:paraId="5E67D945" w14:textId="77777777" w:rsidR="00FF0106" w:rsidRPr="00BC2B4B" w:rsidRDefault="00FF0106" w:rsidP="0059790B">
      <w:pPr>
        <w:pStyle w:val="FootnoteText"/>
        <w:rPr>
          <w:rFonts w:ascii="Arial" w:hAnsi="Arial" w:cs="Arial"/>
          <w:sz w:val="16"/>
          <w:szCs w:val="16"/>
        </w:rPr>
      </w:pPr>
      <w:r w:rsidRPr="00BC2B4B">
        <w:rPr>
          <w:rStyle w:val="FootnoteReference"/>
          <w:rFonts w:ascii="Arial" w:hAnsi="Arial" w:cs="Arial"/>
          <w:sz w:val="16"/>
          <w:szCs w:val="16"/>
        </w:rPr>
        <w:footnoteRef/>
      </w:r>
      <w:r w:rsidRPr="00BC2B4B">
        <w:rPr>
          <w:rFonts w:ascii="Arial" w:hAnsi="Arial" w:cs="Arial"/>
          <w:sz w:val="16"/>
          <w:szCs w:val="16"/>
        </w:rPr>
        <w:t xml:space="preserve"> Proportion based on the number of providers with at least one student in the relevant population for the time period studied.</w:t>
      </w:r>
    </w:p>
  </w:footnote>
  <w:footnote w:id="37">
    <w:p w14:paraId="51072347" w14:textId="77777777" w:rsidR="00FF0106" w:rsidRDefault="00FF0106" w:rsidP="0059790B">
      <w:pPr>
        <w:pStyle w:val="FootnoteText"/>
      </w:pPr>
      <w:r w:rsidRPr="00BC2B4B">
        <w:rPr>
          <w:rStyle w:val="FootnoteReference"/>
          <w:rFonts w:ascii="Arial" w:hAnsi="Arial" w:cs="Arial"/>
          <w:sz w:val="16"/>
          <w:szCs w:val="16"/>
        </w:rPr>
        <w:footnoteRef/>
      </w:r>
      <w:r w:rsidRPr="00BC2B4B">
        <w:rPr>
          <w:rFonts w:ascii="Arial" w:hAnsi="Arial" w:cs="Arial"/>
          <w:sz w:val="16"/>
          <w:szCs w:val="16"/>
        </w:rPr>
        <w:t xml:space="preserve"> Non-continuation data for FECs is not available for publication in the consultation as it requires further work to join HESA and ILR data correctly.</w:t>
      </w:r>
    </w:p>
  </w:footnote>
  <w:footnote w:id="38">
    <w:p w14:paraId="19E13443" w14:textId="77777777" w:rsidR="00FF0106" w:rsidRPr="00B177D8" w:rsidRDefault="00FF0106" w:rsidP="0059790B">
      <w:pPr>
        <w:pStyle w:val="FootnoteText"/>
        <w:rPr>
          <w:rFonts w:ascii="Arial" w:hAnsi="Arial" w:cs="Arial"/>
          <w:sz w:val="16"/>
          <w:szCs w:val="16"/>
        </w:rPr>
      </w:pPr>
      <w:r w:rsidRPr="00B177D8">
        <w:rPr>
          <w:rStyle w:val="FootnoteReference"/>
          <w:rFonts w:ascii="Arial" w:hAnsi="Arial" w:cs="Arial"/>
          <w:sz w:val="16"/>
          <w:szCs w:val="16"/>
        </w:rPr>
        <w:footnoteRef/>
      </w:r>
      <w:r w:rsidRPr="00B177D8">
        <w:rPr>
          <w:rFonts w:ascii="Arial" w:hAnsi="Arial" w:cs="Arial"/>
          <w:sz w:val="16"/>
          <w:szCs w:val="16"/>
        </w:rPr>
        <w:t xml:space="preserve"> The z-score is the number of standard deviations from the benchmark, scores are flagged when this number is greater than 2 or less than -2 and the difference (a-b) is greater than 2 percentage points</w:t>
      </w:r>
    </w:p>
  </w:footnote>
  <w:footnote w:id="39">
    <w:p w14:paraId="6A9A8206" w14:textId="77777777" w:rsidR="00FF0106" w:rsidRPr="0083798D" w:rsidRDefault="00FF0106" w:rsidP="000630C2">
      <w:pPr>
        <w:pStyle w:val="FootnoteText"/>
        <w:rPr>
          <w:rFonts w:ascii="Arial" w:hAnsi="Arial" w:cs="Arial"/>
          <w:sz w:val="16"/>
          <w:szCs w:val="16"/>
        </w:rPr>
      </w:pPr>
      <w:r w:rsidRPr="0083798D">
        <w:rPr>
          <w:rStyle w:val="FootnoteReference"/>
          <w:rFonts w:ascii="Arial" w:hAnsi="Arial" w:cs="Arial"/>
          <w:sz w:val="16"/>
          <w:szCs w:val="16"/>
        </w:rPr>
        <w:footnoteRef/>
      </w:r>
      <w:r w:rsidRPr="0083798D">
        <w:rPr>
          <w:rFonts w:ascii="Arial" w:hAnsi="Arial" w:cs="Arial"/>
          <w:sz w:val="16"/>
          <w:szCs w:val="16"/>
        </w:rPr>
        <w:t xml:space="preserve"> BIS Select Committee report (February 2016). Available at: </w:t>
      </w:r>
      <w:hyperlink r:id="rId20" w:history="1">
        <w:r w:rsidRPr="0083798D">
          <w:rPr>
            <w:rStyle w:val="Hyperlink"/>
            <w:rFonts w:cs="Arial"/>
            <w:sz w:val="16"/>
            <w:szCs w:val="16"/>
          </w:rPr>
          <w:t>http://www.parliament.uk/business/committees/committees-a-z/commons-select/business-innovation-and-skills/news-parliament-2015/quality-of-higher-education-report-published-15-16/</w:t>
        </w:r>
      </w:hyperlink>
      <w:r w:rsidRPr="0083798D">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6CC13" w14:textId="777D03E0" w:rsidR="00FF0106" w:rsidRDefault="00FF0106">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09EDD" w14:textId="4F537CB9" w:rsidR="00FF0106" w:rsidRDefault="00FF0106" w:rsidP="00BE2FBB">
    <w:pPr>
      <w:pStyle w:val="Headertext"/>
    </w:pPr>
    <w:r>
      <w:rPr>
        <w:noProof/>
        <w:lang w:eastAsia="en-GB"/>
      </w:rPr>
      <mc:AlternateContent>
        <mc:Choice Requires="wps">
          <w:drawing>
            <wp:anchor distT="0" distB="0" distL="114300" distR="114300" simplePos="0" relativeHeight="251688960" behindDoc="0" locked="0" layoutInCell="1" allowOverlap="1" wp14:anchorId="0C93C6FB" wp14:editId="0130281E">
              <wp:simplePos x="0" y="0"/>
              <wp:positionH relativeFrom="page">
                <wp:posOffset>-95250</wp:posOffset>
              </wp:positionH>
              <wp:positionV relativeFrom="page">
                <wp:posOffset>466725</wp:posOffset>
              </wp:positionV>
              <wp:extent cx="10868025" cy="0"/>
              <wp:effectExtent l="0" t="0" r="9525" b="19050"/>
              <wp:wrapTight wrapText="bothSides">
                <wp:wrapPolygon edited="0">
                  <wp:start x="0" y="-1"/>
                  <wp:lineTo x="0" y="-1"/>
                  <wp:lineTo x="21581" y="-1"/>
                  <wp:lineTo x="21581" y="-1"/>
                  <wp:lineTo x="0" y="-1"/>
                </wp:wrapPolygon>
              </wp:wrapTight>
              <wp:docPr id="3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68025" cy="0"/>
                      </a:xfrm>
                      <a:prstGeom prst="line">
                        <a:avLst/>
                      </a:prstGeom>
                      <a:noFill/>
                      <a:ln w="12700">
                        <a:solidFill>
                          <a:srgbClr val="00347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pt,36.75pt" to="848.2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" strokecolor="#003478" strokeweight="1pt">
              <w10:wrap type="tight" anchorx="page" anchory="page"/>
            </v:line>
          </w:pict>
        </mc:Fallback>
      </mc:AlternateContent>
    </w:r>
    <w:r>
      <w:t xml:space="preserve">          TEF Technical Consultation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31B8D" w14:textId="77777777" w:rsidR="00FF0106" w:rsidRDefault="00FF0106" w:rsidP="00BE2FBB">
    <w:pPr>
      <w:pStyle w:val="Headertext"/>
    </w:pPr>
    <w:r>
      <w:rPr>
        <w:noProof/>
        <w:lang w:eastAsia="en-GB"/>
      </w:rPr>
      <mc:AlternateContent>
        <mc:Choice Requires="wps">
          <w:drawing>
            <wp:anchor distT="0" distB="0" distL="114300" distR="114300" simplePos="0" relativeHeight="251691008" behindDoc="0" locked="0" layoutInCell="1" allowOverlap="1" wp14:anchorId="5114B947" wp14:editId="2314B675">
              <wp:simplePos x="0" y="0"/>
              <wp:positionH relativeFrom="page">
                <wp:posOffset>-95250</wp:posOffset>
              </wp:positionH>
              <wp:positionV relativeFrom="page">
                <wp:posOffset>466725</wp:posOffset>
              </wp:positionV>
              <wp:extent cx="10868025" cy="0"/>
              <wp:effectExtent l="0" t="0" r="9525" b="19050"/>
              <wp:wrapTight wrapText="bothSides">
                <wp:wrapPolygon edited="0">
                  <wp:start x="0" y="-1"/>
                  <wp:lineTo x="0" y="-1"/>
                  <wp:lineTo x="21581" y="-1"/>
                  <wp:lineTo x="21581" y="-1"/>
                  <wp:lineTo x="0" y="-1"/>
                </wp:wrapPolygon>
              </wp:wrapTight>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68025" cy="0"/>
                      </a:xfrm>
                      <a:prstGeom prst="line">
                        <a:avLst/>
                      </a:prstGeom>
                      <a:noFill/>
                      <a:ln w="12700">
                        <a:solidFill>
                          <a:srgbClr val="00347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pt,36.75pt" to="848.2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" strokecolor="#003478" strokeweight="1pt">
              <w10:wrap type="tight" anchorx="page" anchory="page"/>
            </v:line>
          </w:pict>
        </mc:Fallback>
      </mc:AlternateContent>
    </w:r>
    <w:r>
      <w:t xml:space="preserve">          TEF Technical Consultation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B94B1" w14:textId="77777777" w:rsidR="00FF0106" w:rsidRDefault="00FF010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11F60" w14:textId="77777777" w:rsidR="00FF0106" w:rsidRPr="00D90412" w:rsidRDefault="00FF0106" w:rsidP="003327AA">
    <w:pPr>
      <w:pStyle w:val="Headertext"/>
    </w:pPr>
    <w:r>
      <w:rPr>
        <w:noProof/>
        <w:lang w:eastAsia="en-GB"/>
      </w:rPr>
      <mc:AlternateContent>
        <mc:Choice Requires="wps">
          <w:drawing>
            <wp:anchor distT="0" distB="0" distL="114300" distR="114300" simplePos="0" relativeHeight="251693056" behindDoc="0" locked="0" layoutInCell="1" allowOverlap="1" wp14:anchorId="2908D278" wp14:editId="30A9F748">
              <wp:simplePos x="0" y="0"/>
              <wp:positionH relativeFrom="page">
                <wp:posOffset>0</wp:posOffset>
              </wp:positionH>
              <wp:positionV relativeFrom="page">
                <wp:posOffset>428625</wp:posOffset>
              </wp:positionV>
              <wp:extent cx="10753725" cy="0"/>
              <wp:effectExtent l="0" t="0" r="9525" b="19050"/>
              <wp:wrapTight wrapText="bothSides">
                <wp:wrapPolygon edited="0">
                  <wp:start x="0" y="-1"/>
                  <wp:lineTo x="0" y="-1"/>
                  <wp:lineTo x="21581" y="-1"/>
                  <wp:lineTo x="21581" y="-1"/>
                  <wp:lineTo x="0" y="-1"/>
                </wp:wrapPolygon>
              </wp:wrapTight>
              <wp:docPr id="6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3725" cy="0"/>
                      </a:xfrm>
                      <a:prstGeom prst="line">
                        <a:avLst/>
                      </a:prstGeom>
                      <a:noFill/>
                      <a:ln w="12700">
                        <a:solidFill>
                          <a:srgbClr val="00347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3.75pt" to="846.7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" strokecolor="#003478" strokeweight="1pt">
              <w10:wrap type="tight" anchorx="page" anchory="page"/>
            </v:line>
          </w:pict>
        </mc:Fallback>
      </mc:AlternateContent>
    </w:r>
    <w:r>
      <w:t>TEF Technical Consultation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C9E32" w14:textId="77777777" w:rsidR="00FF0106" w:rsidRDefault="00FF01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640"/>
    <w:multiLevelType w:val="hybridMultilevel"/>
    <w:tmpl w:val="48429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BC692A"/>
    <w:multiLevelType w:val="hybridMultilevel"/>
    <w:tmpl w:val="758035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D474F8"/>
    <w:multiLevelType w:val="hybridMultilevel"/>
    <w:tmpl w:val="5FF8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9C3BDB"/>
    <w:multiLevelType w:val="hybridMultilevel"/>
    <w:tmpl w:val="2FE82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DC2A4A"/>
    <w:multiLevelType w:val="hybridMultilevel"/>
    <w:tmpl w:val="368C1B3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5">
    <w:nsid w:val="0722574A"/>
    <w:multiLevelType w:val="hybridMultilevel"/>
    <w:tmpl w:val="4802C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6D4E59"/>
    <w:multiLevelType w:val="hybridMultilevel"/>
    <w:tmpl w:val="DBBA2DDA"/>
    <w:lvl w:ilvl="0" w:tplc="7AFE018E">
      <w:start w:val="1"/>
      <w:numFmt w:val="bullet"/>
      <w:lvlText w:val=""/>
      <w:lvlJc w:val="left"/>
      <w:pPr>
        <w:ind w:left="720" w:hanging="360"/>
      </w:pPr>
      <w:rPr>
        <w:rFonts w:ascii="Symbol" w:hAnsi="Symbol"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C3F7654"/>
    <w:multiLevelType w:val="hybridMultilevel"/>
    <w:tmpl w:val="2E42FD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02D4DC9"/>
    <w:multiLevelType w:val="hybridMultilevel"/>
    <w:tmpl w:val="B8B8D9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18D0CC8"/>
    <w:multiLevelType w:val="hybridMultilevel"/>
    <w:tmpl w:val="3B3CC8E6"/>
    <w:lvl w:ilvl="0" w:tplc="C9045974">
      <w:start w:val="1"/>
      <w:numFmt w:val="bullet"/>
      <w:pStyle w:val="ListBullet"/>
      <w:lvlText w:val=""/>
      <w:lvlJc w:val="left"/>
      <w:pPr>
        <w:tabs>
          <w:tab w:val="num" w:pos="284"/>
        </w:tabs>
        <w:ind w:left="284" w:hanging="284"/>
      </w:pPr>
      <w:rPr>
        <w:rFonts w:ascii="Symbol" w:hAnsi="Symbol" w:hint="default"/>
        <w:color w:val="000000"/>
        <w:sz w:val="24"/>
      </w:rPr>
    </w:lvl>
    <w:lvl w:ilvl="1" w:tplc="4D2296F0">
      <w:start w:val="1"/>
      <w:numFmt w:val="bullet"/>
      <w:lvlText w:val=""/>
      <w:lvlJc w:val="left"/>
      <w:pPr>
        <w:tabs>
          <w:tab w:val="num" w:pos="1327"/>
        </w:tabs>
        <w:ind w:left="1327" w:hanging="360"/>
      </w:pPr>
      <w:rPr>
        <w:rFonts w:ascii="Symbol" w:hAnsi="Symbol"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10">
    <w:nsid w:val="15A50E6E"/>
    <w:multiLevelType w:val="hybridMultilevel"/>
    <w:tmpl w:val="91EEE6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AD4448"/>
    <w:multiLevelType w:val="hybridMultilevel"/>
    <w:tmpl w:val="31B2F09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2">
    <w:nsid w:val="2C0D2EE2"/>
    <w:multiLevelType w:val="hybridMultilevel"/>
    <w:tmpl w:val="9DB47094"/>
    <w:lvl w:ilvl="0" w:tplc="7AFE01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AF1DBA"/>
    <w:multiLevelType w:val="hybridMultilevel"/>
    <w:tmpl w:val="21BC9AD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4">
    <w:nsid w:val="3C250DE6"/>
    <w:multiLevelType w:val="hybridMultilevel"/>
    <w:tmpl w:val="D8DCE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611AAF"/>
    <w:multiLevelType w:val="hybridMultilevel"/>
    <w:tmpl w:val="CF1CF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D27A5D"/>
    <w:multiLevelType w:val="hybridMultilevel"/>
    <w:tmpl w:val="1DE89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A54654"/>
    <w:multiLevelType w:val="multilevel"/>
    <w:tmpl w:val="306647C6"/>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18">
    <w:nsid w:val="49DC3625"/>
    <w:multiLevelType w:val="hybridMultilevel"/>
    <w:tmpl w:val="409AC2E6"/>
    <w:lvl w:ilvl="0" w:tplc="A84270DC">
      <w:start w:val="1"/>
      <w:numFmt w:val="lowerRoman"/>
      <w:lvlText w:val="%1."/>
      <w:lvlJc w:val="right"/>
      <w:pPr>
        <w:ind w:left="720" w:hanging="360"/>
      </w:pPr>
      <w:rPr>
        <w:rFont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AE6BCE"/>
    <w:multiLevelType w:val="hybridMultilevel"/>
    <w:tmpl w:val="0038AB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8A7506C"/>
    <w:multiLevelType w:val="hybridMultilevel"/>
    <w:tmpl w:val="0AA80F50"/>
    <w:lvl w:ilvl="0" w:tplc="7AFE018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A595C6A"/>
    <w:multiLevelType w:val="hybridMultilevel"/>
    <w:tmpl w:val="41D0525C"/>
    <w:lvl w:ilvl="0" w:tplc="7AFE01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44591C"/>
    <w:multiLevelType w:val="hybridMultilevel"/>
    <w:tmpl w:val="C458D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40001B"/>
    <w:multiLevelType w:val="hybridMultilevel"/>
    <w:tmpl w:val="AF62E40C"/>
    <w:lvl w:ilvl="0" w:tplc="528299C2">
      <w:start w:val="1"/>
      <w:numFmt w:val="decimal"/>
      <w:lvlText w:val="%1."/>
      <w:lvlJc w:val="left"/>
      <w:pPr>
        <w:ind w:left="720" w:hanging="360"/>
      </w:pPr>
      <w:rPr>
        <w:rFonts w:ascii="Arial" w:hAnsi="Arial" w:cs="Arial"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B364ED2"/>
    <w:multiLevelType w:val="hybridMultilevel"/>
    <w:tmpl w:val="2F622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D7188E"/>
    <w:multiLevelType w:val="hybridMultilevel"/>
    <w:tmpl w:val="5C0EE784"/>
    <w:lvl w:ilvl="0" w:tplc="7AFE01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3D554C"/>
    <w:multiLevelType w:val="hybridMultilevel"/>
    <w:tmpl w:val="009A751E"/>
    <w:lvl w:ilvl="0" w:tplc="7AFE01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9A4517"/>
    <w:multiLevelType w:val="hybridMultilevel"/>
    <w:tmpl w:val="A4085336"/>
    <w:lvl w:ilvl="0" w:tplc="7AFE018E">
      <w:start w:val="1"/>
      <w:numFmt w:val="bullet"/>
      <w:lvlText w:val=""/>
      <w:lvlJc w:val="left"/>
      <w:pPr>
        <w:ind w:left="1146" w:hanging="360"/>
      </w:pPr>
      <w:rPr>
        <w:rFonts w:ascii="Symbol" w:hAnsi="Symbol"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nsid w:val="77734D8A"/>
    <w:multiLevelType w:val="hybridMultilevel"/>
    <w:tmpl w:val="B3CE70DA"/>
    <w:lvl w:ilvl="0" w:tplc="7AFE01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780387"/>
    <w:multiLevelType w:val="hybridMultilevel"/>
    <w:tmpl w:val="284A2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021A07"/>
    <w:multiLevelType w:val="hybridMultilevel"/>
    <w:tmpl w:val="613EF7A2"/>
    <w:lvl w:ilvl="0" w:tplc="7AFE01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6"/>
  </w:num>
  <w:num w:numId="4">
    <w:abstractNumId w:val="17"/>
  </w:num>
  <w:num w:numId="5">
    <w:abstractNumId w:val="1"/>
  </w:num>
  <w:num w:numId="6">
    <w:abstractNumId w:val="14"/>
  </w:num>
  <w:num w:numId="7">
    <w:abstractNumId w:val="15"/>
  </w:num>
  <w:num w:numId="8">
    <w:abstractNumId w:val="2"/>
  </w:num>
  <w:num w:numId="9">
    <w:abstractNumId w:val="10"/>
  </w:num>
  <w:num w:numId="10">
    <w:abstractNumId w:val="19"/>
  </w:num>
  <w:num w:numId="11">
    <w:abstractNumId w:val="7"/>
  </w:num>
  <w:num w:numId="12">
    <w:abstractNumId w:val="29"/>
  </w:num>
  <w:num w:numId="13">
    <w:abstractNumId w:val="24"/>
  </w:num>
  <w:num w:numId="14">
    <w:abstractNumId w:val="22"/>
  </w:num>
  <w:num w:numId="15">
    <w:abstractNumId w:val="5"/>
  </w:num>
  <w:num w:numId="16">
    <w:abstractNumId w:val="0"/>
  </w:num>
  <w:num w:numId="17">
    <w:abstractNumId w:val="3"/>
  </w:num>
  <w:num w:numId="18">
    <w:abstractNumId w:val="23"/>
  </w:num>
  <w:num w:numId="19">
    <w:abstractNumId w:val="27"/>
  </w:num>
  <w:num w:numId="20">
    <w:abstractNumId w:val="6"/>
  </w:num>
  <w:num w:numId="21">
    <w:abstractNumId w:val="12"/>
  </w:num>
  <w:num w:numId="22">
    <w:abstractNumId w:val="26"/>
  </w:num>
  <w:num w:numId="23">
    <w:abstractNumId w:val="8"/>
  </w:num>
  <w:num w:numId="24">
    <w:abstractNumId w:val="25"/>
  </w:num>
  <w:num w:numId="25">
    <w:abstractNumId w:val="20"/>
  </w:num>
  <w:num w:numId="26">
    <w:abstractNumId w:val="21"/>
  </w:num>
  <w:num w:numId="27">
    <w:abstractNumId w:val="28"/>
  </w:num>
  <w:num w:numId="28">
    <w:abstractNumId w:val="30"/>
  </w:num>
  <w:num w:numId="29">
    <w:abstractNumId w:val="11"/>
  </w:num>
  <w:num w:numId="30">
    <w:abstractNumId w:val="13"/>
  </w:num>
  <w:num w:numId="31">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10241">
      <o:colormenu v:ext="edit" fillcolor="none"/>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2AA"/>
    <w:rsid w:val="000061C7"/>
    <w:rsid w:val="00006868"/>
    <w:rsid w:val="00010257"/>
    <w:rsid w:val="00011F22"/>
    <w:rsid w:val="0001627B"/>
    <w:rsid w:val="000164A3"/>
    <w:rsid w:val="00017E33"/>
    <w:rsid w:val="00021EF9"/>
    <w:rsid w:val="0002538C"/>
    <w:rsid w:val="00027A16"/>
    <w:rsid w:val="00034B8B"/>
    <w:rsid w:val="00035BC3"/>
    <w:rsid w:val="000377CF"/>
    <w:rsid w:val="00040696"/>
    <w:rsid w:val="000448FE"/>
    <w:rsid w:val="00045E75"/>
    <w:rsid w:val="00046317"/>
    <w:rsid w:val="00046598"/>
    <w:rsid w:val="00047D9A"/>
    <w:rsid w:val="000527D9"/>
    <w:rsid w:val="000541C2"/>
    <w:rsid w:val="000607B1"/>
    <w:rsid w:val="00062779"/>
    <w:rsid w:val="000630C2"/>
    <w:rsid w:val="0006789C"/>
    <w:rsid w:val="000678D6"/>
    <w:rsid w:val="0007569E"/>
    <w:rsid w:val="000768E6"/>
    <w:rsid w:val="00076C53"/>
    <w:rsid w:val="00077DDA"/>
    <w:rsid w:val="00081666"/>
    <w:rsid w:val="00093DA6"/>
    <w:rsid w:val="00093DCD"/>
    <w:rsid w:val="00094F36"/>
    <w:rsid w:val="00095711"/>
    <w:rsid w:val="00096219"/>
    <w:rsid w:val="000A30C0"/>
    <w:rsid w:val="000A3BAB"/>
    <w:rsid w:val="000B08B2"/>
    <w:rsid w:val="000B2070"/>
    <w:rsid w:val="000B2708"/>
    <w:rsid w:val="000B5CBB"/>
    <w:rsid w:val="000C7B45"/>
    <w:rsid w:val="000D0B1D"/>
    <w:rsid w:val="000D0D00"/>
    <w:rsid w:val="000D1A9C"/>
    <w:rsid w:val="000D2E3E"/>
    <w:rsid w:val="000D32D7"/>
    <w:rsid w:val="000D390F"/>
    <w:rsid w:val="000D6689"/>
    <w:rsid w:val="000D7544"/>
    <w:rsid w:val="000E1ECE"/>
    <w:rsid w:val="000E1F19"/>
    <w:rsid w:val="000E25EC"/>
    <w:rsid w:val="000E42CE"/>
    <w:rsid w:val="000E7281"/>
    <w:rsid w:val="000E7DFB"/>
    <w:rsid w:val="000F0885"/>
    <w:rsid w:val="000F23A3"/>
    <w:rsid w:val="000F35E4"/>
    <w:rsid w:val="000F714B"/>
    <w:rsid w:val="0010465A"/>
    <w:rsid w:val="00106095"/>
    <w:rsid w:val="00107E7A"/>
    <w:rsid w:val="001107F7"/>
    <w:rsid w:val="001114FD"/>
    <w:rsid w:val="001117ED"/>
    <w:rsid w:val="0011270D"/>
    <w:rsid w:val="00113188"/>
    <w:rsid w:val="0012195B"/>
    <w:rsid w:val="001220F7"/>
    <w:rsid w:val="00123DA1"/>
    <w:rsid w:val="00124400"/>
    <w:rsid w:val="00130394"/>
    <w:rsid w:val="00130D06"/>
    <w:rsid w:val="00133ADE"/>
    <w:rsid w:val="0013442E"/>
    <w:rsid w:val="00136A41"/>
    <w:rsid w:val="00141898"/>
    <w:rsid w:val="00145F09"/>
    <w:rsid w:val="001473CC"/>
    <w:rsid w:val="00154553"/>
    <w:rsid w:val="00154627"/>
    <w:rsid w:val="00156900"/>
    <w:rsid w:val="001577FB"/>
    <w:rsid w:val="001645DC"/>
    <w:rsid w:val="001703B9"/>
    <w:rsid w:val="001708F9"/>
    <w:rsid w:val="001717AB"/>
    <w:rsid w:val="00173D15"/>
    <w:rsid w:val="001748CC"/>
    <w:rsid w:val="001748F1"/>
    <w:rsid w:val="00175396"/>
    <w:rsid w:val="001824A2"/>
    <w:rsid w:val="001842A4"/>
    <w:rsid w:val="00185909"/>
    <w:rsid w:val="0018722F"/>
    <w:rsid w:val="001932B4"/>
    <w:rsid w:val="001A1DFE"/>
    <w:rsid w:val="001A3234"/>
    <w:rsid w:val="001A45C3"/>
    <w:rsid w:val="001A73FA"/>
    <w:rsid w:val="001B04AE"/>
    <w:rsid w:val="001B1E05"/>
    <w:rsid w:val="001B1FB1"/>
    <w:rsid w:val="001B66AD"/>
    <w:rsid w:val="001C1795"/>
    <w:rsid w:val="001C473A"/>
    <w:rsid w:val="001C561C"/>
    <w:rsid w:val="001C6156"/>
    <w:rsid w:val="001D010E"/>
    <w:rsid w:val="001D0F7D"/>
    <w:rsid w:val="001D1D6C"/>
    <w:rsid w:val="001D22FA"/>
    <w:rsid w:val="001D5CEF"/>
    <w:rsid w:val="001D6BEC"/>
    <w:rsid w:val="001F25F1"/>
    <w:rsid w:val="001F2672"/>
    <w:rsid w:val="001F29A1"/>
    <w:rsid w:val="001F3596"/>
    <w:rsid w:val="001F47DF"/>
    <w:rsid w:val="001F65FA"/>
    <w:rsid w:val="00201C5C"/>
    <w:rsid w:val="00204520"/>
    <w:rsid w:val="00204845"/>
    <w:rsid w:val="00205902"/>
    <w:rsid w:val="00205C3F"/>
    <w:rsid w:val="00211891"/>
    <w:rsid w:val="002129CA"/>
    <w:rsid w:val="0021313F"/>
    <w:rsid w:val="00216145"/>
    <w:rsid w:val="0021625A"/>
    <w:rsid w:val="00216C7D"/>
    <w:rsid w:val="002201AE"/>
    <w:rsid w:val="00220699"/>
    <w:rsid w:val="00220732"/>
    <w:rsid w:val="00221AE1"/>
    <w:rsid w:val="00223B17"/>
    <w:rsid w:val="00224515"/>
    <w:rsid w:val="00230C53"/>
    <w:rsid w:val="00230E26"/>
    <w:rsid w:val="00233D5F"/>
    <w:rsid w:val="00235ED6"/>
    <w:rsid w:val="00240DCA"/>
    <w:rsid w:val="00241D71"/>
    <w:rsid w:val="002452F9"/>
    <w:rsid w:val="00245C3D"/>
    <w:rsid w:val="0024675E"/>
    <w:rsid w:val="00247825"/>
    <w:rsid w:val="0025064E"/>
    <w:rsid w:val="00250C1B"/>
    <w:rsid w:val="00252E50"/>
    <w:rsid w:val="002531E3"/>
    <w:rsid w:val="0025732B"/>
    <w:rsid w:val="00260565"/>
    <w:rsid w:val="002615F0"/>
    <w:rsid w:val="00261FA7"/>
    <w:rsid w:val="002626B9"/>
    <w:rsid w:val="00264DD0"/>
    <w:rsid w:val="00266639"/>
    <w:rsid w:val="002679A7"/>
    <w:rsid w:val="00274A74"/>
    <w:rsid w:val="00275190"/>
    <w:rsid w:val="00275964"/>
    <w:rsid w:val="00276B96"/>
    <w:rsid w:val="00281026"/>
    <w:rsid w:val="00281AFA"/>
    <w:rsid w:val="00282989"/>
    <w:rsid w:val="00291F4C"/>
    <w:rsid w:val="00293514"/>
    <w:rsid w:val="002946F5"/>
    <w:rsid w:val="00295051"/>
    <w:rsid w:val="00296AD4"/>
    <w:rsid w:val="00296F41"/>
    <w:rsid w:val="002973FD"/>
    <w:rsid w:val="0029751E"/>
    <w:rsid w:val="002A27DC"/>
    <w:rsid w:val="002A473D"/>
    <w:rsid w:val="002A5350"/>
    <w:rsid w:val="002A5C91"/>
    <w:rsid w:val="002A60DE"/>
    <w:rsid w:val="002C219A"/>
    <w:rsid w:val="002C236E"/>
    <w:rsid w:val="002C23A9"/>
    <w:rsid w:val="002C4051"/>
    <w:rsid w:val="002C5755"/>
    <w:rsid w:val="002C6203"/>
    <w:rsid w:val="002C6669"/>
    <w:rsid w:val="002D27C9"/>
    <w:rsid w:val="002D4660"/>
    <w:rsid w:val="002D484D"/>
    <w:rsid w:val="002E0F0D"/>
    <w:rsid w:val="002E197D"/>
    <w:rsid w:val="002E22FF"/>
    <w:rsid w:val="002E243C"/>
    <w:rsid w:val="002E4F61"/>
    <w:rsid w:val="002F06B8"/>
    <w:rsid w:val="002F1A6B"/>
    <w:rsid w:val="002F2BAC"/>
    <w:rsid w:val="002F6AA4"/>
    <w:rsid w:val="003002C4"/>
    <w:rsid w:val="0030080C"/>
    <w:rsid w:val="00301199"/>
    <w:rsid w:val="00301CB0"/>
    <w:rsid w:val="003021C8"/>
    <w:rsid w:val="0030335A"/>
    <w:rsid w:val="003036E4"/>
    <w:rsid w:val="00304343"/>
    <w:rsid w:val="00306682"/>
    <w:rsid w:val="003106AB"/>
    <w:rsid w:val="00312D1E"/>
    <w:rsid w:val="00313B0C"/>
    <w:rsid w:val="0031431C"/>
    <w:rsid w:val="0031533F"/>
    <w:rsid w:val="00315A86"/>
    <w:rsid w:val="00315AB9"/>
    <w:rsid w:val="00316DE7"/>
    <w:rsid w:val="0032040B"/>
    <w:rsid w:val="0032237A"/>
    <w:rsid w:val="00322BB5"/>
    <w:rsid w:val="00323591"/>
    <w:rsid w:val="00325E0E"/>
    <w:rsid w:val="0032726F"/>
    <w:rsid w:val="003327AA"/>
    <w:rsid w:val="00332A44"/>
    <w:rsid w:val="003339D5"/>
    <w:rsid w:val="003355C3"/>
    <w:rsid w:val="00341620"/>
    <w:rsid w:val="00341F83"/>
    <w:rsid w:val="003429CE"/>
    <w:rsid w:val="0034434C"/>
    <w:rsid w:val="00344EE3"/>
    <w:rsid w:val="00346864"/>
    <w:rsid w:val="00347C8E"/>
    <w:rsid w:val="00347F16"/>
    <w:rsid w:val="00351603"/>
    <w:rsid w:val="003550D7"/>
    <w:rsid w:val="00355FDA"/>
    <w:rsid w:val="00356558"/>
    <w:rsid w:val="00356E0C"/>
    <w:rsid w:val="0035771F"/>
    <w:rsid w:val="003608CB"/>
    <w:rsid w:val="0036193E"/>
    <w:rsid w:val="00365738"/>
    <w:rsid w:val="0036621E"/>
    <w:rsid w:val="0037246D"/>
    <w:rsid w:val="00381924"/>
    <w:rsid w:val="00382294"/>
    <w:rsid w:val="00382917"/>
    <w:rsid w:val="00383EDD"/>
    <w:rsid w:val="00384225"/>
    <w:rsid w:val="00384E03"/>
    <w:rsid w:val="00390179"/>
    <w:rsid w:val="003915EA"/>
    <w:rsid w:val="00392489"/>
    <w:rsid w:val="00393AD3"/>
    <w:rsid w:val="00393AF2"/>
    <w:rsid w:val="0039724C"/>
    <w:rsid w:val="00397A86"/>
    <w:rsid w:val="003A0D42"/>
    <w:rsid w:val="003A0F68"/>
    <w:rsid w:val="003A169E"/>
    <w:rsid w:val="003A3282"/>
    <w:rsid w:val="003A36E3"/>
    <w:rsid w:val="003A3FC4"/>
    <w:rsid w:val="003B08F5"/>
    <w:rsid w:val="003B5409"/>
    <w:rsid w:val="003C16B3"/>
    <w:rsid w:val="003C3984"/>
    <w:rsid w:val="003C3A27"/>
    <w:rsid w:val="003C3C96"/>
    <w:rsid w:val="003C4E3F"/>
    <w:rsid w:val="003C66DF"/>
    <w:rsid w:val="003C7353"/>
    <w:rsid w:val="003D0618"/>
    <w:rsid w:val="003D084B"/>
    <w:rsid w:val="003D0CA5"/>
    <w:rsid w:val="003D0DCD"/>
    <w:rsid w:val="003D179A"/>
    <w:rsid w:val="003D1B45"/>
    <w:rsid w:val="003D1E3E"/>
    <w:rsid w:val="003D5C4B"/>
    <w:rsid w:val="003E3DA7"/>
    <w:rsid w:val="003E7C36"/>
    <w:rsid w:val="003F1396"/>
    <w:rsid w:val="003F2077"/>
    <w:rsid w:val="003F292F"/>
    <w:rsid w:val="003F2AE4"/>
    <w:rsid w:val="003F4B03"/>
    <w:rsid w:val="003F688A"/>
    <w:rsid w:val="003F6F7E"/>
    <w:rsid w:val="004007DA"/>
    <w:rsid w:val="00400E0D"/>
    <w:rsid w:val="0040145F"/>
    <w:rsid w:val="004019C1"/>
    <w:rsid w:val="00402F86"/>
    <w:rsid w:val="004037CB"/>
    <w:rsid w:val="00403AB7"/>
    <w:rsid w:val="004050DF"/>
    <w:rsid w:val="004107CF"/>
    <w:rsid w:val="004131CD"/>
    <w:rsid w:val="0041470D"/>
    <w:rsid w:val="00415C46"/>
    <w:rsid w:val="00416310"/>
    <w:rsid w:val="00417234"/>
    <w:rsid w:val="004175C9"/>
    <w:rsid w:val="0042532D"/>
    <w:rsid w:val="00426357"/>
    <w:rsid w:val="00431227"/>
    <w:rsid w:val="00432989"/>
    <w:rsid w:val="00432A74"/>
    <w:rsid w:val="004365BD"/>
    <w:rsid w:val="00436F44"/>
    <w:rsid w:val="00440E7A"/>
    <w:rsid w:val="00444F61"/>
    <w:rsid w:val="004455F1"/>
    <w:rsid w:val="004523AB"/>
    <w:rsid w:val="00455DC0"/>
    <w:rsid w:val="0045703E"/>
    <w:rsid w:val="004573B5"/>
    <w:rsid w:val="00460B9C"/>
    <w:rsid w:val="0046493B"/>
    <w:rsid w:val="00464E1B"/>
    <w:rsid w:val="00470BA7"/>
    <w:rsid w:val="00471358"/>
    <w:rsid w:val="00474424"/>
    <w:rsid w:val="00476E06"/>
    <w:rsid w:val="00477596"/>
    <w:rsid w:val="00480740"/>
    <w:rsid w:val="004843EE"/>
    <w:rsid w:val="00484896"/>
    <w:rsid w:val="0048556E"/>
    <w:rsid w:val="00486B41"/>
    <w:rsid w:val="00492DBE"/>
    <w:rsid w:val="00495BC6"/>
    <w:rsid w:val="0049627F"/>
    <w:rsid w:val="0049654E"/>
    <w:rsid w:val="00496803"/>
    <w:rsid w:val="004978CA"/>
    <w:rsid w:val="004A019B"/>
    <w:rsid w:val="004A04B9"/>
    <w:rsid w:val="004A19F8"/>
    <w:rsid w:val="004A27DC"/>
    <w:rsid w:val="004A4F03"/>
    <w:rsid w:val="004B4708"/>
    <w:rsid w:val="004B550D"/>
    <w:rsid w:val="004B7BF2"/>
    <w:rsid w:val="004C0353"/>
    <w:rsid w:val="004C189D"/>
    <w:rsid w:val="004C1919"/>
    <w:rsid w:val="004C5FFC"/>
    <w:rsid w:val="004C74BE"/>
    <w:rsid w:val="004C7571"/>
    <w:rsid w:val="004D2781"/>
    <w:rsid w:val="004D294A"/>
    <w:rsid w:val="004D4C55"/>
    <w:rsid w:val="004D5806"/>
    <w:rsid w:val="004D6626"/>
    <w:rsid w:val="004D7EC7"/>
    <w:rsid w:val="004E448E"/>
    <w:rsid w:val="004F06F3"/>
    <w:rsid w:val="004F28DB"/>
    <w:rsid w:val="004F6032"/>
    <w:rsid w:val="004F6E80"/>
    <w:rsid w:val="004F7394"/>
    <w:rsid w:val="00503C50"/>
    <w:rsid w:val="0050576E"/>
    <w:rsid w:val="0050582C"/>
    <w:rsid w:val="00512E3F"/>
    <w:rsid w:val="005167E8"/>
    <w:rsid w:val="00516973"/>
    <w:rsid w:val="00516F95"/>
    <w:rsid w:val="0051794C"/>
    <w:rsid w:val="00517F6F"/>
    <w:rsid w:val="00524877"/>
    <w:rsid w:val="00527549"/>
    <w:rsid w:val="0053126E"/>
    <w:rsid w:val="005365E4"/>
    <w:rsid w:val="00536E13"/>
    <w:rsid w:val="00536F79"/>
    <w:rsid w:val="00541FDF"/>
    <w:rsid w:val="00542D8C"/>
    <w:rsid w:val="005507A9"/>
    <w:rsid w:val="00552B6D"/>
    <w:rsid w:val="00553955"/>
    <w:rsid w:val="00556858"/>
    <w:rsid w:val="00560CEF"/>
    <w:rsid w:val="00560E1F"/>
    <w:rsid w:val="0056147B"/>
    <w:rsid w:val="005651B9"/>
    <w:rsid w:val="005672F2"/>
    <w:rsid w:val="005676F9"/>
    <w:rsid w:val="00567A83"/>
    <w:rsid w:val="00570482"/>
    <w:rsid w:val="00570784"/>
    <w:rsid w:val="00574883"/>
    <w:rsid w:val="00583965"/>
    <w:rsid w:val="0058602C"/>
    <w:rsid w:val="0058624F"/>
    <w:rsid w:val="00587FEE"/>
    <w:rsid w:val="00590F5C"/>
    <w:rsid w:val="00596955"/>
    <w:rsid w:val="00596D4E"/>
    <w:rsid w:val="00597166"/>
    <w:rsid w:val="0059790B"/>
    <w:rsid w:val="005A0445"/>
    <w:rsid w:val="005A0FF3"/>
    <w:rsid w:val="005A3A09"/>
    <w:rsid w:val="005A42CC"/>
    <w:rsid w:val="005A5072"/>
    <w:rsid w:val="005B16EA"/>
    <w:rsid w:val="005B4DCF"/>
    <w:rsid w:val="005B5F3B"/>
    <w:rsid w:val="005B722F"/>
    <w:rsid w:val="005B77E0"/>
    <w:rsid w:val="005C007F"/>
    <w:rsid w:val="005C1DC8"/>
    <w:rsid w:val="005C4696"/>
    <w:rsid w:val="005C59BA"/>
    <w:rsid w:val="005C6070"/>
    <w:rsid w:val="005C6720"/>
    <w:rsid w:val="005C68B2"/>
    <w:rsid w:val="005D0117"/>
    <w:rsid w:val="005D2102"/>
    <w:rsid w:val="005D3CD1"/>
    <w:rsid w:val="005D4A60"/>
    <w:rsid w:val="005D56C9"/>
    <w:rsid w:val="005D664C"/>
    <w:rsid w:val="005D7389"/>
    <w:rsid w:val="005E26CC"/>
    <w:rsid w:val="005E27F2"/>
    <w:rsid w:val="005E2BEA"/>
    <w:rsid w:val="005E73B4"/>
    <w:rsid w:val="005F200A"/>
    <w:rsid w:val="006009DD"/>
    <w:rsid w:val="00600C5A"/>
    <w:rsid w:val="00605674"/>
    <w:rsid w:val="006061D6"/>
    <w:rsid w:val="006076A9"/>
    <w:rsid w:val="00607BFC"/>
    <w:rsid w:val="00610D8A"/>
    <w:rsid w:val="00613AF1"/>
    <w:rsid w:val="00615454"/>
    <w:rsid w:val="006209BC"/>
    <w:rsid w:val="00621A34"/>
    <w:rsid w:val="0062249D"/>
    <w:rsid w:val="00624111"/>
    <w:rsid w:val="006256F5"/>
    <w:rsid w:val="006318AC"/>
    <w:rsid w:val="00631D5D"/>
    <w:rsid w:val="00634564"/>
    <w:rsid w:val="00637191"/>
    <w:rsid w:val="00637547"/>
    <w:rsid w:val="00641593"/>
    <w:rsid w:val="00641D6A"/>
    <w:rsid w:val="006439A5"/>
    <w:rsid w:val="00644198"/>
    <w:rsid w:val="006557BD"/>
    <w:rsid w:val="006563D9"/>
    <w:rsid w:val="00662EE8"/>
    <w:rsid w:val="00663772"/>
    <w:rsid w:val="006652B6"/>
    <w:rsid w:val="00666095"/>
    <w:rsid w:val="006664CA"/>
    <w:rsid w:val="006721D7"/>
    <w:rsid w:val="0067459B"/>
    <w:rsid w:val="006745F8"/>
    <w:rsid w:val="00680815"/>
    <w:rsid w:val="00686CC5"/>
    <w:rsid w:val="00686E31"/>
    <w:rsid w:val="006907A5"/>
    <w:rsid w:val="00694B87"/>
    <w:rsid w:val="00694D5F"/>
    <w:rsid w:val="006A07B9"/>
    <w:rsid w:val="006A0B80"/>
    <w:rsid w:val="006A1FD6"/>
    <w:rsid w:val="006A3BA2"/>
    <w:rsid w:val="006A3C8B"/>
    <w:rsid w:val="006B16C8"/>
    <w:rsid w:val="006B1DEA"/>
    <w:rsid w:val="006B23EB"/>
    <w:rsid w:val="006B5E09"/>
    <w:rsid w:val="006D2BF3"/>
    <w:rsid w:val="006D444A"/>
    <w:rsid w:val="006D7EE4"/>
    <w:rsid w:val="006E38F3"/>
    <w:rsid w:val="006E49D9"/>
    <w:rsid w:val="006F352C"/>
    <w:rsid w:val="006F7D5C"/>
    <w:rsid w:val="00702FF9"/>
    <w:rsid w:val="0070314E"/>
    <w:rsid w:val="00705A2E"/>
    <w:rsid w:val="00706B72"/>
    <w:rsid w:val="00710174"/>
    <w:rsid w:val="007106ED"/>
    <w:rsid w:val="00716598"/>
    <w:rsid w:val="007214D0"/>
    <w:rsid w:val="00723663"/>
    <w:rsid w:val="00723B39"/>
    <w:rsid w:val="0072459E"/>
    <w:rsid w:val="00727518"/>
    <w:rsid w:val="00727F69"/>
    <w:rsid w:val="00741AD8"/>
    <w:rsid w:val="007420EE"/>
    <w:rsid w:val="00743601"/>
    <w:rsid w:val="00745B2A"/>
    <w:rsid w:val="00747101"/>
    <w:rsid w:val="0075340D"/>
    <w:rsid w:val="00756635"/>
    <w:rsid w:val="00757BBF"/>
    <w:rsid w:val="00760FFC"/>
    <w:rsid w:val="007618F9"/>
    <w:rsid w:val="007629AF"/>
    <w:rsid w:val="00772C62"/>
    <w:rsid w:val="00775361"/>
    <w:rsid w:val="007830DE"/>
    <w:rsid w:val="00785B8A"/>
    <w:rsid w:val="00787B3A"/>
    <w:rsid w:val="00787D4C"/>
    <w:rsid w:val="00790075"/>
    <w:rsid w:val="00793212"/>
    <w:rsid w:val="0079405A"/>
    <w:rsid w:val="00794A50"/>
    <w:rsid w:val="00795C20"/>
    <w:rsid w:val="007A10C0"/>
    <w:rsid w:val="007A2C41"/>
    <w:rsid w:val="007A3C4A"/>
    <w:rsid w:val="007A3E76"/>
    <w:rsid w:val="007A5830"/>
    <w:rsid w:val="007B0837"/>
    <w:rsid w:val="007B1B05"/>
    <w:rsid w:val="007B616A"/>
    <w:rsid w:val="007B65C7"/>
    <w:rsid w:val="007B65DA"/>
    <w:rsid w:val="007B7612"/>
    <w:rsid w:val="007C3256"/>
    <w:rsid w:val="007C55AF"/>
    <w:rsid w:val="007C6723"/>
    <w:rsid w:val="007D46DF"/>
    <w:rsid w:val="007D52AE"/>
    <w:rsid w:val="007D6190"/>
    <w:rsid w:val="007E3167"/>
    <w:rsid w:val="007E5DD4"/>
    <w:rsid w:val="007E682D"/>
    <w:rsid w:val="007E69D2"/>
    <w:rsid w:val="007F0527"/>
    <w:rsid w:val="007F3C67"/>
    <w:rsid w:val="007F6675"/>
    <w:rsid w:val="007F7257"/>
    <w:rsid w:val="007F7B41"/>
    <w:rsid w:val="008001C2"/>
    <w:rsid w:val="0080023C"/>
    <w:rsid w:val="00807403"/>
    <w:rsid w:val="00810C48"/>
    <w:rsid w:val="00813456"/>
    <w:rsid w:val="00813780"/>
    <w:rsid w:val="0081412C"/>
    <w:rsid w:val="008141E0"/>
    <w:rsid w:val="008166AC"/>
    <w:rsid w:val="0082164F"/>
    <w:rsid w:val="00826220"/>
    <w:rsid w:val="00827551"/>
    <w:rsid w:val="0082775E"/>
    <w:rsid w:val="00831F22"/>
    <w:rsid w:val="0083798D"/>
    <w:rsid w:val="00843F86"/>
    <w:rsid w:val="008456EE"/>
    <w:rsid w:val="008464E2"/>
    <w:rsid w:val="00847007"/>
    <w:rsid w:val="00851E4F"/>
    <w:rsid w:val="00855ADB"/>
    <w:rsid w:val="00857FB7"/>
    <w:rsid w:val="00861D77"/>
    <w:rsid w:val="00864494"/>
    <w:rsid w:val="00865836"/>
    <w:rsid w:val="00867C7C"/>
    <w:rsid w:val="00870D60"/>
    <w:rsid w:val="00872454"/>
    <w:rsid w:val="00873B77"/>
    <w:rsid w:val="008740BF"/>
    <w:rsid w:val="008745E3"/>
    <w:rsid w:val="008769B0"/>
    <w:rsid w:val="00877F9A"/>
    <w:rsid w:val="00880B78"/>
    <w:rsid w:val="008817D8"/>
    <w:rsid w:val="00881F80"/>
    <w:rsid w:val="008849D9"/>
    <w:rsid w:val="00884A02"/>
    <w:rsid w:val="00885E02"/>
    <w:rsid w:val="008864E1"/>
    <w:rsid w:val="008864EB"/>
    <w:rsid w:val="008879DD"/>
    <w:rsid w:val="00890388"/>
    <w:rsid w:val="00896D7E"/>
    <w:rsid w:val="008A012D"/>
    <w:rsid w:val="008A590C"/>
    <w:rsid w:val="008A5D40"/>
    <w:rsid w:val="008A66C1"/>
    <w:rsid w:val="008B0369"/>
    <w:rsid w:val="008B499A"/>
    <w:rsid w:val="008B72B4"/>
    <w:rsid w:val="008B74D3"/>
    <w:rsid w:val="008C0F41"/>
    <w:rsid w:val="008C0FEF"/>
    <w:rsid w:val="008C4E5C"/>
    <w:rsid w:val="008C77F5"/>
    <w:rsid w:val="008C7C79"/>
    <w:rsid w:val="008D0801"/>
    <w:rsid w:val="008D2B22"/>
    <w:rsid w:val="008D38CA"/>
    <w:rsid w:val="008D4997"/>
    <w:rsid w:val="008D6465"/>
    <w:rsid w:val="008E444B"/>
    <w:rsid w:val="008E4519"/>
    <w:rsid w:val="008E77F7"/>
    <w:rsid w:val="008F0CBD"/>
    <w:rsid w:val="008F34A5"/>
    <w:rsid w:val="008F5313"/>
    <w:rsid w:val="008F5F65"/>
    <w:rsid w:val="008F7011"/>
    <w:rsid w:val="0090266D"/>
    <w:rsid w:val="0090457B"/>
    <w:rsid w:val="00904C95"/>
    <w:rsid w:val="009125F0"/>
    <w:rsid w:val="00914FD6"/>
    <w:rsid w:val="00916611"/>
    <w:rsid w:val="0091734B"/>
    <w:rsid w:val="00923232"/>
    <w:rsid w:val="0092423F"/>
    <w:rsid w:val="00924FC5"/>
    <w:rsid w:val="0092772C"/>
    <w:rsid w:val="00931D2F"/>
    <w:rsid w:val="009340B5"/>
    <w:rsid w:val="009350E5"/>
    <w:rsid w:val="00935A71"/>
    <w:rsid w:val="009362DF"/>
    <w:rsid w:val="0093735C"/>
    <w:rsid w:val="009400BA"/>
    <w:rsid w:val="009407DE"/>
    <w:rsid w:val="00941B2E"/>
    <w:rsid w:val="009429A4"/>
    <w:rsid w:val="00943BD2"/>
    <w:rsid w:val="00943BEA"/>
    <w:rsid w:val="00943E3B"/>
    <w:rsid w:val="00944AE9"/>
    <w:rsid w:val="009451F6"/>
    <w:rsid w:val="00945772"/>
    <w:rsid w:val="0094591C"/>
    <w:rsid w:val="009500EC"/>
    <w:rsid w:val="009505AA"/>
    <w:rsid w:val="00951ECA"/>
    <w:rsid w:val="009526B1"/>
    <w:rsid w:val="00955EC9"/>
    <w:rsid w:val="0095636B"/>
    <w:rsid w:val="00957C81"/>
    <w:rsid w:val="0096011B"/>
    <w:rsid w:val="00974C0E"/>
    <w:rsid w:val="00974C35"/>
    <w:rsid w:val="00976770"/>
    <w:rsid w:val="00977179"/>
    <w:rsid w:val="00981522"/>
    <w:rsid w:val="00982E51"/>
    <w:rsid w:val="00983984"/>
    <w:rsid w:val="009843F3"/>
    <w:rsid w:val="009877FE"/>
    <w:rsid w:val="009940DE"/>
    <w:rsid w:val="00994A6B"/>
    <w:rsid w:val="009A132D"/>
    <w:rsid w:val="009A18FF"/>
    <w:rsid w:val="009B310E"/>
    <w:rsid w:val="009B6410"/>
    <w:rsid w:val="009C0EC0"/>
    <w:rsid w:val="009C2424"/>
    <w:rsid w:val="009C25E4"/>
    <w:rsid w:val="009C42C1"/>
    <w:rsid w:val="009C5C8A"/>
    <w:rsid w:val="009C6797"/>
    <w:rsid w:val="009C7648"/>
    <w:rsid w:val="009D0ACE"/>
    <w:rsid w:val="009D1065"/>
    <w:rsid w:val="009D13AA"/>
    <w:rsid w:val="009D15D8"/>
    <w:rsid w:val="009D1DEA"/>
    <w:rsid w:val="009D7284"/>
    <w:rsid w:val="009E0AEF"/>
    <w:rsid w:val="009E1CC3"/>
    <w:rsid w:val="009E341E"/>
    <w:rsid w:val="009E4CF4"/>
    <w:rsid w:val="009E6535"/>
    <w:rsid w:val="009E664E"/>
    <w:rsid w:val="009E757A"/>
    <w:rsid w:val="009E79D9"/>
    <w:rsid w:val="00A00E46"/>
    <w:rsid w:val="00A02849"/>
    <w:rsid w:val="00A05E95"/>
    <w:rsid w:val="00A06E68"/>
    <w:rsid w:val="00A108B0"/>
    <w:rsid w:val="00A1300D"/>
    <w:rsid w:val="00A16CDD"/>
    <w:rsid w:val="00A2146A"/>
    <w:rsid w:val="00A21912"/>
    <w:rsid w:val="00A25C19"/>
    <w:rsid w:val="00A26FC3"/>
    <w:rsid w:val="00A2778F"/>
    <w:rsid w:val="00A27E11"/>
    <w:rsid w:val="00A306C8"/>
    <w:rsid w:val="00A307CF"/>
    <w:rsid w:val="00A343C3"/>
    <w:rsid w:val="00A35ED9"/>
    <w:rsid w:val="00A365AA"/>
    <w:rsid w:val="00A37A24"/>
    <w:rsid w:val="00A401ED"/>
    <w:rsid w:val="00A4075E"/>
    <w:rsid w:val="00A4179A"/>
    <w:rsid w:val="00A426A1"/>
    <w:rsid w:val="00A43427"/>
    <w:rsid w:val="00A43EA4"/>
    <w:rsid w:val="00A44970"/>
    <w:rsid w:val="00A44F4C"/>
    <w:rsid w:val="00A468D2"/>
    <w:rsid w:val="00A4749A"/>
    <w:rsid w:val="00A62652"/>
    <w:rsid w:val="00A63220"/>
    <w:rsid w:val="00A66FA9"/>
    <w:rsid w:val="00A7229E"/>
    <w:rsid w:val="00A741CF"/>
    <w:rsid w:val="00A76734"/>
    <w:rsid w:val="00A83ED7"/>
    <w:rsid w:val="00A91F88"/>
    <w:rsid w:val="00A93891"/>
    <w:rsid w:val="00AA2D8F"/>
    <w:rsid w:val="00AA36F1"/>
    <w:rsid w:val="00AA3EC6"/>
    <w:rsid w:val="00AA5993"/>
    <w:rsid w:val="00AA674A"/>
    <w:rsid w:val="00AB0C33"/>
    <w:rsid w:val="00AB2371"/>
    <w:rsid w:val="00AB492B"/>
    <w:rsid w:val="00AC2885"/>
    <w:rsid w:val="00AC3197"/>
    <w:rsid w:val="00AC4EA4"/>
    <w:rsid w:val="00AD05B1"/>
    <w:rsid w:val="00AD0B81"/>
    <w:rsid w:val="00AD241D"/>
    <w:rsid w:val="00AD7463"/>
    <w:rsid w:val="00AE23AC"/>
    <w:rsid w:val="00AE3081"/>
    <w:rsid w:val="00AE407C"/>
    <w:rsid w:val="00AE492A"/>
    <w:rsid w:val="00AE5F09"/>
    <w:rsid w:val="00AE77D0"/>
    <w:rsid w:val="00AF06B5"/>
    <w:rsid w:val="00AF158E"/>
    <w:rsid w:val="00AF1E35"/>
    <w:rsid w:val="00AF56A0"/>
    <w:rsid w:val="00AF64A9"/>
    <w:rsid w:val="00AF7684"/>
    <w:rsid w:val="00B0095C"/>
    <w:rsid w:val="00B03DA8"/>
    <w:rsid w:val="00B04C37"/>
    <w:rsid w:val="00B055F3"/>
    <w:rsid w:val="00B059FE"/>
    <w:rsid w:val="00B06F97"/>
    <w:rsid w:val="00B11463"/>
    <w:rsid w:val="00B116CC"/>
    <w:rsid w:val="00B15BC4"/>
    <w:rsid w:val="00B16B62"/>
    <w:rsid w:val="00B177D8"/>
    <w:rsid w:val="00B30048"/>
    <w:rsid w:val="00B32954"/>
    <w:rsid w:val="00B338D7"/>
    <w:rsid w:val="00B35764"/>
    <w:rsid w:val="00B412E1"/>
    <w:rsid w:val="00B42429"/>
    <w:rsid w:val="00B43842"/>
    <w:rsid w:val="00B465C1"/>
    <w:rsid w:val="00B515CE"/>
    <w:rsid w:val="00B53A16"/>
    <w:rsid w:val="00B81561"/>
    <w:rsid w:val="00B81891"/>
    <w:rsid w:val="00B82CC5"/>
    <w:rsid w:val="00B8520F"/>
    <w:rsid w:val="00B86B1E"/>
    <w:rsid w:val="00B873AB"/>
    <w:rsid w:val="00B924DA"/>
    <w:rsid w:val="00B96FC5"/>
    <w:rsid w:val="00B9769B"/>
    <w:rsid w:val="00B97E05"/>
    <w:rsid w:val="00BA4CC3"/>
    <w:rsid w:val="00BA4F73"/>
    <w:rsid w:val="00BA6D5F"/>
    <w:rsid w:val="00BB1B7A"/>
    <w:rsid w:val="00BB1FFD"/>
    <w:rsid w:val="00BB7B84"/>
    <w:rsid w:val="00BC0123"/>
    <w:rsid w:val="00BC17C3"/>
    <w:rsid w:val="00BC1D0C"/>
    <w:rsid w:val="00BC2B4B"/>
    <w:rsid w:val="00BC3249"/>
    <w:rsid w:val="00BC6F3F"/>
    <w:rsid w:val="00BC7C73"/>
    <w:rsid w:val="00BD2BA0"/>
    <w:rsid w:val="00BD2CC8"/>
    <w:rsid w:val="00BD6B14"/>
    <w:rsid w:val="00BD6CDF"/>
    <w:rsid w:val="00BE2A04"/>
    <w:rsid w:val="00BE2FBB"/>
    <w:rsid w:val="00BE7DE4"/>
    <w:rsid w:val="00BF0ABB"/>
    <w:rsid w:val="00BF2209"/>
    <w:rsid w:val="00BF2866"/>
    <w:rsid w:val="00BF4B83"/>
    <w:rsid w:val="00BF51C7"/>
    <w:rsid w:val="00BF5CA3"/>
    <w:rsid w:val="00BF61A6"/>
    <w:rsid w:val="00BF6E4A"/>
    <w:rsid w:val="00C018DD"/>
    <w:rsid w:val="00C01FE7"/>
    <w:rsid w:val="00C035BB"/>
    <w:rsid w:val="00C03A26"/>
    <w:rsid w:val="00C04268"/>
    <w:rsid w:val="00C04CF4"/>
    <w:rsid w:val="00C05FAE"/>
    <w:rsid w:val="00C066FA"/>
    <w:rsid w:val="00C11459"/>
    <w:rsid w:val="00C13C7C"/>
    <w:rsid w:val="00C20AD3"/>
    <w:rsid w:val="00C21CD5"/>
    <w:rsid w:val="00C246E5"/>
    <w:rsid w:val="00C274BF"/>
    <w:rsid w:val="00C314DE"/>
    <w:rsid w:val="00C3711A"/>
    <w:rsid w:val="00C37FE6"/>
    <w:rsid w:val="00C42861"/>
    <w:rsid w:val="00C46A37"/>
    <w:rsid w:val="00C46C22"/>
    <w:rsid w:val="00C470BA"/>
    <w:rsid w:val="00C47DDF"/>
    <w:rsid w:val="00C5042C"/>
    <w:rsid w:val="00C51145"/>
    <w:rsid w:val="00C5143E"/>
    <w:rsid w:val="00C55306"/>
    <w:rsid w:val="00C6040E"/>
    <w:rsid w:val="00C6189B"/>
    <w:rsid w:val="00C62642"/>
    <w:rsid w:val="00C6313E"/>
    <w:rsid w:val="00C71D73"/>
    <w:rsid w:val="00C7596F"/>
    <w:rsid w:val="00C820ED"/>
    <w:rsid w:val="00C82FF7"/>
    <w:rsid w:val="00C877EB"/>
    <w:rsid w:val="00C93CB6"/>
    <w:rsid w:val="00C94052"/>
    <w:rsid w:val="00C97F2D"/>
    <w:rsid w:val="00CA741F"/>
    <w:rsid w:val="00CA7D1B"/>
    <w:rsid w:val="00CB396D"/>
    <w:rsid w:val="00CB3EDD"/>
    <w:rsid w:val="00CB44A2"/>
    <w:rsid w:val="00CB4FDE"/>
    <w:rsid w:val="00CC00B3"/>
    <w:rsid w:val="00CC2163"/>
    <w:rsid w:val="00CC6134"/>
    <w:rsid w:val="00CC63F1"/>
    <w:rsid w:val="00CC6C8C"/>
    <w:rsid w:val="00CC75C7"/>
    <w:rsid w:val="00CD0DBC"/>
    <w:rsid w:val="00CD1990"/>
    <w:rsid w:val="00CD6633"/>
    <w:rsid w:val="00CE23D2"/>
    <w:rsid w:val="00CE3309"/>
    <w:rsid w:val="00CE347A"/>
    <w:rsid w:val="00CE481A"/>
    <w:rsid w:val="00CE5A51"/>
    <w:rsid w:val="00CE773C"/>
    <w:rsid w:val="00CF1736"/>
    <w:rsid w:val="00CF5A64"/>
    <w:rsid w:val="00CF7DEC"/>
    <w:rsid w:val="00D00A65"/>
    <w:rsid w:val="00D02098"/>
    <w:rsid w:val="00D039AC"/>
    <w:rsid w:val="00D115A4"/>
    <w:rsid w:val="00D1182A"/>
    <w:rsid w:val="00D13157"/>
    <w:rsid w:val="00D13E19"/>
    <w:rsid w:val="00D15770"/>
    <w:rsid w:val="00D15E28"/>
    <w:rsid w:val="00D20D0C"/>
    <w:rsid w:val="00D213BA"/>
    <w:rsid w:val="00D25990"/>
    <w:rsid w:val="00D31161"/>
    <w:rsid w:val="00D320BF"/>
    <w:rsid w:val="00D34E8D"/>
    <w:rsid w:val="00D35CEB"/>
    <w:rsid w:val="00D35F30"/>
    <w:rsid w:val="00D36045"/>
    <w:rsid w:val="00D40205"/>
    <w:rsid w:val="00D407CB"/>
    <w:rsid w:val="00D423CE"/>
    <w:rsid w:val="00D4286D"/>
    <w:rsid w:val="00D43B77"/>
    <w:rsid w:val="00D46F36"/>
    <w:rsid w:val="00D5142D"/>
    <w:rsid w:val="00D52442"/>
    <w:rsid w:val="00D55CF0"/>
    <w:rsid w:val="00D62C90"/>
    <w:rsid w:val="00D64A56"/>
    <w:rsid w:val="00D65632"/>
    <w:rsid w:val="00D672DA"/>
    <w:rsid w:val="00D67B57"/>
    <w:rsid w:val="00D706C6"/>
    <w:rsid w:val="00D70EDD"/>
    <w:rsid w:val="00D727BD"/>
    <w:rsid w:val="00D72BFB"/>
    <w:rsid w:val="00D75448"/>
    <w:rsid w:val="00D77141"/>
    <w:rsid w:val="00D80210"/>
    <w:rsid w:val="00D813AB"/>
    <w:rsid w:val="00D854FE"/>
    <w:rsid w:val="00D85C1C"/>
    <w:rsid w:val="00D86347"/>
    <w:rsid w:val="00D93743"/>
    <w:rsid w:val="00D93E16"/>
    <w:rsid w:val="00DA044F"/>
    <w:rsid w:val="00DA1852"/>
    <w:rsid w:val="00DA3438"/>
    <w:rsid w:val="00DA39CD"/>
    <w:rsid w:val="00DA53CA"/>
    <w:rsid w:val="00DA545D"/>
    <w:rsid w:val="00DA5FBB"/>
    <w:rsid w:val="00DA666C"/>
    <w:rsid w:val="00DB1A33"/>
    <w:rsid w:val="00DB3755"/>
    <w:rsid w:val="00DB7C87"/>
    <w:rsid w:val="00DC3DB9"/>
    <w:rsid w:val="00DC42AA"/>
    <w:rsid w:val="00DC4694"/>
    <w:rsid w:val="00DC6BAA"/>
    <w:rsid w:val="00DD0511"/>
    <w:rsid w:val="00DD3725"/>
    <w:rsid w:val="00DD3F94"/>
    <w:rsid w:val="00DE1054"/>
    <w:rsid w:val="00DE186D"/>
    <w:rsid w:val="00DE4CEB"/>
    <w:rsid w:val="00DE5389"/>
    <w:rsid w:val="00DE5F80"/>
    <w:rsid w:val="00DE6240"/>
    <w:rsid w:val="00DE6ADA"/>
    <w:rsid w:val="00DF151B"/>
    <w:rsid w:val="00DF2A3A"/>
    <w:rsid w:val="00DF3C27"/>
    <w:rsid w:val="00DF3E80"/>
    <w:rsid w:val="00E01877"/>
    <w:rsid w:val="00E02DC7"/>
    <w:rsid w:val="00E02EAC"/>
    <w:rsid w:val="00E129C8"/>
    <w:rsid w:val="00E134CF"/>
    <w:rsid w:val="00E17976"/>
    <w:rsid w:val="00E22501"/>
    <w:rsid w:val="00E25CF1"/>
    <w:rsid w:val="00E26CC1"/>
    <w:rsid w:val="00E27AC7"/>
    <w:rsid w:val="00E30773"/>
    <w:rsid w:val="00E30860"/>
    <w:rsid w:val="00E404B3"/>
    <w:rsid w:val="00E43DB9"/>
    <w:rsid w:val="00E4471F"/>
    <w:rsid w:val="00E463CD"/>
    <w:rsid w:val="00E478E2"/>
    <w:rsid w:val="00E51B82"/>
    <w:rsid w:val="00E51D2A"/>
    <w:rsid w:val="00E52196"/>
    <w:rsid w:val="00E533B0"/>
    <w:rsid w:val="00E54E39"/>
    <w:rsid w:val="00E575D3"/>
    <w:rsid w:val="00E64E0B"/>
    <w:rsid w:val="00E650F0"/>
    <w:rsid w:val="00E65211"/>
    <w:rsid w:val="00E65582"/>
    <w:rsid w:val="00E66639"/>
    <w:rsid w:val="00E66BA9"/>
    <w:rsid w:val="00E7201C"/>
    <w:rsid w:val="00E723FA"/>
    <w:rsid w:val="00E73A04"/>
    <w:rsid w:val="00E74FBA"/>
    <w:rsid w:val="00E76BCA"/>
    <w:rsid w:val="00E81E9B"/>
    <w:rsid w:val="00E83AB4"/>
    <w:rsid w:val="00E83C5E"/>
    <w:rsid w:val="00E84B0B"/>
    <w:rsid w:val="00E92F71"/>
    <w:rsid w:val="00E94645"/>
    <w:rsid w:val="00EA3017"/>
    <w:rsid w:val="00EA4D78"/>
    <w:rsid w:val="00EA673D"/>
    <w:rsid w:val="00EA7101"/>
    <w:rsid w:val="00EB2675"/>
    <w:rsid w:val="00EB3E3F"/>
    <w:rsid w:val="00EB429F"/>
    <w:rsid w:val="00EB512E"/>
    <w:rsid w:val="00EB5710"/>
    <w:rsid w:val="00EB6B44"/>
    <w:rsid w:val="00EB7132"/>
    <w:rsid w:val="00EC235A"/>
    <w:rsid w:val="00EC43E7"/>
    <w:rsid w:val="00EC623C"/>
    <w:rsid w:val="00ED08F9"/>
    <w:rsid w:val="00ED1360"/>
    <w:rsid w:val="00ED5540"/>
    <w:rsid w:val="00EE1593"/>
    <w:rsid w:val="00EE1771"/>
    <w:rsid w:val="00EE403E"/>
    <w:rsid w:val="00EE52A5"/>
    <w:rsid w:val="00EF3562"/>
    <w:rsid w:val="00EF673D"/>
    <w:rsid w:val="00F0070C"/>
    <w:rsid w:val="00F03D4B"/>
    <w:rsid w:val="00F05AAB"/>
    <w:rsid w:val="00F06769"/>
    <w:rsid w:val="00F077A3"/>
    <w:rsid w:val="00F10EB1"/>
    <w:rsid w:val="00F1107C"/>
    <w:rsid w:val="00F1282C"/>
    <w:rsid w:val="00F2107D"/>
    <w:rsid w:val="00F221CB"/>
    <w:rsid w:val="00F23B30"/>
    <w:rsid w:val="00F3139C"/>
    <w:rsid w:val="00F35127"/>
    <w:rsid w:val="00F42076"/>
    <w:rsid w:val="00F441B7"/>
    <w:rsid w:val="00F4566D"/>
    <w:rsid w:val="00F469A9"/>
    <w:rsid w:val="00F47BC1"/>
    <w:rsid w:val="00F52A4B"/>
    <w:rsid w:val="00F567FD"/>
    <w:rsid w:val="00F62E4C"/>
    <w:rsid w:val="00F64535"/>
    <w:rsid w:val="00F66031"/>
    <w:rsid w:val="00F70B71"/>
    <w:rsid w:val="00F70C51"/>
    <w:rsid w:val="00F74B27"/>
    <w:rsid w:val="00F80173"/>
    <w:rsid w:val="00F80F07"/>
    <w:rsid w:val="00F82012"/>
    <w:rsid w:val="00F85E79"/>
    <w:rsid w:val="00F907E0"/>
    <w:rsid w:val="00F937DF"/>
    <w:rsid w:val="00F957B4"/>
    <w:rsid w:val="00FA191F"/>
    <w:rsid w:val="00FA4A6F"/>
    <w:rsid w:val="00FA4CE8"/>
    <w:rsid w:val="00FA4D2F"/>
    <w:rsid w:val="00FA6816"/>
    <w:rsid w:val="00FA70DE"/>
    <w:rsid w:val="00FB17AD"/>
    <w:rsid w:val="00FB28A5"/>
    <w:rsid w:val="00FB394F"/>
    <w:rsid w:val="00FB5EDD"/>
    <w:rsid w:val="00FC10CD"/>
    <w:rsid w:val="00FC15A7"/>
    <w:rsid w:val="00FC3276"/>
    <w:rsid w:val="00FC3CBD"/>
    <w:rsid w:val="00FC4FF0"/>
    <w:rsid w:val="00FC6B63"/>
    <w:rsid w:val="00FD0E93"/>
    <w:rsid w:val="00FD3453"/>
    <w:rsid w:val="00FD3669"/>
    <w:rsid w:val="00FD51F3"/>
    <w:rsid w:val="00FD6E9E"/>
    <w:rsid w:val="00FD7A4B"/>
    <w:rsid w:val="00FE2F3E"/>
    <w:rsid w:val="00FE452A"/>
    <w:rsid w:val="00FF0106"/>
    <w:rsid w:val="00FF5D1F"/>
    <w:rsid w:val="00FF670B"/>
    <w:rsid w:val="00FF6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fillcolor="none"/>
    </o:shapedefaults>
    <o:shapelayout v:ext="edit">
      <o:idmap v:ext="edit" data="1"/>
    </o:shapelayout>
  </w:shapeDefaults>
  <w:decimalSymbol w:val="."/>
  <w:listSeparator w:val=","/>
  <w14:docId w14:val="7664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2AA"/>
    <w:pPr>
      <w:spacing w:after="288"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9"/>
    <w:qFormat/>
    <w:rsid w:val="00DC42AA"/>
    <w:pPr>
      <w:spacing w:after="324"/>
      <w:outlineLvl w:val="0"/>
    </w:pPr>
    <w:rPr>
      <w:b/>
      <w:bCs/>
      <w:color w:val="003478"/>
      <w:kern w:val="32"/>
      <w:sz w:val="56"/>
      <w:szCs w:val="32"/>
    </w:rPr>
  </w:style>
  <w:style w:type="paragraph" w:styleId="Heading2">
    <w:name w:val="heading 2"/>
    <w:basedOn w:val="Normal"/>
    <w:next w:val="Normal"/>
    <w:link w:val="Heading2Char1"/>
    <w:uiPriority w:val="99"/>
    <w:qFormat/>
    <w:rsid w:val="00DC42AA"/>
    <w:pPr>
      <w:spacing w:before="120" w:after="240"/>
      <w:outlineLvl w:val="1"/>
    </w:pPr>
    <w:rPr>
      <w:b/>
      <w:bCs/>
      <w:iCs/>
      <w:color w:val="003478"/>
      <w:sz w:val="32"/>
      <w:szCs w:val="28"/>
    </w:rPr>
  </w:style>
  <w:style w:type="paragraph" w:styleId="Heading3">
    <w:name w:val="heading 3"/>
    <w:basedOn w:val="Normal"/>
    <w:next w:val="Normal"/>
    <w:link w:val="Heading3Char1"/>
    <w:uiPriority w:val="99"/>
    <w:qFormat/>
    <w:rsid w:val="00DC42AA"/>
    <w:pPr>
      <w:spacing w:after="240"/>
      <w:outlineLvl w:val="2"/>
    </w:pPr>
    <w:rPr>
      <w:b/>
      <w:bCs/>
      <w:color w:val="009BBB"/>
      <w:sz w:val="26"/>
      <w:szCs w:val="26"/>
    </w:rPr>
  </w:style>
  <w:style w:type="paragraph" w:styleId="Heading4">
    <w:name w:val="heading 4"/>
    <w:basedOn w:val="Normal"/>
    <w:next w:val="Normal"/>
    <w:link w:val="Heading4Char1"/>
    <w:uiPriority w:val="99"/>
    <w:qFormat/>
    <w:rsid w:val="00DC42AA"/>
    <w:pPr>
      <w:spacing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C42AA"/>
    <w:rPr>
      <w:rFonts w:ascii="Arial" w:eastAsia="Times New Roman" w:hAnsi="Arial" w:cs="Times New Roman"/>
      <w:b/>
      <w:bCs/>
      <w:color w:val="003478"/>
      <w:kern w:val="32"/>
      <w:sz w:val="56"/>
      <w:szCs w:val="32"/>
    </w:rPr>
  </w:style>
  <w:style w:type="character" w:customStyle="1" w:styleId="Heading2Char">
    <w:name w:val="Heading 2 Char"/>
    <w:basedOn w:val="DefaultParagraphFont"/>
    <w:uiPriority w:val="9"/>
    <w:semiHidden/>
    <w:rsid w:val="00DC42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DC42AA"/>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uiPriority w:val="9"/>
    <w:semiHidden/>
    <w:rsid w:val="00DC42AA"/>
    <w:rPr>
      <w:rFonts w:asciiTheme="majorHAnsi" w:eastAsiaTheme="majorEastAsia" w:hAnsiTheme="majorHAnsi" w:cstheme="majorBidi"/>
      <w:b/>
      <w:bCs/>
      <w:i/>
      <w:iCs/>
      <w:color w:val="4F81BD" w:themeColor="accent1"/>
      <w:sz w:val="24"/>
      <w:szCs w:val="24"/>
    </w:rPr>
  </w:style>
  <w:style w:type="paragraph" w:customStyle="1" w:styleId="BISTitle">
    <w:name w:val="BIS Title"/>
    <w:basedOn w:val="Normal"/>
    <w:autoRedefine/>
    <w:uiPriority w:val="99"/>
    <w:rsid w:val="00DC42AA"/>
    <w:pPr>
      <w:spacing w:line="240" w:lineRule="atLeast"/>
      <w:ind w:left="142"/>
    </w:pPr>
    <w:rPr>
      <w:b/>
      <w:noProof/>
      <w:color w:val="FFFFFF"/>
      <w:lang w:val="en-US"/>
    </w:rPr>
  </w:style>
  <w:style w:type="paragraph" w:styleId="TOC1">
    <w:name w:val="toc 1"/>
    <w:basedOn w:val="Normal"/>
    <w:next w:val="Normal"/>
    <w:autoRedefine/>
    <w:uiPriority w:val="39"/>
    <w:unhideWhenUsed/>
    <w:rsid w:val="006A3BA2"/>
    <w:pPr>
      <w:tabs>
        <w:tab w:val="right" w:leader="dot" w:pos="9628"/>
      </w:tabs>
      <w:spacing w:after="160" w:line="280" w:lineRule="exact"/>
    </w:pPr>
    <w:rPr>
      <w:b/>
      <w:noProof/>
      <w:color w:val="1F497D" w:themeColor="text2"/>
      <w:sz w:val="28"/>
      <w:szCs w:val="28"/>
    </w:rPr>
  </w:style>
  <w:style w:type="paragraph" w:styleId="TOC2">
    <w:name w:val="toc 2"/>
    <w:basedOn w:val="Normal"/>
    <w:next w:val="Normal"/>
    <w:autoRedefine/>
    <w:uiPriority w:val="39"/>
    <w:unhideWhenUsed/>
    <w:rsid w:val="003F1396"/>
    <w:pPr>
      <w:tabs>
        <w:tab w:val="right" w:leader="dot" w:pos="9628"/>
      </w:tabs>
      <w:spacing w:line="280" w:lineRule="exact"/>
      <w:ind w:left="238"/>
    </w:pPr>
    <w:rPr>
      <w:noProof/>
      <w:color w:val="1F497D" w:themeColor="text2"/>
      <w:sz w:val="22"/>
    </w:rPr>
  </w:style>
  <w:style w:type="paragraph" w:styleId="Header">
    <w:name w:val="header"/>
    <w:basedOn w:val="Normal"/>
    <w:link w:val="HeaderChar1"/>
    <w:uiPriority w:val="99"/>
    <w:rsid w:val="00DC42AA"/>
    <w:pPr>
      <w:tabs>
        <w:tab w:val="center" w:pos="4513"/>
        <w:tab w:val="right" w:pos="9026"/>
      </w:tabs>
    </w:pPr>
  </w:style>
  <w:style w:type="character" w:customStyle="1" w:styleId="HeaderChar">
    <w:name w:val="Header Char"/>
    <w:basedOn w:val="DefaultParagraphFont"/>
    <w:uiPriority w:val="99"/>
    <w:semiHidden/>
    <w:rsid w:val="00DC42AA"/>
    <w:rPr>
      <w:rFonts w:ascii="Arial" w:eastAsia="Times New Roman" w:hAnsi="Arial" w:cs="Times New Roman"/>
      <w:sz w:val="24"/>
      <w:szCs w:val="24"/>
    </w:rPr>
  </w:style>
  <w:style w:type="character" w:customStyle="1" w:styleId="HeaderChar1">
    <w:name w:val="Header Char1"/>
    <w:basedOn w:val="DefaultParagraphFont"/>
    <w:link w:val="Header"/>
    <w:uiPriority w:val="99"/>
    <w:locked/>
    <w:rsid w:val="00DC42AA"/>
    <w:rPr>
      <w:rFonts w:ascii="Arial" w:eastAsia="Times New Roman" w:hAnsi="Arial" w:cs="Times New Roman"/>
      <w:sz w:val="24"/>
      <w:szCs w:val="24"/>
    </w:rPr>
  </w:style>
  <w:style w:type="paragraph" w:customStyle="1" w:styleId="Headertext">
    <w:name w:val="Header text"/>
    <w:basedOn w:val="Normal"/>
    <w:autoRedefine/>
    <w:uiPriority w:val="99"/>
    <w:rsid w:val="00DC42AA"/>
    <w:pPr>
      <w:tabs>
        <w:tab w:val="center" w:pos="4153"/>
        <w:tab w:val="right" w:pos="8306"/>
      </w:tabs>
      <w:jc w:val="right"/>
    </w:pPr>
    <w:rPr>
      <w:color w:val="003478"/>
      <w:sz w:val="18"/>
    </w:rPr>
  </w:style>
  <w:style w:type="paragraph" w:customStyle="1" w:styleId="Introparagraph">
    <w:name w:val="Intro paragraph"/>
    <w:basedOn w:val="Normal"/>
    <w:autoRedefine/>
    <w:uiPriority w:val="99"/>
    <w:rsid w:val="00DC42AA"/>
    <w:pPr>
      <w:keepNext/>
      <w:spacing w:before="120" w:after="360"/>
      <w:outlineLvl w:val="0"/>
    </w:pPr>
    <w:rPr>
      <w:b/>
      <w:bCs/>
      <w:noProof/>
      <w:kern w:val="32"/>
      <w:sz w:val="26"/>
      <w:szCs w:val="56"/>
    </w:rPr>
  </w:style>
  <w:style w:type="character" w:styleId="Hyperlink">
    <w:name w:val="Hyperlink"/>
    <w:basedOn w:val="DefaultParagraphFont"/>
    <w:uiPriority w:val="99"/>
    <w:rsid w:val="00DC42AA"/>
    <w:rPr>
      <w:rFonts w:ascii="Arial" w:hAnsi="Arial" w:cs="Times New Roman"/>
      <w:color w:val="0000FF"/>
      <w:sz w:val="24"/>
      <w:u w:val="single"/>
    </w:rPr>
  </w:style>
  <w:style w:type="paragraph" w:customStyle="1" w:styleId="Numberedparagraph">
    <w:name w:val="Numbered paragraph"/>
    <w:basedOn w:val="Normal"/>
    <w:autoRedefine/>
    <w:uiPriority w:val="99"/>
    <w:rsid w:val="002201AE"/>
    <w:pPr>
      <w:tabs>
        <w:tab w:val="left" w:pos="567"/>
      </w:tabs>
      <w:ind w:left="502" w:right="11"/>
    </w:pPr>
  </w:style>
  <w:style w:type="character" w:customStyle="1" w:styleId="Page1White">
    <w:name w:val="Page 1 White"/>
    <w:basedOn w:val="DefaultParagraphFont"/>
    <w:uiPriority w:val="99"/>
    <w:locked/>
    <w:rsid w:val="00DC42AA"/>
    <w:rPr>
      <w:rFonts w:ascii="Arial" w:hAnsi="Arial" w:cs="Times New Roman"/>
      <w:color w:val="FFFFFF"/>
      <w:sz w:val="24"/>
    </w:rPr>
  </w:style>
  <w:style w:type="paragraph" w:customStyle="1" w:styleId="EvenPageNumber">
    <w:name w:val="Even Page Number"/>
    <w:basedOn w:val="Normal"/>
    <w:uiPriority w:val="99"/>
    <w:locked/>
    <w:rsid w:val="00DC42AA"/>
    <w:rPr>
      <w:color w:val="003478"/>
    </w:rPr>
  </w:style>
  <w:style w:type="table" w:styleId="TableGrid">
    <w:name w:val="Table Grid"/>
    <w:basedOn w:val="TableNormal"/>
    <w:uiPriority w:val="99"/>
    <w:rsid w:val="00DC42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Tabletext-Bold">
    <w:name w:val="Table text - Bold"/>
    <w:basedOn w:val="Normal"/>
    <w:uiPriority w:val="99"/>
    <w:rsid w:val="00DC42AA"/>
    <w:pPr>
      <w:spacing w:after="80"/>
      <w:ind w:left="113" w:right="113"/>
    </w:pPr>
    <w:rPr>
      <w:b/>
      <w:sz w:val="22"/>
    </w:rPr>
  </w:style>
  <w:style w:type="paragraph" w:customStyle="1" w:styleId="Tabletitle-BlackNormal">
    <w:name w:val="Table title - Black Normal"/>
    <w:basedOn w:val="Tabletext-Bold"/>
    <w:uiPriority w:val="99"/>
    <w:rsid w:val="00DC42AA"/>
    <w:pPr>
      <w:spacing w:after="0"/>
    </w:pPr>
  </w:style>
  <w:style w:type="paragraph" w:styleId="ListBullet">
    <w:name w:val="List Bullet"/>
    <w:aliases w:val="Bullets"/>
    <w:basedOn w:val="Normal"/>
    <w:uiPriority w:val="99"/>
    <w:qFormat/>
    <w:rsid w:val="00DC42AA"/>
    <w:pPr>
      <w:numPr>
        <w:numId w:val="1"/>
      </w:numPr>
      <w:tabs>
        <w:tab w:val="clear" w:pos="284"/>
        <w:tab w:val="num" w:pos="0"/>
      </w:tabs>
      <w:spacing w:after="200" w:line="288" w:lineRule="exact"/>
      <w:ind w:left="992" w:hanging="425"/>
    </w:pPr>
  </w:style>
  <w:style w:type="paragraph" w:customStyle="1" w:styleId="EndpageText">
    <w:name w:val="End page Text"/>
    <w:basedOn w:val="Normal"/>
    <w:uiPriority w:val="99"/>
    <w:rsid w:val="00DC42AA"/>
    <w:pPr>
      <w:spacing w:after="200"/>
    </w:pPr>
    <w:rPr>
      <w:sz w:val="20"/>
    </w:rPr>
  </w:style>
  <w:style w:type="paragraph" w:customStyle="1" w:styleId="BISSub-title">
    <w:name w:val="BIS Sub-title"/>
    <w:basedOn w:val="Normal"/>
    <w:uiPriority w:val="99"/>
    <w:rsid w:val="00DC42AA"/>
    <w:pPr>
      <w:spacing w:after="0" w:line="240" w:lineRule="atLeast"/>
    </w:pPr>
    <w:rPr>
      <w:sz w:val="28"/>
    </w:rPr>
  </w:style>
  <w:style w:type="character" w:customStyle="1" w:styleId="Heading2Char1">
    <w:name w:val="Heading 2 Char1"/>
    <w:basedOn w:val="DefaultParagraphFont"/>
    <w:link w:val="Heading2"/>
    <w:uiPriority w:val="99"/>
    <w:locked/>
    <w:rsid w:val="00DC42AA"/>
    <w:rPr>
      <w:rFonts w:ascii="Arial" w:eastAsia="Times New Roman" w:hAnsi="Arial" w:cs="Times New Roman"/>
      <w:b/>
      <w:bCs/>
      <w:iCs/>
      <w:color w:val="003478"/>
      <w:sz w:val="32"/>
      <w:szCs w:val="28"/>
    </w:rPr>
  </w:style>
  <w:style w:type="character" w:customStyle="1" w:styleId="Heading3Char1">
    <w:name w:val="Heading 3 Char1"/>
    <w:basedOn w:val="DefaultParagraphFont"/>
    <w:link w:val="Heading3"/>
    <w:uiPriority w:val="99"/>
    <w:locked/>
    <w:rsid w:val="00DC42AA"/>
    <w:rPr>
      <w:rFonts w:ascii="Arial" w:eastAsia="Times New Roman" w:hAnsi="Arial" w:cs="Times New Roman"/>
      <w:b/>
      <w:bCs/>
      <w:color w:val="009BBB"/>
      <w:sz w:val="26"/>
      <w:szCs w:val="26"/>
    </w:rPr>
  </w:style>
  <w:style w:type="character" w:customStyle="1" w:styleId="Heading4Char1">
    <w:name w:val="Heading 4 Char1"/>
    <w:basedOn w:val="DefaultParagraphFont"/>
    <w:link w:val="Heading4"/>
    <w:uiPriority w:val="99"/>
    <w:locked/>
    <w:rsid w:val="00DC42AA"/>
    <w:rPr>
      <w:rFonts w:ascii="Arial" w:eastAsia="Times New Roman" w:hAnsi="Arial" w:cs="Times New Roman"/>
      <w:b/>
      <w:sz w:val="24"/>
      <w:szCs w:val="24"/>
    </w:rPr>
  </w:style>
  <w:style w:type="paragraph" w:customStyle="1" w:styleId="Tabletext-Normal">
    <w:name w:val="Table text - Normal"/>
    <w:basedOn w:val="Tabletext-Bold"/>
    <w:uiPriority w:val="99"/>
    <w:rsid w:val="00DC42AA"/>
    <w:rPr>
      <w:b w:val="0"/>
    </w:rPr>
  </w:style>
  <w:style w:type="paragraph" w:customStyle="1" w:styleId="BISMonthYear">
    <w:name w:val="BIS Month Year"/>
    <w:basedOn w:val="Normal"/>
    <w:uiPriority w:val="99"/>
    <w:rsid w:val="00DC42AA"/>
    <w:pPr>
      <w:spacing w:after="0" w:line="240" w:lineRule="atLeast"/>
    </w:pPr>
    <w:rPr>
      <w:caps/>
      <w:sz w:val="20"/>
    </w:rPr>
  </w:style>
  <w:style w:type="character" w:styleId="PageNumber">
    <w:name w:val="page number"/>
    <w:basedOn w:val="DefaultParagraphFont"/>
    <w:uiPriority w:val="99"/>
    <w:rsid w:val="00DC42AA"/>
    <w:rPr>
      <w:rFonts w:ascii="Arial" w:hAnsi="Arial" w:cs="Times New Roman"/>
      <w:b w:val="0"/>
      <w:i w:val="0"/>
      <w:sz w:val="22"/>
    </w:rPr>
  </w:style>
  <w:style w:type="character" w:styleId="Strong">
    <w:name w:val="Strong"/>
    <w:aliases w:val="Bold"/>
    <w:basedOn w:val="DefaultParagraphFont"/>
    <w:uiPriority w:val="22"/>
    <w:qFormat/>
    <w:rsid w:val="00DC42AA"/>
    <w:rPr>
      <w:b/>
      <w:bCs/>
    </w:rPr>
  </w:style>
  <w:style w:type="paragraph" w:customStyle="1" w:styleId="URN">
    <w:name w:val="URN"/>
    <w:basedOn w:val="EndpageText"/>
    <w:rsid w:val="00DC42AA"/>
    <w:rPr>
      <w:b/>
      <w:szCs w:val="20"/>
    </w:rPr>
  </w:style>
  <w:style w:type="paragraph" w:customStyle="1" w:styleId="Contents">
    <w:name w:val="Contents"/>
    <w:basedOn w:val="Heading1"/>
    <w:rsid w:val="00DC42AA"/>
  </w:style>
  <w:style w:type="character" w:styleId="PlaceholderText">
    <w:name w:val="Placeholder Text"/>
    <w:basedOn w:val="DefaultParagraphFont"/>
    <w:uiPriority w:val="99"/>
    <w:semiHidden/>
    <w:rsid w:val="00DC42AA"/>
    <w:rPr>
      <w:color w:val="808080"/>
    </w:rPr>
  </w:style>
  <w:style w:type="paragraph" w:customStyle="1" w:styleId="Question">
    <w:name w:val="Question"/>
    <w:basedOn w:val="Normal"/>
    <w:qFormat/>
    <w:rsid w:val="00DC42AA"/>
    <w:rPr>
      <w:b/>
    </w:rPr>
  </w:style>
  <w:style w:type="paragraph" w:styleId="BalloonText">
    <w:name w:val="Balloon Text"/>
    <w:basedOn w:val="Normal"/>
    <w:link w:val="BalloonTextChar"/>
    <w:uiPriority w:val="99"/>
    <w:semiHidden/>
    <w:unhideWhenUsed/>
    <w:rsid w:val="00DC42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2AA"/>
    <w:rPr>
      <w:rFonts w:ascii="Tahoma" w:eastAsia="Times New Roman" w:hAnsi="Tahoma" w:cs="Tahoma"/>
      <w:sz w:val="16"/>
      <w:szCs w:val="16"/>
    </w:r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6E38F3"/>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basedOn w:val="DefaultParagraphFont"/>
    <w:link w:val="ListParagraph"/>
    <w:uiPriority w:val="34"/>
    <w:locked/>
    <w:rsid w:val="006E38F3"/>
  </w:style>
  <w:style w:type="paragraph" w:customStyle="1" w:styleId="Default">
    <w:name w:val="Default"/>
    <w:rsid w:val="006E38F3"/>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6E38F3"/>
    <w:pPr>
      <w:tabs>
        <w:tab w:val="center" w:pos="4513"/>
        <w:tab w:val="right" w:pos="9026"/>
      </w:tabs>
      <w:spacing w:after="0"/>
    </w:pPr>
  </w:style>
  <w:style w:type="character" w:customStyle="1" w:styleId="FooterChar">
    <w:name w:val="Footer Char"/>
    <w:basedOn w:val="DefaultParagraphFont"/>
    <w:link w:val="Footer"/>
    <w:uiPriority w:val="99"/>
    <w:rsid w:val="006E38F3"/>
    <w:rPr>
      <w:rFonts w:ascii="Arial" w:eastAsia="Times New Roman" w:hAnsi="Arial" w:cs="Times New Roman"/>
      <w:sz w:val="24"/>
      <w:szCs w:val="24"/>
    </w:rPr>
  </w:style>
  <w:style w:type="paragraph" w:styleId="NormalWeb">
    <w:name w:val="Normal (Web)"/>
    <w:basedOn w:val="Normal"/>
    <w:uiPriority w:val="99"/>
    <w:unhideWhenUsed/>
    <w:rsid w:val="00D25990"/>
    <w:pPr>
      <w:spacing w:before="100" w:beforeAutospacing="1" w:after="100" w:afterAutospacing="1"/>
    </w:pPr>
    <w:rPr>
      <w:rFonts w:ascii="Times New Roman" w:hAnsi="Times New Roman"/>
      <w:lang w:eastAsia="en-GB"/>
    </w:rPr>
  </w:style>
  <w:style w:type="paragraph" w:styleId="FootnoteText">
    <w:name w:val="footnote text"/>
    <w:basedOn w:val="Normal"/>
    <w:link w:val="FootnoteTextChar"/>
    <w:uiPriority w:val="99"/>
    <w:unhideWhenUsed/>
    <w:rsid w:val="00D25990"/>
    <w:pPr>
      <w:spacing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D25990"/>
    <w:rPr>
      <w:sz w:val="20"/>
      <w:szCs w:val="20"/>
    </w:rPr>
  </w:style>
  <w:style w:type="character" w:styleId="FootnoteReference">
    <w:name w:val="footnote reference"/>
    <w:basedOn w:val="DefaultParagraphFont"/>
    <w:uiPriority w:val="99"/>
    <w:unhideWhenUsed/>
    <w:rsid w:val="00D25990"/>
    <w:rPr>
      <w:vertAlign w:val="superscript"/>
    </w:rPr>
  </w:style>
  <w:style w:type="paragraph" w:styleId="PlainText">
    <w:name w:val="Plain Text"/>
    <w:basedOn w:val="Normal"/>
    <w:link w:val="PlainTextChar"/>
    <w:uiPriority w:val="99"/>
    <w:unhideWhenUsed/>
    <w:rsid w:val="00A108B0"/>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108B0"/>
    <w:rPr>
      <w:rFonts w:ascii="Calibri" w:hAnsi="Calibri"/>
      <w:szCs w:val="21"/>
    </w:rPr>
  </w:style>
  <w:style w:type="paragraph" w:styleId="TOC3">
    <w:name w:val="toc 3"/>
    <w:basedOn w:val="Normal"/>
    <w:next w:val="Normal"/>
    <w:autoRedefine/>
    <w:uiPriority w:val="39"/>
    <w:unhideWhenUsed/>
    <w:rsid w:val="00935A71"/>
    <w:pPr>
      <w:spacing w:after="100"/>
      <w:ind w:left="480"/>
    </w:pPr>
  </w:style>
  <w:style w:type="character" w:styleId="CommentReference">
    <w:name w:val="annotation reference"/>
    <w:basedOn w:val="DefaultParagraphFont"/>
    <w:uiPriority w:val="99"/>
    <w:unhideWhenUsed/>
    <w:rsid w:val="001220F7"/>
    <w:rPr>
      <w:sz w:val="16"/>
      <w:szCs w:val="16"/>
    </w:rPr>
  </w:style>
  <w:style w:type="paragraph" w:styleId="CommentText">
    <w:name w:val="annotation text"/>
    <w:basedOn w:val="Normal"/>
    <w:link w:val="CommentTextChar"/>
    <w:uiPriority w:val="99"/>
    <w:unhideWhenUsed/>
    <w:rsid w:val="001220F7"/>
    <w:rPr>
      <w:sz w:val="20"/>
      <w:szCs w:val="20"/>
    </w:rPr>
  </w:style>
  <w:style w:type="character" w:customStyle="1" w:styleId="CommentTextChar">
    <w:name w:val="Comment Text Char"/>
    <w:basedOn w:val="DefaultParagraphFont"/>
    <w:link w:val="CommentText"/>
    <w:uiPriority w:val="99"/>
    <w:rsid w:val="001220F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220F7"/>
    <w:rPr>
      <w:b/>
      <w:bCs/>
    </w:rPr>
  </w:style>
  <w:style w:type="character" w:customStyle="1" w:styleId="CommentSubjectChar">
    <w:name w:val="Comment Subject Char"/>
    <w:basedOn w:val="CommentTextChar"/>
    <w:link w:val="CommentSubject"/>
    <w:uiPriority w:val="99"/>
    <w:semiHidden/>
    <w:rsid w:val="001220F7"/>
    <w:rPr>
      <w:rFonts w:ascii="Arial" w:eastAsia="Times New Roman" w:hAnsi="Arial" w:cs="Times New Roman"/>
      <w:b/>
      <w:bCs/>
      <w:sz w:val="20"/>
      <w:szCs w:val="20"/>
    </w:rPr>
  </w:style>
  <w:style w:type="paragraph" w:styleId="Revision">
    <w:name w:val="Revision"/>
    <w:hidden/>
    <w:uiPriority w:val="99"/>
    <w:semiHidden/>
    <w:rsid w:val="006A0B80"/>
    <w:pPr>
      <w:spacing w:after="0" w:line="240" w:lineRule="auto"/>
    </w:pPr>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D65632"/>
    <w:rPr>
      <w:color w:val="800080" w:themeColor="followedHyperlink"/>
      <w:u w:val="single"/>
    </w:rPr>
  </w:style>
  <w:style w:type="paragraph" w:customStyle="1" w:styleId="Pa25">
    <w:name w:val="Pa25"/>
    <w:basedOn w:val="Normal"/>
    <w:next w:val="Normal"/>
    <w:uiPriority w:val="99"/>
    <w:rsid w:val="00E30860"/>
    <w:pPr>
      <w:autoSpaceDE w:val="0"/>
      <w:autoSpaceDN w:val="0"/>
      <w:adjustRightInd w:val="0"/>
      <w:spacing w:after="0" w:line="201" w:lineRule="atLeast"/>
    </w:pPr>
    <w:rPr>
      <w:rFonts w:ascii="Frutiger LT Std 45 Light" w:eastAsiaTheme="minorHAnsi" w:hAnsi="Frutiger LT Std 45 Light" w:cstheme="minorBidi"/>
    </w:rPr>
  </w:style>
  <w:style w:type="table" w:styleId="LightList-Accent1">
    <w:name w:val="Light List Accent 1"/>
    <w:basedOn w:val="TableNormal"/>
    <w:uiPriority w:val="61"/>
    <w:rsid w:val="00E3086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LineNumber">
    <w:name w:val="line number"/>
    <w:basedOn w:val="DefaultParagraphFont"/>
    <w:uiPriority w:val="99"/>
    <w:semiHidden/>
    <w:unhideWhenUsed/>
    <w:rsid w:val="00DA044F"/>
  </w:style>
  <w:style w:type="character" w:customStyle="1" w:styleId="help-block">
    <w:name w:val="help-block"/>
    <w:basedOn w:val="DefaultParagraphFont"/>
    <w:rsid w:val="000C7B45"/>
  </w:style>
  <w:style w:type="paragraph" w:customStyle="1" w:styleId="Tabletitle-WhiteNormal">
    <w:name w:val="Table title - White Normal"/>
    <w:basedOn w:val="Tabletitle-BlackNormal"/>
    <w:uiPriority w:val="99"/>
    <w:rsid w:val="00A76734"/>
    <w:pPr>
      <w:spacing w:before="60" w:after="60"/>
    </w:pPr>
    <w:rPr>
      <w:color w:val="FFFFFF"/>
    </w:rPr>
  </w:style>
  <w:style w:type="table" w:customStyle="1" w:styleId="Table-bluegrid">
    <w:name w:val="Table - blue grid"/>
    <w:basedOn w:val="TableNormal"/>
    <w:uiPriority w:val="99"/>
    <w:rsid w:val="00A76734"/>
    <w:pPr>
      <w:spacing w:after="0" w:line="240" w:lineRule="auto"/>
    </w:pPr>
    <w:rPr>
      <w:rFonts w:ascii="Arial" w:eastAsia="Times New Roman" w:hAnsi="Arial" w:cs="Times New Roman"/>
      <w:lang w:eastAsia="en-GB"/>
    </w:rPr>
    <w:tblPr>
      <w:tblBorders>
        <w:top w:val="single" w:sz="4" w:space="0" w:color="21488A"/>
        <w:left w:val="single" w:sz="4" w:space="0" w:color="21488A"/>
        <w:bottom w:val="single" w:sz="4" w:space="0" w:color="21488A"/>
        <w:right w:val="single" w:sz="4" w:space="0" w:color="21488A"/>
        <w:insideH w:val="single" w:sz="4" w:space="0" w:color="21488A"/>
        <w:insideV w:val="single" w:sz="4" w:space="0" w:color="21488A"/>
      </w:tblBorders>
      <w:tblCellMar>
        <w:top w:w="85" w:type="dxa"/>
        <w:bottom w:w="85"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paragraph" w:customStyle="1" w:styleId="Tabletitle-WhiteSmall">
    <w:name w:val="Table title - White Small"/>
    <w:basedOn w:val="Tabletitle-WhiteNormal"/>
    <w:rsid w:val="00471358"/>
    <w:rPr>
      <w:sz w:val="20"/>
    </w:rPr>
  </w:style>
  <w:style w:type="paragraph" w:customStyle="1" w:styleId="Tabletext-Small">
    <w:name w:val="Table text - Small"/>
    <w:basedOn w:val="Tabletext-Normal"/>
    <w:rsid w:val="00471358"/>
    <w:rPr>
      <w:sz w:val="20"/>
    </w:rPr>
  </w:style>
  <w:style w:type="table" w:customStyle="1" w:styleId="Table-lightbluegrid">
    <w:name w:val="Table - light blue grid"/>
    <w:basedOn w:val="Table-bluegrid"/>
    <w:uiPriority w:val="99"/>
    <w:rsid w:val="00471358"/>
    <w:tblPr>
      <w:tblBorders>
        <w:top w:val="single" w:sz="4" w:space="0" w:color="009BBB"/>
        <w:left w:val="single" w:sz="4" w:space="0" w:color="009BBB"/>
        <w:bottom w:val="single" w:sz="4" w:space="0" w:color="009BBB"/>
        <w:right w:val="single" w:sz="4" w:space="0" w:color="009BBB"/>
        <w:insideH w:val="single" w:sz="4" w:space="0" w:color="009BBB"/>
        <w:insideV w:val="single" w:sz="4"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paragraph" w:customStyle="1" w:styleId="BISCovertext">
    <w:name w:val="BIS Cover text"/>
    <w:basedOn w:val="BISTitle"/>
    <w:autoRedefine/>
    <w:uiPriority w:val="99"/>
    <w:locked/>
    <w:rsid w:val="00017E33"/>
    <w:rPr>
      <w:b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2AA"/>
    <w:pPr>
      <w:spacing w:after="288"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9"/>
    <w:qFormat/>
    <w:rsid w:val="00DC42AA"/>
    <w:pPr>
      <w:spacing w:after="324"/>
      <w:outlineLvl w:val="0"/>
    </w:pPr>
    <w:rPr>
      <w:b/>
      <w:bCs/>
      <w:color w:val="003478"/>
      <w:kern w:val="32"/>
      <w:sz w:val="56"/>
      <w:szCs w:val="32"/>
    </w:rPr>
  </w:style>
  <w:style w:type="paragraph" w:styleId="Heading2">
    <w:name w:val="heading 2"/>
    <w:basedOn w:val="Normal"/>
    <w:next w:val="Normal"/>
    <w:link w:val="Heading2Char1"/>
    <w:uiPriority w:val="99"/>
    <w:qFormat/>
    <w:rsid w:val="00DC42AA"/>
    <w:pPr>
      <w:spacing w:before="120" w:after="240"/>
      <w:outlineLvl w:val="1"/>
    </w:pPr>
    <w:rPr>
      <w:b/>
      <w:bCs/>
      <w:iCs/>
      <w:color w:val="003478"/>
      <w:sz w:val="32"/>
      <w:szCs w:val="28"/>
    </w:rPr>
  </w:style>
  <w:style w:type="paragraph" w:styleId="Heading3">
    <w:name w:val="heading 3"/>
    <w:basedOn w:val="Normal"/>
    <w:next w:val="Normal"/>
    <w:link w:val="Heading3Char1"/>
    <w:uiPriority w:val="99"/>
    <w:qFormat/>
    <w:rsid w:val="00DC42AA"/>
    <w:pPr>
      <w:spacing w:after="240"/>
      <w:outlineLvl w:val="2"/>
    </w:pPr>
    <w:rPr>
      <w:b/>
      <w:bCs/>
      <w:color w:val="009BBB"/>
      <w:sz w:val="26"/>
      <w:szCs w:val="26"/>
    </w:rPr>
  </w:style>
  <w:style w:type="paragraph" w:styleId="Heading4">
    <w:name w:val="heading 4"/>
    <w:basedOn w:val="Normal"/>
    <w:next w:val="Normal"/>
    <w:link w:val="Heading4Char1"/>
    <w:uiPriority w:val="99"/>
    <w:qFormat/>
    <w:rsid w:val="00DC42AA"/>
    <w:pPr>
      <w:spacing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C42AA"/>
    <w:rPr>
      <w:rFonts w:ascii="Arial" w:eastAsia="Times New Roman" w:hAnsi="Arial" w:cs="Times New Roman"/>
      <w:b/>
      <w:bCs/>
      <w:color w:val="003478"/>
      <w:kern w:val="32"/>
      <w:sz w:val="56"/>
      <w:szCs w:val="32"/>
    </w:rPr>
  </w:style>
  <w:style w:type="character" w:customStyle="1" w:styleId="Heading2Char">
    <w:name w:val="Heading 2 Char"/>
    <w:basedOn w:val="DefaultParagraphFont"/>
    <w:uiPriority w:val="9"/>
    <w:semiHidden/>
    <w:rsid w:val="00DC42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DC42AA"/>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uiPriority w:val="9"/>
    <w:semiHidden/>
    <w:rsid w:val="00DC42AA"/>
    <w:rPr>
      <w:rFonts w:asciiTheme="majorHAnsi" w:eastAsiaTheme="majorEastAsia" w:hAnsiTheme="majorHAnsi" w:cstheme="majorBidi"/>
      <w:b/>
      <w:bCs/>
      <w:i/>
      <w:iCs/>
      <w:color w:val="4F81BD" w:themeColor="accent1"/>
      <w:sz w:val="24"/>
      <w:szCs w:val="24"/>
    </w:rPr>
  </w:style>
  <w:style w:type="paragraph" w:customStyle="1" w:styleId="BISTitle">
    <w:name w:val="BIS Title"/>
    <w:basedOn w:val="Normal"/>
    <w:autoRedefine/>
    <w:uiPriority w:val="99"/>
    <w:rsid w:val="00DC42AA"/>
    <w:pPr>
      <w:spacing w:line="240" w:lineRule="atLeast"/>
      <w:ind w:left="142"/>
    </w:pPr>
    <w:rPr>
      <w:b/>
      <w:noProof/>
      <w:color w:val="FFFFFF"/>
      <w:lang w:val="en-US"/>
    </w:rPr>
  </w:style>
  <w:style w:type="paragraph" w:styleId="TOC1">
    <w:name w:val="toc 1"/>
    <w:basedOn w:val="Normal"/>
    <w:next w:val="Normal"/>
    <w:autoRedefine/>
    <w:uiPriority w:val="39"/>
    <w:unhideWhenUsed/>
    <w:rsid w:val="006A3BA2"/>
    <w:pPr>
      <w:tabs>
        <w:tab w:val="right" w:leader="dot" w:pos="9628"/>
      </w:tabs>
      <w:spacing w:after="160" w:line="280" w:lineRule="exact"/>
    </w:pPr>
    <w:rPr>
      <w:b/>
      <w:noProof/>
      <w:color w:val="1F497D" w:themeColor="text2"/>
      <w:sz w:val="28"/>
      <w:szCs w:val="28"/>
    </w:rPr>
  </w:style>
  <w:style w:type="paragraph" w:styleId="TOC2">
    <w:name w:val="toc 2"/>
    <w:basedOn w:val="Normal"/>
    <w:next w:val="Normal"/>
    <w:autoRedefine/>
    <w:uiPriority w:val="39"/>
    <w:unhideWhenUsed/>
    <w:rsid w:val="003F1396"/>
    <w:pPr>
      <w:tabs>
        <w:tab w:val="right" w:leader="dot" w:pos="9628"/>
      </w:tabs>
      <w:spacing w:line="280" w:lineRule="exact"/>
      <w:ind w:left="238"/>
    </w:pPr>
    <w:rPr>
      <w:noProof/>
      <w:color w:val="1F497D" w:themeColor="text2"/>
      <w:sz w:val="22"/>
    </w:rPr>
  </w:style>
  <w:style w:type="paragraph" w:styleId="Header">
    <w:name w:val="header"/>
    <w:basedOn w:val="Normal"/>
    <w:link w:val="HeaderChar1"/>
    <w:uiPriority w:val="99"/>
    <w:rsid w:val="00DC42AA"/>
    <w:pPr>
      <w:tabs>
        <w:tab w:val="center" w:pos="4513"/>
        <w:tab w:val="right" w:pos="9026"/>
      </w:tabs>
    </w:pPr>
  </w:style>
  <w:style w:type="character" w:customStyle="1" w:styleId="HeaderChar">
    <w:name w:val="Header Char"/>
    <w:basedOn w:val="DefaultParagraphFont"/>
    <w:uiPriority w:val="99"/>
    <w:semiHidden/>
    <w:rsid w:val="00DC42AA"/>
    <w:rPr>
      <w:rFonts w:ascii="Arial" w:eastAsia="Times New Roman" w:hAnsi="Arial" w:cs="Times New Roman"/>
      <w:sz w:val="24"/>
      <w:szCs w:val="24"/>
    </w:rPr>
  </w:style>
  <w:style w:type="character" w:customStyle="1" w:styleId="HeaderChar1">
    <w:name w:val="Header Char1"/>
    <w:basedOn w:val="DefaultParagraphFont"/>
    <w:link w:val="Header"/>
    <w:uiPriority w:val="99"/>
    <w:locked/>
    <w:rsid w:val="00DC42AA"/>
    <w:rPr>
      <w:rFonts w:ascii="Arial" w:eastAsia="Times New Roman" w:hAnsi="Arial" w:cs="Times New Roman"/>
      <w:sz w:val="24"/>
      <w:szCs w:val="24"/>
    </w:rPr>
  </w:style>
  <w:style w:type="paragraph" w:customStyle="1" w:styleId="Headertext">
    <w:name w:val="Header text"/>
    <w:basedOn w:val="Normal"/>
    <w:autoRedefine/>
    <w:uiPriority w:val="99"/>
    <w:rsid w:val="00DC42AA"/>
    <w:pPr>
      <w:tabs>
        <w:tab w:val="center" w:pos="4153"/>
        <w:tab w:val="right" w:pos="8306"/>
      </w:tabs>
      <w:jc w:val="right"/>
    </w:pPr>
    <w:rPr>
      <w:color w:val="003478"/>
      <w:sz w:val="18"/>
    </w:rPr>
  </w:style>
  <w:style w:type="paragraph" w:customStyle="1" w:styleId="Introparagraph">
    <w:name w:val="Intro paragraph"/>
    <w:basedOn w:val="Normal"/>
    <w:autoRedefine/>
    <w:uiPriority w:val="99"/>
    <w:rsid w:val="00DC42AA"/>
    <w:pPr>
      <w:keepNext/>
      <w:spacing w:before="120" w:after="360"/>
      <w:outlineLvl w:val="0"/>
    </w:pPr>
    <w:rPr>
      <w:b/>
      <w:bCs/>
      <w:noProof/>
      <w:kern w:val="32"/>
      <w:sz w:val="26"/>
      <w:szCs w:val="56"/>
    </w:rPr>
  </w:style>
  <w:style w:type="character" w:styleId="Hyperlink">
    <w:name w:val="Hyperlink"/>
    <w:basedOn w:val="DefaultParagraphFont"/>
    <w:uiPriority w:val="99"/>
    <w:rsid w:val="00DC42AA"/>
    <w:rPr>
      <w:rFonts w:ascii="Arial" w:hAnsi="Arial" w:cs="Times New Roman"/>
      <w:color w:val="0000FF"/>
      <w:sz w:val="24"/>
      <w:u w:val="single"/>
    </w:rPr>
  </w:style>
  <w:style w:type="paragraph" w:customStyle="1" w:styleId="Numberedparagraph">
    <w:name w:val="Numbered paragraph"/>
    <w:basedOn w:val="Normal"/>
    <w:autoRedefine/>
    <w:uiPriority w:val="99"/>
    <w:rsid w:val="002201AE"/>
    <w:pPr>
      <w:tabs>
        <w:tab w:val="left" w:pos="567"/>
      </w:tabs>
      <w:ind w:left="502" w:right="11"/>
    </w:pPr>
  </w:style>
  <w:style w:type="character" w:customStyle="1" w:styleId="Page1White">
    <w:name w:val="Page 1 White"/>
    <w:basedOn w:val="DefaultParagraphFont"/>
    <w:uiPriority w:val="99"/>
    <w:locked/>
    <w:rsid w:val="00DC42AA"/>
    <w:rPr>
      <w:rFonts w:ascii="Arial" w:hAnsi="Arial" w:cs="Times New Roman"/>
      <w:color w:val="FFFFFF"/>
      <w:sz w:val="24"/>
    </w:rPr>
  </w:style>
  <w:style w:type="paragraph" w:customStyle="1" w:styleId="EvenPageNumber">
    <w:name w:val="Even Page Number"/>
    <w:basedOn w:val="Normal"/>
    <w:uiPriority w:val="99"/>
    <w:locked/>
    <w:rsid w:val="00DC42AA"/>
    <w:rPr>
      <w:color w:val="003478"/>
    </w:rPr>
  </w:style>
  <w:style w:type="table" w:styleId="TableGrid">
    <w:name w:val="Table Grid"/>
    <w:basedOn w:val="TableNormal"/>
    <w:uiPriority w:val="99"/>
    <w:rsid w:val="00DC42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Tabletext-Bold">
    <w:name w:val="Table text - Bold"/>
    <w:basedOn w:val="Normal"/>
    <w:uiPriority w:val="99"/>
    <w:rsid w:val="00DC42AA"/>
    <w:pPr>
      <w:spacing w:after="80"/>
      <w:ind w:left="113" w:right="113"/>
    </w:pPr>
    <w:rPr>
      <w:b/>
      <w:sz w:val="22"/>
    </w:rPr>
  </w:style>
  <w:style w:type="paragraph" w:customStyle="1" w:styleId="Tabletitle-BlackNormal">
    <w:name w:val="Table title - Black Normal"/>
    <w:basedOn w:val="Tabletext-Bold"/>
    <w:uiPriority w:val="99"/>
    <w:rsid w:val="00DC42AA"/>
    <w:pPr>
      <w:spacing w:after="0"/>
    </w:pPr>
  </w:style>
  <w:style w:type="paragraph" w:styleId="ListBullet">
    <w:name w:val="List Bullet"/>
    <w:aliases w:val="Bullets"/>
    <w:basedOn w:val="Normal"/>
    <w:uiPriority w:val="99"/>
    <w:qFormat/>
    <w:rsid w:val="00DC42AA"/>
    <w:pPr>
      <w:numPr>
        <w:numId w:val="1"/>
      </w:numPr>
      <w:tabs>
        <w:tab w:val="clear" w:pos="284"/>
        <w:tab w:val="num" w:pos="0"/>
      </w:tabs>
      <w:spacing w:after="200" w:line="288" w:lineRule="exact"/>
      <w:ind w:left="992" w:hanging="425"/>
    </w:pPr>
  </w:style>
  <w:style w:type="paragraph" w:customStyle="1" w:styleId="EndpageText">
    <w:name w:val="End page Text"/>
    <w:basedOn w:val="Normal"/>
    <w:uiPriority w:val="99"/>
    <w:rsid w:val="00DC42AA"/>
    <w:pPr>
      <w:spacing w:after="200"/>
    </w:pPr>
    <w:rPr>
      <w:sz w:val="20"/>
    </w:rPr>
  </w:style>
  <w:style w:type="paragraph" w:customStyle="1" w:styleId="BISSub-title">
    <w:name w:val="BIS Sub-title"/>
    <w:basedOn w:val="Normal"/>
    <w:uiPriority w:val="99"/>
    <w:rsid w:val="00DC42AA"/>
    <w:pPr>
      <w:spacing w:after="0" w:line="240" w:lineRule="atLeast"/>
    </w:pPr>
    <w:rPr>
      <w:sz w:val="28"/>
    </w:rPr>
  </w:style>
  <w:style w:type="character" w:customStyle="1" w:styleId="Heading2Char1">
    <w:name w:val="Heading 2 Char1"/>
    <w:basedOn w:val="DefaultParagraphFont"/>
    <w:link w:val="Heading2"/>
    <w:uiPriority w:val="99"/>
    <w:locked/>
    <w:rsid w:val="00DC42AA"/>
    <w:rPr>
      <w:rFonts w:ascii="Arial" w:eastAsia="Times New Roman" w:hAnsi="Arial" w:cs="Times New Roman"/>
      <w:b/>
      <w:bCs/>
      <w:iCs/>
      <w:color w:val="003478"/>
      <w:sz w:val="32"/>
      <w:szCs w:val="28"/>
    </w:rPr>
  </w:style>
  <w:style w:type="character" w:customStyle="1" w:styleId="Heading3Char1">
    <w:name w:val="Heading 3 Char1"/>
    <w:basedOn w:val="DefaultParagraphFont"/>
    <w:link w:val="Heading3"/>
    <w:uiPriority w:val="99"/>
    <w:locked/>
    <w:rsid w:val="00DC42AA"/>
    <w:rPr>
      <w:rFonts w:ascii="Arial" w:eastAsia="Times New Roman" w:hAnsi="Arial" w:cs="Times New Roman"/>
      <w:b/>
      <w:bCs/>
      <w:color w:val="009BBB"/>
      <w:sz w:val="26"/>
      <w:szCs w:val="26"/>
    </w:rPr>
  </w:style>
  <w:style w:type="character" w:customStyle="1" w:styleId="Heading4Char1">
    <w:name w:val="Heading 4 Char1"/>
    <w:basedOn w:val="DefaultParagraphFont"/>
    <w:link w:val="Heading4"/>
    <w:uiPriority w:val="99"/>
    <w:locked/>
    <w:rsid w:val="00DC42AA"/>
    <w:rPr>
      <w:rFonts w:ascii="Arial" w:eastAsia="Times New Roman" w:hAnsi="Arial" w:cs="Times New Roman"/>
      <w:b/>
      <w:sz w:val="24"/>
      <w:szCs w:val="24"/>
    </w:rPr>
  </w:style>
  <w:style w:type="paragraph" w:customStyle="1" w:styleId="Tabletext-Normal">
    <w:name w:val="Table text - Normal"/>
    <w:basedOn w:val="Tabletext-Bold"/>
    <w:uiPriority w:val="99"/>
    <w:rsid w:val="00DC42AA"/>
    <w:rPr>
      <w:b w:val="0"/>
    </w:rPr>
  </w:style>
  <w:style w:type="paragraph" w:customStyle="1" w:styleId="BISMonthYear">
    <w:name w:val="BIS Month Year"/>
    <w:basedOn w:val="Normal"/>
    <w:uiPriority w:val="99"/>
    <w:rsid w:val="00DC42AA"/>
    <w:pPr>
      <w:spacing w:after="0" w:line="240" w:lineRule="atLeast"/>
    </w:pPr>
    <w:rPr>
      <w:caps/>
      <w:sz w:val="20"/>
    </w:rPr>
  </w:style>
  <w:style w:type="character" w:styleId="PageNumber">
    <w:name w:val="page number"/>
    <w:basedOn w:val="DefaultParagraphFont"/>
    <w:uiPriority w:val="99"/>
    <w:rsid w:val="00DC42AA"/>
    <w:rPr>
      <w:rFonts w:ascii="Arial" w:hAnsi="Arial" w:cs="Times New Roman"/>
      <w:b w:val="0"/>
      <w:i w:val="0"/>
      <w:sz w:val="22"/>
    </w:rPr>
  </w:style>
  <w:style w:type="character" w:styleId="Strong">
    <w:name w:val="Strong"/>
    <w:aliases w:val="Bold"/>
    <w:basedOn w:val="DefaultParagraphFont"/>
    <w:uiPriority w:val="22"/>
    <w:qFormat/>
    <w:rsid w:val="00DC42AA"/>
    <w:rPr>
      <w:b/>
      <w:bCs/>
    </w:rPr>
  </w:style>
  <w:style w:type="paragraph" w:customStyle="1" w:styleId="URN">
    <w:name w:val="URN"/>
    <w:basedOn w:val="EndpageText"/>
    <w:rsid w:val="00DC42AA"/>
    <w:rPr>
      <w:b/>
      <w:szCs w:val="20"/>
    </w:rPr>
  </w:style>
  <w:style w:type="paragraph" w:customStyle="1" w:styleId="Contents">
    <w:name w:val="Contents"/>
    <w:basedOn w:val="Heading1"/>
    <w:rsid w:val="00DC42AA"/>
  </w:style>
  <w:style w:type="character" w:styleId="PlaceholderText">
    <w:name w:val="Placeholder Text"/>
    <w:basedOn w:val="DefaultParagraphFont"/>
    <w:uiPriority w:val="99"/>
    <w:semiHidden/>
    <w:rsid w:val="00DC42AA"/>
    <w:rPr>
      <w:color w:val="808080"/>
    </w:rPr>
  </w:style>
  <w:style w:type="paragraph" w:customStyle="1" w:styleId="Question">
    <w:name w:val="Question"/>
    <w:basedOn w:val="Normal"/>
    <w:qFormat/>
    <w:rsid w:val="00DC42AA"/>
    <w:rPr>
      <w:b/>
    </w:rPr>
  </w:style>
  <w:style w:type="paragraph" w:styleId="BalloonText">
    <w:name w:val="Balloon Text"/>
    <w:basedOn w:val="Normal"/>
    <w:link w:val="BalloonTextChar"/>
    <w:uiPriority w:val="99"/>
    <w:semiHidden/>
    <w:unhideWhenUsed/>
    <w:rsid w:val="00DC42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2AA"/>
    <w:rPr>
      <w:rFonts w:ascii="Tahoma" w:eastAsia="Times New Roman" w:hAnsi="Tahoma" w:cs="Tahoma"/>
      <w:sz w:val="16"/>
      <w:szCs w:val="16"/>
    </w:r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6E38F3"/>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basedOn w:val="DefaultParagraphFont"/>
    <w:link w:val="ListParagraph"/>
    <w:uiPriority w:val="34"/>
    <w:locked/>
    <w:rsid w:val="006E38F3"/>
  </w:style>
  <w:style w:type="paragraph" w:customStyle="1" w:styleId="Default">
    <w:name w:val="Default"/>
    <w:rsid w:val="006E38F3"/>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6E38F3"/>
    <w:pPr>
      <w:tabs>
        <w:tab w:val="center" w:pos="4513"/>
        <w:tab w:val="right" w:pos="9026"/>
      </w:tabs>
      <w:spacing w:after="0"/>
    </w:pPr>
  </w:style>
  <w:style w:type="character" w:customStyle="1" w:styleId="FooterChar">
    <w:name w:val="Footer Char"/>
    <w:basedOn w:val="DefaultParagraphFont"/>
    <w:link w:val="Footer"/>
    <w:uiPriority w:val="99"/>
    <w:rsid w:val="006E38F3"/>
    <w:rPr>
      <w:rFonts w:ascii="Arial" w:eastAsia="Times New Roman" w:hAnsi="Arial" w:cs="Times New Roman"/>
      <w:sz w:val="24"/>
      <w:szCs w:val="24"/>
    </w:rPr>
  </w:style>
  <w:style w:type="paragraph" w:styleId="NormalWeb">
    <w:name w:val="Normal (Web)"/>
    <w:basedOn w:val="Normal"/>
    <w:uiPriority w:val="99"/>
    <w:unhideWhenUsed/>
    <w:rsid w:val="00D25990"/>
    <w:pPr>
      <w:spacing w:before="100" w:beforeAutospacing="1" w:after="100" w:afterAutospacing="1"/>
    </w:pPr>
    <w:rPr>
      <w:rFonts w:ascii="Times New Roman" w:hAnsi="Times New Roman"/>
      <w:lang w:eastAsia="en-GB"/>
    </w:rPr>
  </w:style>
  <w:style w:type="paragraph" w:styleId="FootnoteText">
    <w:name w:val="footnote text"/>
    <w:basedOn w:val="Normal"/>
    <w:link w:val="FootnoteTextChar"/>
    <w:uiPriority w:val="99"/>
    <w:unhideWhenUsed/>
    <w:rsid w:val="00D25990"/>
    <w:pPr>
      <w:spacing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D25990"/>
    <w:rPr>
      <w:sz w:val="20"/>
      <w:szCs w:val="20"/>
    </w:rPr>
  </w:style>
  <w:style w:type="character" w:styleId="FootnoteReference">
    <w:name w:val="footnote reference"/>
    <w:basedOn w:val="DefaultParagraphFont"/>
    <w:uiPriority w:val="99"/>
    <w:unhideWhenUsed/>
    <w:rsid w:val="00D25990"/>
    <w:rPr>
      <w:vertAlign w:val="superscript"/>
    </w:rPr>
  </w:style>
  <w:style w:type="paragraph" w:styleId="PlainText">
    <w:name w:val="Plain Text"/>
    <w:basedOn w:val="Normal"/>
    <w:link w:val="PlainTextChar"/>
    <w:uiPriority w:val="99"/>
    <w:unhideWhenUsed/>
    <w:rsid w:val="00A108B0"/>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108B0"/>
    <w:rPr>
      <w:rFonts w:ascii="Calibri" w:hAnsi="Calibri"/>
      <w:szCs w:val="21"/>
    </w:rPr>
  </w:style>
  <w:style w:type="paragraph" w:styleId="TOC3">
    <w:name w:val="toc 3"/>
    <w:basedOn w:val="Normal"/>
    <w:next w:val="Normal"/>
    <w:autoRedefine/>
    <w:uiPriority w:val="39"/>
    <w:unhideWhenUsed/>
    <w:rsid w:val="00935A71"/>
    <w:pPr>
      <w:spacing w:after="100"/>
      <w:ind w:left="480"/>
    </w:pPr>
  </w:style>
  <w:style w:type="character" w:styleId="CommentReference">
    <w:name w:val="annotation reference"/>
    <w:basedOn w:val="DefaultParagraphFont"/>
    <w:uiPriority w:val="99"/>
    <w:unhideWhenUsed/>
    <w:rsid w:val="001220F7"/>
    <w:rPr>
      <w:sz w:val="16"/>
      <w:szCs w:val="16"/>
    </w:rPr>
  </w:style>
  <w:style w:type="paragraph" w:styleId="CommentText">
    <w:name w:val="annotation text"/>
    <w:basedOn w:val="Normal"/>
    <w:link w:val="CommentTextChar"/>
    <w:uiPriority w:val="99"/>
    <w:unhideWhenUsed/>
    <w:rsid w:val="001220F7"/>
    <w:rPr>
      <w:sz w:val="20"/>
      <w:szCs w:val="20"/>
    </w:rPr>
  </w:style>
  <w:style w:type="character" w:customStyle="1" w:styleId="CommentTextChar">
    <w:name w:val="Comment Text Char"/>
    <w:basedOn w:val="DefaultParagraphFont"/>
    <w:link w:val="CommentText"/>
    <w:uiPriority w:val="99"/>
    <w:rsid w:val="001220F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220F7"/>
    <w:rPr>
      <w:b/>
      <w:bCs/>
    </w:rPr>
  </w:style>
  <w:style w:type="character" w:customStyle="1" w:styleId="CommentSubjectChar">
    <w:name w:val="Comment Subject Char"/>
    <w:basedOn w:val="CommentTextChar"/>
    <w:link w:val="CommentSubject"/>
    <w:uiPriority w:val="99"/>
    <w:semiHidden/>
    <w:rsid w:val="001220F7"/>
    <w:rPr>
      <w:rFonts w:ascii="Arial" w:eastAsia="Times New Roman" w:hAnsi="Arial" w:cs="Times New Roman"/>
      <w:b/>
      <w:bCs/>
      <w:sz w:val="20"/>
      <w:szCs w:val="20"/>
    </w:rPr>
  </w:style>
  <w:style w:type="paragraph" w:styleId="Revision">
    <w:name w:val="Revision"/>
    <w:hidden/>
    <w:uiPriority w:val="99"/>
    <w:semiHidden/>
    <w:rsid w:val="006A0B80"/>
    <w:pPr>
      <w:spacing w:after="0" w:line="240" w:lineRule="auto"/>
    </w:pPr>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D65632"/>
    <w:rPr>
      <w:color w:val="800080" w:themeColor="followedHyperlink"/>
      <w:u w:val="single"/>
    </w:rPr>
  </w:style>
  <w:style w:type="paragraph" w:customStyle="1" w:styleId="Pa25">
    <w:name w:val="Pa25"/>
    <w:basedOn w:val="Normal"/>
    <w:next w:val="Normal"/>
    <w:uiPriority w:val="99"/>
    <w:rsid w:val="00E30860"/>
    <w:pPr>
      <w:autoSpaceDE w:val="0"/>
      <w:autoSpaceDN w:val="0"/>
      <w:adjustRightInd w:val="0"/>
      <w:spacing w:after="0" w:line="201" w:lineRule="atLeast"/>
    </w:pPr>
    <w:rPr>
      <w:rFonts w:ascii="Frutiger LT Std 45 Light" w:eastAsiaTheme="minorHAnsi" w:hAnsi="Frutiger LT Std 45 Light" w:cstheme="minorBidi"/>
    </w:rPr>
  </w:style>
  <w:style w:type="table" w:styleId="LightList-Accent1">
    <w:name w:val="Light List Accent 1"/>
    <w:basedOn w:val="TableNormal"/>
    <w:uiPriority w:val="61"/>
    <w:rsid w:val="00E3086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LineNumber">
    <w:name w:val="line number"/>
    <w:basedOn w:val="DefaultParagraphFont"/>
    <w:uiPriority w:val="99"/>
    <w:semiHidden/>
    <w:unhideWhenUsed/>
    <w:rsid w:val="00DA044F"/>
  </w:style>
  <w:style w:type="character" w:customStyle="1" w:styleId="help-block">
    <w:name w:val="help-block"/>
    <w:basedOn w:val="DefaultParagraphFont"/>
    <w:rsid w:val="000C7B45"/>
  </w:style>
  <w:style w:type="paragraph" w:customStyle="1" w:styleId="Tabletitle-WhiteNormal">
    <w:name w:val="Table title - White Normal"/>
    <w:basedOn w:val="Tabletitle-BlackNormal"/>
    <w:uiPriority w:val="99"/>
    <w:rsid w:val="00A76734"/>
    <w:pPr>
      <w:spacing w:before="60" w:after="60"/>
    </w:pPr>
    <w:rPr>
      <w:color w:val="FFFFFF"/>
    </w:rPr>
  </w:style>
  <w:style w:type="table" w:customStyle="1" w:styleId="Table-bluegrid">
    <w:name w:val="Table - blue grid"/>
    <w:basedOn w:val="TableNormal"/>
    <w:uiPriority w:val="99"/>
    <w:rsid w:val="00A76734"/>
    <w:pPr>
      <w:spacing w:after="0" w:line="240" w:lineRule="auto"/>
    </w:pPr>
    <w:rPr>
      <w:rFonts w:ascii="Arial" w:eastAsia="Times New Roman" w:hAnsi="Arial" w:cs="Times New Roman"/>
      <w:lang w:eastAsia="en-GB"/>
    </w:rPr>
    <w:tblPr>
      <w:tblBorders>
        <w:top w:val="single" w:sz="4" w:space="0" w:color="21488A"/>
        <w:left w:val="single" w:sz="4" w:space="0" w:color="21488A"/>
        <w:bottom w:val="single" w:sz="4" w:space="0" w:color="21488A"/>
        <w:right w:val="single" w:sz="4" w:space="0" w:color="21488A"/>
        <w:insideH w:val="single" w:sz="4" w:space="0" w:color="21488A"/>
        <w:insideV w:val="single" w:sz="4" w:space="0" w:color="21488A"/>
      </w:tblBorders>
      <w:tblCellMar>
        <w:top w:w="85" w:type="dxa"/>
        <w:bottom w:w="85"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paragraph" w:customStyle="1" w:styleId="Tabletitle-WhiteSmall">
    <w:name w:val="Table title - White Small"/>
    <w:basedOn w:val="Tabletitle-WhiteNormal"/>
    <w:rsid w:val="00471358"/>
    <w:rPr>
      <w:sz w:val="20"/>
    </w:rPr>
  </w:style>
  <w:style w:type="paragraph" w:customStyle="1" w:styleId="Tabletext-Small">
    <w:name w:val="Table text - Small"/>
    <w:basedOn w:val="Tabletext-Normal"/>
    <w:rsid w:val="00471358"/>
    <w:rPr>
      <w:sz w:val="20"/>
    </w:rPr>
  </w:style>
  <w:style w:type="table" w:customStyle="1" w:styleId="Table-lightbluegrid">
    <w:name w:val="Table - light blue grid"/>
    <w:basedOn w:val="Table-bluegrid"/>
    <w:uiPriority w:val="99"/>
    <w:rsid w:val="00471358"/>
    <w:tblPr>
      <w:tblBorders>
        <w:top w:val="single" w:sz="4" w:space="0" w:color="009BBB"/>
        <w:left w:val="single" w:sz="4" w:space="0" w:color="009BBB"/>
        <w:bottom w:val="single" w:sz="4" w:space="0" w:color="009BBB"/>
        <w:right w:val="single" w:sz="4" w:space="0" w:color="009BBB"/>
        <w:insideH w:val="single" w:sz="4" w:space="0" w:color="009BBB"/>
        <w:insideV w:val="single" w:sz="4"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paragraph" w:customStyle="1" w:styleId="BISCovertext">
    <w:name w:val="BIS Cover text"/>
    <w:basedOn w:val="BISTitle"/>
    <w:autoRedefine/>
    <w:uiPriority w:val="99"/>
    <w:locked/>
    <w:rsid w:val="00017E33"/>
    <w:rPr>
      <w:b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72323">
      <w:bodyDiv w:val="1"/>
      <w:marLeft w:val="0"/>
      <w:marRight w:val="0"/>
      <w:marTop w:val="0"/>
      <w:marBottom w:val="0"/>
      <w:divBdr>
        <w:top w:val="none" w:sz="0" w:space="0" w:color="auto"/>
        <w:left w:val="none" w:sz="0" w:space="0" w:color="auto"/>
        <w:bottom w:val="none" w:sz="0" w:space="0" w:color="auto"/>
        <w:right w:val="none" w:sz="0" w:space="0" w:color="auto"/>
      </w:divBdr>
    </w:div>
    <w:div w:id="178740045">
      <w:bodyDiv w:val="1"/>
      <w:marLeft w:val="0"/>
      <w:marRight w:val="0"/>
      <w:marTop w:val="0"/>
      <w:marBottom w:val="0"/>
      <w:divBdr>
        <w:top w:val="none" w:sz="0" w:space="0" w:color="auto"/>
        <w:left w:val="none" w:sz="0" w:space="0" w:color="auto"/>
        <w:bottom w:val="none" w:sz="0" w:space="0" w:color="auto"/>
        <w:right w:val="none" w:sz="0" w:space="0" w:color="auto"/>
      </w:divBdr>
    </w:div>
    <w:div w:id="229971032">
      <w:bodyDiv w:val="1"/>
      <w:marLeft w:val="0"/>
      <w:marRight w:val="0"/>
      <w:marTop w:val="0"/>
      <w:marBottom w:val="0"/>
      <w:divBdr>
        <w:top w:val="none" w:sz="0" w:space="0" w:color="auto"/>
        <w:left w:val="none" w:sz="0" w:space="0" w:color="auto"/>
        <w:bottom w:val="none" w:sz="0" w:space="0" w:color="auto"/>
        <w:right w:val="none" w:sz="0" w:space="0" w:color="auto"/>
      </w:divBdr>
    </w:div>
    <w:div w:id="321391402">
      <w:bodyDiv w:val="1"/>
      <w:marLeft w:val="0"/>
      <w:marRight w:val="0"/>
      <w:marTop w:val="0"/>
      <w:marBottom w:val="0"/>
      <w:divBdr>
        <w:top w:val="none" w:sz="0" w:space="0" w:color="auto"/>
        <w:left w:val="none" w:sz="0" w:space="0" w:color="auto"/>
        <w:bottom w:val="none" w:sz="0" w:space="0" w:color="auto"/>
        <w:right w:val="none" w:sz="0" w:space="0" w:color="auto"/>
      </w:divBdr>
    </w:div>
    <w:div w:id="526286731">
      <w:bodyDiv w:val="1"/>
      <w:marLeft w:val="0"/>
      <w:marRight w:val="0"/>
      <w:marTop w:val="0"/>
      <w:marBottom w:val="0"/>
      <w:divBdr>
        <w:top w:val="none" w:sz="0" w:space="0" w:color="auto"/>
        <w:left w:val="none" w:sz="0" w:space="0" w:color="auto"/>
        <w:bottom w:val="none" w:sz="0" w:space="0" w:color="auto"/>
        <w:right w:val="none" w:sz="0" w:space="0" w:color="auto"/>
      </w:divBdr>
    </w:div>
    <w:div w:id="534386871">
      <w:bodyDiv w:val="1"/>
      <w:marLeft w:val="0"/>
      <w:marRight w:val="0"/>
      <w:marTop w:val="0"/>
      <w:marBottom w:val="0"/>
      <w:divBdr>
        <w:top w:val="none" w:sz="0" w:space="0" w:color="auto"/>
        <w:left w:val="none" w:sz="0" w:space="0" w:color="auto"/>
        <w:bottom w:val="none" w:sz="0" w:space="0" w:color="auto"/>
        <w:right w:val="none" w:sz="0" w:space="0" w:color="auto"/>
      </w:divBdr>
    </w:div>
    <w:div w:id="580942615">
      <w:bodyDiv w:val="1"/>
      <w:marLeft w:val="0"/>
      <w:marRight w:val="0"/>
      <w:marTop w:val="0"/>
      <w:marBottom w:val="0"/>
      <w:divBdr>
        <w:top w:val="none" w:sz="0" w:space="0" w:color="auto"/>
        <w:left w:val="none" w:sz="0" w:space="0" w:color="auto"/>
        <w:bottom w:val="none" w:sz="0" w:space="0" w:color="auto"/>
        <w:right w:val="none" w:sz="0" w:space="0" w:color="auto"/>
      </w:divBdr>
    </w:div>
    <w:div w:id="631523180">
      <w:bodyDiv w:val="1"/>
      <w:marLeft w:val="0"/>
      <w:marRight w:val="0"/>
      <w:marTop w:val="0"/>
      <w:marBottom w:val="0"/>
      <w:divBdr>
        <w:top w:val="none" w:sz="0" w:space="0" w:color="auto"/>
        <w:left w:val="none" w:sz="0" w:space="0" w:color="auto"/>
        <w:bottom w:val="none" w:sz="0" w:space="0" w:color="auto"/>
        <w:right w:val="none" w:sz="0" w:space="0" w:color="auto"/>
      </w:divBdr>
    </w:div>
    <w:div w:id="756946698">
      <w:bodyDiv w:val="1"/>
      <w:marLeft w:val="0"/>
      <w:marRight w:val="0"/>
      <w:marTop w:val="0"/>
      <w:marBottom w:val="0"/>
      <w:divBdr>
        <w:top w:val="none" w:sz="0" w:space="0" w:color="auto"/>
        <w:left w:val="none" w:sz="0" w:space="0" w:color="auto"/>
        <w:bottom w:val="none" w:sz="0" w:space="0" w:color="auto"/>
        <w:right w:val="none" w:sz="0" w:space="0" w:color="auto"/>
      </w:divBdr>
    </w:div>
    <w:div w:id="833759148">
      <w:bodyDiv w:val="1"/>
      <w:marLeft w:val="0"/>
      <w:marRight w:val="0"/>
      <w:marTop w:val="0"/>
      <w:marBottom w:val="0"/>
      <w:divBdr>
        <w:top w:val="none" w:sz="0" w:space="0" w:color="auto"/>
        <w:left w:val="none" w:sz="0" w:space="0" w:color="auto"/>
        <w:bottom w:val="none" w:sz="0" w:space="0" w:color="auto"/>
        <w:right w:val="none" w:sz="0" w:space="0" w:color="auto"/>
      </w:divBdr>
    </w:div>
    <w:div w:id="1090586607">
      <w:bodyDiv w:val="1"/>
      <w:marLeft w:val="0"/>
      <w:marRight w:val="0"/>
      <w:marTop w:val="0"/>
      <w:marBottom w:val="0"/>
      <w:divBdr>
        <w:top w:val="none" w:sz="0" w:space="0" w:color="auto"/>
        <w:left w:val="none" w:sz="0" w:space="0" w:color="auto"/>
        <w:bottom w:val="none" w:sz="0" w:space="0" w:color="auto"/>
        <w:right w:val="none" w:sz="0" w:space="0" w:color="auto"/>
      </w:divBdr>
    </w:div>
    <w:div w:id="1381636561">
      <w:bodyDiv w:val="1"/>
      <w:marLeft w:val="0"/>
      <w:marRight w:val="0"/>
      <w:marTop w:val="0"/>
      <w:marBottom w:val="0"/>
      <w:divBdr>
        <w:top w:val="none" w:sz="0" w:space="0" w:color="auto"/>
        <w:left w:val="none" w:sz="0" w:space="0" w:color="auto"/>
        <w:bottom w:val="none" w:sz="0" w:space="0" w:color="auto"/>
        <w:right w:val="none" w:sz="0" w:space="0" w:color="auto"/>
      </w:divBdr>
    </w:div>
    <w:div w:id="1395736290">
      <w:bodyDiv w:val="1"/>
      <w:marLeft w:val="0"/>
      <w:marRight w:val="0"/>
      <w:marTop w:val="0"/>
      <w:marBottom w:val="0"/>
      <w:divBdr>
        <w:top w:val="none" w:sz="0" w:space="0" w:color="auto"/>
        <w:left w:val="none" w:sz="0" w:space="0" w:color="auto"/>
        <w:bottom w:val="none" w:sz="0" w:space="0" w:color="auto"/>
        <w:right w:val="none" w:sz="0" w:space="0" w:color="auto"/>
      </w:divBdr>
    </w:div>
    <w:div w:id="1405951874">
      <w:bodyDiv w:val="1"/>
      <w:marLeft w:val="0"/>
      <w:marRight w:val="0"/>
      <w:marTop w:val="0"/>
      <w:marBottom w:val="0"/>
      <w:divBdr>
        <w:top w:val="none" w:sz="0" w:space="0" w:color="auto"/>
        <w:left w:val="none" w:sz="0" w:space="0" w:color="auto"/>
        <w:bottom w:val="none" w:sz="0" w:space="0" w:color="auto"/>
        <w:right w:val="none" w:sz="0" w:space="0" w:color="auto"/>
      </w:divBdr>
      <w:divsChild>
        <w:div w:id="723218041">
          <w:marLeft w:val="0"/>
          <w:marRight w:val="0"/>
          <w:marTop w:val="0"/>
          <w:marBottom w:val="0"/>
          <w:divBdr>
            <w:top w:val="none" w:sz="0" w:space="0" w:color="auto"/>
            <w:left w:val="none" w:sz="0" w:space="0" w:color="auto"/>
            <w:bottom w:val="none" w:sz="0" w:space="0" w:color="auto"/>
            <w:right w:val="none" w:sz="0" w:space="0" w:color="auto"/>
          </w:divBdr>
        </w:div>
      </w:divsChild>
    </w:div>
    <w:div w:id="1530219013">
      <w:bodyDiv w:val="1"/>
      <w:marLeft w:val="0"/>
      <w:marRight w:val="0"/>
      <w:marTop w:val="0"/>
      <w:marBottom w:val="0"/>
      <w:divBdr>
        <w:top w:val="none" w:sz="0" w:space="0" w:color="auto"/>
        <w:left w:val="none" w:sz="0" w:space="0" w:color="auto"/>
        <w:bottom w:val="none" w:sz="0" w:space="0" w:color="auto"/>
        <w:right w:val="none" w:sz="0" w:space="0" w:color="auto"/>
      </w:divBdr>
    </w:div>
    <w:div w:id="1584340537">
      <w:bodyDiv w:val="1"/>
      <w:marLeft w:val="0"/>
      <w:marRight w:val="0"/>
      <w:marTop w:val="0"/>
      <w:marBottom w:val="0"/>
      <w:divBdr>
        <w:top w:val="none" w:sz="0" w:space="0" w:color="auto"/>
        <w:left w:val="none" w:sz="0" w:space="0" w:color="auto"/>
        <w:bottom w:val="none" w:sz="0" w:space="0" w:color="auto"/>
        <w:right w:val="none" w:sz="0" w:space="0" w:color="auto"/>
      </w:divBdr>
    </w:div>
    <w:div w:id="1652372123">
      <w:bodyDiv w:val="1"/>
      <w:marLeft w:val="0"/>
      <w:marRight w:val="0"/>
      <w:marTop w:val="0"/>
      <w:marBottom w:val="0"/>
      <w:divBdr>
        <w:top w:val="none" w:sz="0" w:space="0" w:color="auto"/>
        <w:left w:val="none" w:sz="0" w:space="0" w:color="auto"/>
        <w:bottom w:val="none" w:sz="0" w:space="0" w:color="auto"/>
        <w:right w:val="none" w:sz="0" w:space="0" w:color="auto"/>
      </w:divBdr>
    </w:div>
    <w:div w:id="1985115264">
      <w:bodyDiv w:val="1"/>
      <w:marLeft w:val="0"/>
      <w:marRight w:val="0"/>
      <w:marTop w:val="0"/>
      <w:marBottom w:val="0"/>
      <w:divBdr>
        <w:top w:val="none" w:sz="0" w:space="0" w:color="auto"/>
        <w:left w:val="none" w:sz="0" w:space="0" w:color="auto"/>
        <w:bottom w:val="none" w:sz="0" w:space="0" w:color="auto"/>
        <w:right w:val="none" w:sz="0" w:space="0" w:color="auto"/>
      </w:divBdr>
    </w:div>
    <w:div w:id="2032294290">
      <w:bodyDiv w:val="1"/>
      <w:marLeft w:val="0"/>
      <w:marRight w:val="0"/>
      <w:marTop w:val="0"/>
      <w:marBottom w:val="0"/>
      <w:divBdr>
        <w:top w:val="none" w:sz="0" w:space="0" w:color="auto"/>
        <w:left w:val="none" w:sz="0" w:space="0" w:color="auto"/>
        <w:bottom w:val="none" w:sz="0" w:space="0" w:color="auto"/>
        <w:right w:val="none" w:sz="0" w:space="0" w:color="auto"/>
      </w:divBdr>
    </w:div>
    <w:div w:id="2039549290">
      <w:bodyDiv w:val="1"/>
      <w:marLeft w:val="0"/>
      <w:marRight w:val="0"/>
      <w:marTop w:val="0"/>
      <w:marBottom w:val="0"/>
      <w:divBdr>
        <w:top w:val="none" w:sz="0" w:space="0" w:color="auto"/>
        <w:left w:val="none" w:sz="0" w:space="0" w:color="auto"/>
        <w:bottom w:val="none" w:sz="0" w:space="0" w:color="auto"/>
        <w:right w:val="none" w:sz="0" w:space="0" w:color="auto"/>
      </w:divBdr>
    </w:div>
    <w:div w:id="2099861697">
      <w:bodyDiv w:val="1"/>
      <w:marLeft w:val="0"/>
      <w:marRight w:val="0"/>
      <w:marTop w:val="0"/>
      <w:marBottom w:val="0"/>
      <w:divBdr>
        <w:top w:val="none" w:sz="0" w:space="0" w:color="auto"/>
        <w:left w:val="none" w:sz="0" w:space="0" w:color="auto"/>
        <w:bottom w:val="none" w:sz="0" w:space="0" w:color="auto"/>
        <w:right w:val="none" w:sz="0" w:space="0" w:color="auto"/>
      </w:divBdr>
    </w:div>
    <w:div w:id="2103799373">
      <w:bodyDiv w:val="1"/>
      <w:marLeft w:val="0"/>
      <w:marRight w:val="0"/>
      <w:marTop w:val="0"/>
      <w:marBottom w:val="0"/>
      <w:divBdr>
        <w:top w:val="none" w:sz="0" w:space="0" w:color="auto"/>
        <w:left w:val="none" w:sz="0" w:space="0" w:color="auto"/>
        <w:bottom w:val="none" w:sz="0" w:space="0" w:color="auto"/>
        <w:right w:val="none" w:sz="0" w:space="0" w:color="auto"/>
      </w:divBdr>
    </w:div>
    <w:div w:id="2104837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mailto:psi@nationalarchives.gsi.gov.uk" TargetMode="External"/><Relationship Id="rId3" Type="http://schemas.openxmlformats.org/officeDocument/2006/relationships/styles" Target="styles.xml"/><Relationship Id="rId21" Type="http://schemas.openxmlformats.org/officeDocument/2006/relationships/hyperlink" Target="mailto:angela.rabess@bis.gsi.gov.uk"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www.nationalarchives.gov.uk/doc/open-government-licence/version/3"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gov.uk/government/publications/consultation-principles-guidan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mailto:TEF.techconsultation@bis.gsi.gov.uk" TargetMode="External"/><Relationship Id="rId28" Type="http://schemas.openxmlformats.org/officeDocument/2006/relationships/hyperlink" Target="mailto:enquiries@bis.gsi.gov.uk" TargetMode="Externa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F.techconsultation@bis.gsi.gov.uk" TargetMode="External"/><Relationship Id="rId22" Type="http://schemas.openxmlformats.org/officeDocument/2006/relationships/hyperlink" Target="https://bisgovuk.citizenspace.com/he/tef-technical-consultation-year-2" TargetMode="External"/><Relationship Id="rId27" Type="http://schemas.openxmlformats.org/officeDocument/2006/relationships/hyperlink" Target="https://www.gov.uk/government/organisations/department-for-business-innovation-skills"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hesa.ac.uk/sfr217" TargetMode="External"/><Relationship Id="rId13" Type="http://schemas.openxmlformats.org/officeDocument/2006/relationships/hyperlink" Target="https://www2.warwick.ac.uk/fac/soc/ier/futuretrack/findings/elias_purcell_soche_final.pdf" TargetMode="External"/><Relationship Id="rId18" Type="http://schemas.openxmlformats.org/officeDocument/2006/relationships/hyperlink" Target="https://unistats.direct.gov.uk/" TargetMode="External"/><Relationship Id="rId3" Type="http://schemas.openxmlformats.org/officeDocument/2006/relationships/hyperlink" Target="http://www.legislation.gov.uk/ukpga/2015/26/contents/enacted/data.htm" TargetMode="External"/><Relationship Id="rId7" Type="http://schemas.openxmlformats.org/officeDocument/2006/relationships/hyperlink" Target="http://www.hefce.ac.uk/lt/nss" TargetMode="External"/><Relationship Id="rId12" Type="http://schemas.openxmlformats.org/officeDocument/2006/relationships/hyperlink" Target="http://www.llakes.org/wp-content/uploads/2014/08/50.-Green-and-Henseke.pdf" TargetMode="External"/><Relationship Id="rId17" Type="http://schemas.openxmlformats.org/officeDocument/2006/relationships/hyperlink" Target="https://www.hesa.ac.uk/pis/noncontech" TargetMode="External"/><Relationship Id="rId2" Type="http://schemas.openxmlformats.org/officeDocument/2006/relationships/hyperlink" Target="http://www.qaa.ac.uk/publications/information-and-guidance/publication?PubID=2843" TargetMode="External"/><Relationship Id="rId16" Type="http://schemas.openxmlformats.org/officeDocument/2006/relationships/hyperlink" Target="http://www.hefce.ac.uk/pubs/year/2015/CL,172015/" TargetMode="External"/><Relationship Id="rId20" Type="http://schemas.openxmlformats.org/officeDocument/2006/relationships/hyperlink" Target="http://www.parliament.uk/business/committees/committees-a-z/commons-select/business-innovation-and-skills/news-parliament-2015/quality-of-higher-education-report-published-15-16/" TargetMode="External"/><Relationship Id="rId1" Type="http://schemas.openxmlformats.org/officeDocument/2006/relationships/hyperlink" Target="http://www.hefce.ac.uk/lt/lg/" TargetMode="External"/><Relationship Id="rId6" Type="http://schemas.openxmlformats.org/officeDocument/2006/relationships/hyperlink" Target="http://www.hefce.ac.uk/lt/nss/future/" TargetMode="External"/><Relationship Id="rId11" Type="http://schemas.openxmlformats.org/officeDocument/2006/relationships/hyperlink" Target="http://www.neighbourhood.statistics.gov.uk/HTMLDocs/dev3/ONS_SOC_hierarchy_view.html" TargetMode="External"/><Relationship Id="rId5" Type="http://schemas.openxmlformats.org/officeDocument/2006/relationships/hyperlink" Target="https://www.hesa.ac.uk/content/view/3041/209/" TargetMode="External"/><Relationship Id="rId15" Type="http://schemas.openxmlformats.org/officeDocument/2006/relationships/hyperlink" Target="http://www.hefce.ac.uk/analysis/yp/POLAR/" TargetMode="External"/><Relationship Id="rId10" Type="http://schemas.openxmlformats.org/officeDocument/2006/relationships/hyperlink" Target="http://www.ons.gov.uk/employmentandlabourmarket/peopleinwork/employmentandemployeetypes" TargetMode="External"/><Relationship Id="rId19" Type="http://schemas.openxmlformats.org/officeDocument/2006/relationships/hyperlink" Target="http://www.hefce.ac.uk/reg/register/" TargetMode="External"/><Relationship Id="rId4" Type="http://schemas.openxmlformats.org/officeDocument/2006/relationships/hyperlink" Target="https://www.hesa.ac.uk/pis" TargetMode="External"/><Relationship Id="rId9" Type="http://schemas.openxmlformats.org/officeDocument/2006/relationships/hyperlink" Target="https://www.hesa.ac.uk/pis/noncontech" TargetMode="External"/><Relationship Id="rId14" Type="http://schemas.openxmlformats.org/officeDocument/2006/relationships/hyperlink" Target="http://www.hesa.ac.uk/pis/benchma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00080-7796-4EF9-8A6E-BB7FC7CCF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63</Pages>
  <Words>17319</Words>
  <Characters>98724</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115812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Newmark Kiera (SGD)</dc:creator>
  <cp:lastModifiedBy>Newmark Kiera (SGD)</cp:lastModifiedBy>
  <cp:revision>4</cp:revision>
  <cp:lastPrinted>2016-05-13T06:18:00Z</cp:lastPrinted>
  <dcterms:created xsi:type="dcterms:W3CDTF">2016-05-13T11:00:00Z</dcterms:created>
  <dcterms:modified xsi:type="dcterms:W3CDTF">2016-05-13T11:16:00Z</dcterms:modified>
</cp:coreProperties>
</file>